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225425</wp:posOffset>
            </wp:positionV>
            <wp:extent cx="6172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267970</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218440</wp:posOffset>
            </wp:positionV>
            <wp:extent cx="13030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02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218440</wp:posOffset>
            </wp:positionV>
            <wp:extent cx="1303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760"/>
        <w:spacing w:after="0" w:line="207" w:lineRule="exact"/>
        <w:tabs>
          <w:tab w:leader="none" w:pos="394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4"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1140" w:hanging="376"/>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26" w:lineRule="exact"/>
        <w:rPr>
          <w:rFonts w:ascii="MS PGothic" w:cs="MS PGothic" w:eastAsia="MS PGothic" w:hAnsi="MS PGothic"/>
          <w:sz w:val="18"/>
          <w:szCs w:val="18"/>
          <w:color w:val="auto"/>
        </w:rPr>
      </w:pPr>
    </w:p>
    <w:p>
      <w:pPr>
        <w:ind w:left="1140" w:hanging="376"/>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35" w:lineRule="exact"/>
        <w:rPr>
          <w:sz w:val="24"/>
          <w:szCs w:val="24"/>
          <w:color w:val="auto"/>
        </w:rPr>
      </w:pPr>
    </w:p>
    <w:p>
      <w:pPr>
        <w:ind w:left="1140" w:hanging="376"/>
        <w:spacing w:after="0"/>
        <w:tabs>
          <w:tab w:leader="none" w:pos="11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31" w:lineRule="exact"/>
        <w:rPr>
          <w:sz w:val="24"/>
          <w:szCs w:val="24"/>
          <w:color w:val="auto"/>
        </w:rPr>
      </w:pPr>
    </w:p>
    <w:p>
      <w:pPr>
        <w:ind w:left="1140" w:hanging="376"/>
        <w:spacing w:after="0"/>
        <w:tabs>
          <w:tab w:leader="none" w:pos="11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30" w:lineRule="exact"/>
        <w:rPr>
          <w:rFonts w:ascii="MS PGothic" w:cs="MS PGothic" w:eastAsia="MS PGothic" w:hAnsi="MS PGothic"/>
          <w:sz w:val="18"/>
          <w:szCs w:val="18"/>
          <w:color w:val="auto"/>
        </w:rPr>
      </w:pPr>
    </w:p>
    <w:p>
      <w:pPr>
        <w:ind w:left="1140" w:hanging="376"/>
        <w:spacing w:after="0"/>
        <w:tabs>
          <w:tab w:leader="none" w:pos="11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9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0"/>
          <w:szCs w:val="40"/>
          <w:b w:val="1"/>
          <w:bCs w:val="1"/>
          <w:color w:val="auto"/>
        </w:rPr>
        <w:t>EXXON MOBIL CORPORATION</w:t>
      </w:r>
    </w:p>
    <w:p>
      <w:pPr>
        <w:spacing w:after="0" w:line="4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0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300"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31" w:lineRule="exact"/>
        <w:rPr>
          <w:sz w:val="24"/>
          <w:szCs w:val="24"/>
          <w:color w:val="auto"/>
        </w:rPr>
      </w:pPr>
    </w:p>
    <w:p>
      <w:pPr>
        <w:ind w:left="1140" w:hanging="376"/>
        <w:spacing w:after="0"/>
        <w:tabs>
          <w:tab w:leader="none" w:pos="11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31" w:lineRule="exact"/>
        <w:rPr>
          <w:sz w:val="24"/>
          <w:szCs w:val="24"/>
          <w:color w:val="auto"/>
        </w:rPr>
      </w:pPr>
    </w:p>
    <w:p>
      <w:pPr>
        <w:ind w:left="1140" w:hanging="376"/>
        <w:spacing w:after="0"/>
        <w:tabs>
          <w:tab w:leader="none" w:pos="11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1140" w:hanging="376"/>
        <w:spacing w:after="0"/>
        <w:tabs>
          <w:tab w:leader="none" w:pos="11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180340</wp:posOffset>
            </wp:positionV>
            <wp:extent cx="6172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222885</wp:posOffset>
            </wp:positionV>
            <wp:extent cx="6172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2B4C9B"/>
        </w:rPr>
        <w:t>Notice of 2023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-154940</wp:posOffset>
            </wp:positionV>
            <wp:extent cx="1705610" cy="3257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05610" cy="325755"/>
                    </a:xfrm>
                    <a:prstGeom prst="rect">
                      <a:avLst/>
                    </a:prstGeom>
                    <a:noFill/>
                  </pic:spPr>
                </pic:pic>
              </a:graphicData>
            </a:graphic>
          </wp:anchor>
        </w:drawing>
      </w:r>
    </w:p>
    <w:p>
      <w:pPr>
        <w:spacing w:after="0" w:line="23"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2B4C9B"/>
        </w:rPr>
        <w:t>and Proxy Statement</w:t>
      </w:r>
    </w:p>
    <w:p>
      <w:pPr>
        <w:spacing w:after="0" w:line="200" w:lineRule="exact"/>
        <w:rPr>
          <w:sz w:val="20"/>
          <w:szCs w:val="20"/>
          <w:color w:val="auto"/>
        </w:rPr>
      </w:pPr>
    </w:p>
    <w:p>
      <w:pPr>
        <w:spacing w:after="0" w:line="241"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April 13,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Dear Shareholder:</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invite you to attend the annual meeting of shareholders on Wednesday, May 31, 2023, beginning promptly at</w:t>
      </w:r>
    </w:p>
    <w:p>
      <w:pPr>
        <w:spacing w:after="0" w:line="14" w:lineRule="exact"/>
        <w:rPr>
          <w:sz w:val="20"/>
          <w:szCs w:val="20"/>
          <w:color w:val="auto"/>
        </w:rPr>
      </w:pPr>
    </w:p>
    <w:p>
      <w:pPr>
        <w:ind w:left="760" w:right="40"/>
        <w:spacing w:after="0" w:line="237" w:lineRule="auto"/>
        <w:rPr>
          <w:sz w:val="20"/>
          <w:szCs w:val="20"/>
          <w:color w:val="auto"/>
        </w:rPr>
      </w:pPr>
      <w:r>
        <w:rPr>
          <w:rFonts w:ascii="Arial" w:cs="Arial" w:eastAsia="Arial" w:hAnsi="Arial"/>
          <w:sz w:val="18"/>
          <w:szCs w:val="18"/>
          <w:color w:val="auto"/>
        </w:rPr>
        <w:t xml:space="preserve">9:30 a.m. Central Time. The annual meeting of shareholders will be a virtual meeting. This format will help provide for a safe experience for our shareholders, employees, and other members of the community, and provide broader access and participation in the meeting versus an in-person meeting. Shareholders will be able to attend, vote, and submit questions during the annual meeting from any remote location that has Internet connectivity. We believe this approach provides for equitable participation and enhances accessibility to the meeting. Online access will be available approximately 15 minutes prior to the annual meeting start time at </w:t>
      </w:r>
      <w:r>
        <w:rPr>
          <w:rFonts w:ascii="Arial" w:cs="Arial" w:eastAsia="Arial" w:hAnsi="Arial"/>
          <w:sz w:val="18"/>
          <w:szCs w:val="18"/>
          <w:i w:val="1"/>
          <w:iCs w:val="1"/>
          <w:color w:val="auto"/>
        </w:rPr>
        <w:t>www.virtualshareholdermeeting.com/XOM2023</w:t>
      </w:r>
      <w:r>
        <w:rPr>
          <w:rFonts w:ascii="Arial" w:cs="Arial" w:eastAsia="Arial" w:hAnsi="Arial"/>
          <w:sz w:val="18"/>
          <w:szCs w:val="18"/>
          <w:color w:val="auto"/>
        </w:rPr>
        <w:t>. Please see page 5 for detailed instructions for attending and participating in the annual meeting.</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At the meeting, you will hear a report on our business and vote on the following items:</w:t>
      </w:r>
    </w:p>
    <w:p>
      <w:pPr>
        <w:spacing w:after="0" w:line="117" w:lineRule="exact"/>
        <w:rPr>
          <w:sz w:val="20"/>
          <w:szCs w:val="20"/>
          <w:color w:val="auto"/>
        </w:rPr>
      </w:pPr>
    </w:p>
    <w:p>
      <w:pPr>
        <w:ind w:left="1140" w:hanging="376"/>
        <w:spacing w:after="0"/>
        <w:tabs>
          <w:tab w:leader="none" w:pos="11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Election of directors;</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Ratification of PricewaterhouseCoopers LLP as independent auditors;</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Advisory votes to approve executive compensation and future voting frequency;</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Thirteen shareholder proposals contained in this proxy statement; and</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Other matters if properly raised.</w:t>
      </w:r>
    </w:p>
    <w:p>
      <w:pPr>
        <w:spacing w:after="0" w:line="224" w:lineRule="exact"/>
        <w:rPr>
          <w:sz w:val="20"/>
          <w:szCs w:val="20"/>
          <w:color w:val="auto"/>
        </w:rPr>
      </w:pPr>
    </w:p>
    <w:p>
      <w:pPr>
        <w:ind w:left="760" w:right="320"/>
        <w:spacing w:after="0" w:line="271" w:lineRule="auto"/>
        <w:rPr>
          <w:sz w:val="20"/>
          <w:szCs w:val="20"/>
          <w:color w:val="auto"/>
        </w:rPr>
      </w:pPr>
      <w:r>
        <w:rPr>
          <w:rFonts w:ascii="Arial" w:cs="Arial" w:eastAsia="Arial" w:hAnsi="Arial"/>
          <w:sz w:val="18"/>
          <w:szCs w:val="18"/>
          <w:color w:val="auto"/>
        </w:rPr>
        <w:t>Only shareholders of record on April 5, 2023, or their valid proxy holders may vote at the meeting. We are first mailing these proxy materials to shareholders of record on or about April 13, 2023.</w:t>
      </w:r>
    </w:p>
    <w:p>
      <w:pPr>
        <w:spacing w:after="0" w:line="154" w:lineRule="exact"/>
        <w:rPr>
          <w:sz w:val="20"/>
          <w:szCs w:val="20"/>
          <w:color w:val="auto"/>
        </w:rPr>
      </w:pPr>
    </w:p>
    <w:p>
      <w:pPr>
        <w:ind w:left="760"/>
        <w:spacing w:after="0" w:line="253" w:lineRule="auto"/>
        <w:rPr>
          <w:sz w:val="20"/>
          <w:szCs w:val="20"/>
          <w:color w:val="auto"/>
        </w:rPr>
      </w:pPr>
      <w:r>
        <w:rPr>
          <w:rFonts w:ascii="Arial" w:cs="Arial" w:eastAsia="Arial" w:hAnsi="Arial"/>
          <w:sz w:val="18"/>
          <w:szCs w:val="18"/>
          <w:color w:val="auto"/>
        </w:rPr>
        <w:t>This booklet includes the formal notice of the meeting and proxy statement. The proxy statement tells you about the agenda, procedures, and rules of conduct for the meeting. It also describes how the Board operates, gives information about our director candidates, and provides information about the other items of business to be conducted at the meeting.</w:t>
      </w:r>
    </w:p>
    <w:p>
      <w:pPr>
        <w:spacing w:after="0" w:line="169" w:lineRule="exact"/>
        <w:rPr>
          <w:sz w:val="20"/>
          <w:szCs w:val="20"/>
          <w:color w:val="auto"/>
        </w:rPr>
      </w:pPr>
    </w:p>
    <w:p>
      <w:pPr>
        <w:ind w:left="760" w:right="40"/>
        <w:spacing w:after="0" w:line="271" w:lineRule="auto"/>
        <w:rPr>
          <w:sz w:val="20"/>
          <w:szCs w:val="20"/>
          <w:color w:val="auto"/>
        </w:rPr>
      </w:pPr>
      <w:r>
        <w:rPr>
          <w:rFonts w:ascii="Arial" w:cs="Arial" w:eastAsia="Arial" w:hAnsi="Arial"/>
          <w:sz w:val="18"/>
          <w:szCs w:val="18"/>
          <w:color w:val="auto"/>
        </w:rPr>
        <w:t>Financial information is provided separately in the 2022 Annual Report that accompanies or precedes the proxy materials or is made available online to all shareholders.</w:t>
      </w:r>
    </w:p>
    <w:p>
      <w:pPr>
        <w:spacing w:after="0" w:line="154" w:lineRule="exact"/>
        <w:rPr>
          <w:sz w:val="20"/>
          <w:szCs w:val="20"/>
          <w:color w:val="auto"/>
        </w:rPr>
      </w:pPr>
    </w:p>
    <w:p>
      <w:pPr>
        <w:ind w:left="760" w:right="100"/>
        <w:spacing w:after="0" w:line="247" w:lineRule="auto"/>
        <w:rPr>
          <w:sz w:val="20"/>
          <w:szCs w:val="20"/>
          <w:color w:val="auto"/>
        </w:rPr>
      </w:pPr>
      <w:r>
        <w:rPr>
          <w:rFonts w:ascii="Arial" w:cs="Arial" w:eastAsia="Arial" w:hAnsi="Arial"/>
          <w:sz w:val="18"/>
          <w:szCs w:val="18"/>
          <w:color w:val="auto"/>
        </w:rPr>
        <w:t xml:space="preserve">Your vote is important. Even if you own only a few shares, we want your voice to be represented at the meeting. You can vote your shares by Internet, toll-free telephone call, or proxy card. A preliminary summary of 2023 Proxy Voting Results will be available at </w:t>
      </w:r>
      <w:r>
        <w:rPr>
          <w:rFonts w:ascii="Arial" w:cs="Arial" w:eastAsia="Arial" w:hAnsi="Arial"/>
          <w:sz w:val="18"/>
          <w:szCs w:val="18"/>
          <w:i w:val="1"/>
          <w:iCs w:val="1"/>
          <w:color w:val="auto"/>
        </w:rPr>
        <w:t>exxonmobil.com</w:t>
      </w:r>
      <w:r>
        <w:rPr>
          <w:rFonts w:ascii="Arial" w:cs="Arial" w:eastAsia="Arial" w:hAnsi="Arial"/>
          <w:sz w:val="18"/>
          <w:szCs w:val="18"/>
          <w:color w:val="auto"/>
        </w:rPr>
        <w:t xml:space="preserve"> after the annual meeting of shareholders and will be filed on a Form 8-K within four business days of the meeting.</w:t>
      </w:r>
    </w:p>
    <w:p>
      <w:pPr>
        <w:spacing w:after="0" w:line="17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240665</wp:posOffset>
            </wp:positionV>
            <wp:extent cx="1431290" cy="497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31290" cy="49720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163195</wp:posOffset>
            </wp:positionV>
            <wp:extent cx="1645920"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5920" cy="497205"/>
                    </a:xfrm>
                    <a:prstGeom prst="rect">
                      <a:avLst/>
                    </a:prstGeom>
                    <a:noFill/>
                  </pic:spPr>
                </pic:pic>
              </a:graphicData>
            </a:graphic>
          </wp:anchor>
        </w:drawing>
      </w:r>
    </w:p>
    <w:p>
      <w:pPr>
        <w:sectPr>
          <w:pgSz w:w="11900" w:h="16838" w:orient="portrait"/>
          <w:cols w:equalWidth="0" w:num="1">
            <w:col w:w="10440"/>
          </w:cols>
          <w:pgMar w:left="320" w:top="482"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Craig S. Morford</w:t>
      </w:r>
    </w:p>
    <w:p>
      <w:pPr>
        <w:spacing w:after="0" w:line="2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Darren W. Woods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 of the Board</w:t>
      </w:r>
    </w:p>
    <w:p>
      <w:pPr>
        <w:sectPr>
          <w:pgSz w:w="11900" w:h="16838" w:orient="portrait"/>
          <w:cols w:equalWidth="0" w:num="2">
            <w:col w:w="6220" w:space="720"/>
            <w:col w:w="3500"/>
          </w:cols>
          <w:pgMar w:left="320" w:top="482" w:right="11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208280</wp:posOffset>
            </wp:positionV>
            <wp:extent cx="1337310" cy="13373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37310" cy="133731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208280</wp:posOffset>
            </wp:positionV>
            <wp:extent cx="1011555"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1155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Darren W. Woods</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Chairman of the Board,</w:t>
      </w:r>
    </w:p>
    <w:p>
      <w:pPr>
        <w:ind w:left="552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Exxon Mobil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Dear Fellow Shareholders:</w:t>
      </w:r>
    </w:p>
    <w:p>
      <w:pPr>
        <w:spacing w:after="0" w:line="212" w:lineRule="exact"/>
        <w:rPr>
          <w:sz w:val="20"/>
          <w:szCs w:val="20"/>
          <w:color w:val="auto"/>
        </w:rPr>
      </w:pPr>
    </w:p>
    <w:p>
      <w:pPr>
        <w:ind w:left="760" w:right="260"/>
        <w:spacing w:after="0" w:line="271" w:lineRule="auto"/>
        <w:rPr>
          <w:sz w:val="20"/>
          <w:szCs w:val="20"/>
          <w:color w:val="auto"/>
        </w:rPr>
      </w:pPr>
      <w:r>
        <w:rPr>
          <w:rFonts w:ascii="Arial" w:cs="Arial" w:eastAsia="Arial" w:hAnsi="Arial"/>
          <w:sz w:val="18"/>
          <w:szCs w:val="18"/>
          <w:color w:val="auto"/>
        </w:rPr>
        <w:t>I would like to invite you to join the 2023 Exxon Mobil Corporation virtual annual shareholder meeting on May 31, 2023, beginning at 9:30 a.m. Central Time.</w:t>
      </w:r>
    </w:p>
    <w:p>
      <w:pPr>
        <w:spacing w:after="0" w:line="154" w:lineRule="exact"/>
        <w:rPr>
          <w:sz w:val="20"/>
          <w:szCs w:val="20"/>
          <w:color w:val="auto"/>
        </w:rPr>
      </w:pPr>
    </w:p>
    <w:p>
      <w:pPr>
        <w:ind w:left="760" w:right="420"/>
        <w:spacing w:after="0" w:line="247" w:lineRule="auto"/>
        <w:rPr>
          <w:sz w:val="20"/>
          <w:szCs w:val="20"/>
          <w:color w:val="auto"/>
        </w:rPr>
      </w:pPr>
      <w:r>
        <w:rPr>
          <w:rFonts w:ascii="Arial" w:cs="Arial" w:eastAsia="Arial" w:hAnsi="Arial"/>
          <w:sz w:val="18"/>
          <w:szCs w:val="18"/>
          <w:color w:val="auto"/>
        </w:rPr>
        <w:t>In 2022, the hard work and commitment of our people drove exceptional results. While our results benefited from a favorable market, our work to meet demand began years ago, well before the pandemic. We chose to invest counter-cyclically, leaning in when others leaned out. As a result, we made strong progress against our strategic priorities, including delivering industry-leading earnings, cash flows, and shareholder returns.</w:t>
      </w:r>
    </w:p>
    <w:p>
      <w:pPr>
        <w:spacing w:after="0" w:line="174" w:lineRule="exact"/>
        <w:rPr>
          <w:sz w:val="20"/>
          <w:szCs w:val="20"/>
          <w:color w:val="auto"/>
        </w:rPr>
      </w:pPr>
    </w:p>
    <w:p>
      <w:pPr>
        <w:jc w:val="both"/>
        <w:ind w:left="760" w:right="80"/>
        <w:spacing w:after="0" w:line="253" w:lineRule="auto"/>
        <w:rPr>
          <w:sz w:val="20"/>
          <w:szCs w:val="20"/>
          <w:color w:val="auto"/>
        </w:rPr>
      </w:pPr>
      <w:r>
        <w:rPr>
          <w:rFonts w:ascii="Arial" w:cs="Arial" w:eastAsia="Arial" w:hAnsi="Arial"/>
          <w:sz w:val="18"/>
          <w:szCs w:val="18"/>
          <w:color w:val="auto"/>
        </w:rPr>
        <w:t>Our progress also included building and improving our advantaged portfolio, as we increased production to meet demand when people needed it the most, increased our refining throughput to record levels, and positioned the Company to bring the largest refining capacity expansion in North America on line in more than a decade.</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At this year’s meeting, we’ll highlight this progress and share how we’re working to be a valued partner of choice as we continue to innovate and provide solutions that meet the growing needs of society reliably and affordably. This includes our landmark agreement that is expected to capture, transport, and store up to 2 million metric tons of CO</w:t>
      </w:r>
      <w:r>
        <w:rPr>
          <w:rFonts w:ascii="Arial" w:cs="Arial" w:eastAsia="Arial" w:hAnsi="Arial"/>
          <w:sz w:val="13"/>
          <w:szCs w:val="13"/>
          <w:color w:val="auto"/>
        </w:rPr>
        <w:t>2</w:t>
      </w:r>
      <w:r>
        <w:rPr>
          <w:rFonts w:ascii="Arial" w:cs="Arial" w:eastAsia="Arial" w:hAnsi="Arial"/>
          <w:sz w:val="18"/>
          <w:szCs w:val="18"/>
          <w:color w:val="auto"/>
        </w:rPr>
        <w:t xml:space="preserve"> per year on behalf of a large fertilizer manufacturer in Louisiana, and the start-up of one of North America’s largest advanced recycling facilities in Baytown, Texas. It also includes our plans to increase value-accretive investments in lower-emission initiatives to approximately $17 billion from 2022 through 2027 (a $2 billion increase over our prior plan), as we work to achieve our previously announced 2030 greenhouse gas emission-reduction plans, and advance our net-zero by 2050 ambition.</w:t>
      </w:r>
    </w:p>
    <w:p>
      <w:pPr>
        <w:spacing w:after="0" w:line="185" w:lineRule="exact"/>
        <w:rPr>
          <w:sz w:val="20"/>
          <w:szCs w:val="20"/>
          <w:color w:val="auto"/>
        </w:rPr>
      </w:pPr>
    </w:p>
    <w:p>
      <w:pPr>
        <w:ind w:left="760" w:right="640"/>
        <w:spacing w:after="0" w:line="271" w:lineRule="auto"/>
        <w:rPr>
          <w:sz w:val="20"/>
          <w:szCs w:val="20"/>
          <w:color w:val="auto"/>
        </w:rPr>
      </w:pPr>
      <w:r>
        <w:rPr>
          <w:rFonts w:ascii="Arial" w:cs="Arial" w:eastAsia="Arial" w:hAnsi="Arial"/>
          <w:sz w:val="18"/>
          <w:szCs w:val="18"/>
          <w:color w:val="auto"/>
        </w:rPr>
        <w:t xml:space="preserve">We are working to solve the “and” equation: delivering the energy and products society needs </w:t>
      </w:r>
      <w:r>
        <w:rPr>
          <w:rFonts w:ascii="Arial" w:cs="Arial" w:eastAsia="Arial" w:hAnsi="Arial"/>
          <w:sz w:val="18"/>
          <w:szCs w:val="18"/>
          <w:b w:val="1"/>
          <w:bCs w:val="1"/>
          <w:u w:val="single" w:color="auto"/>
          <w:color w:val="auto"/>
        </w:rPr>
        <w:t>and</w:t>
      </w:r>
      <w:r>
        <w:rPr>
          <w:rFonts w:ascii="Arial" w:cs="Arial" w:eastAsia="Arial" w:hAnsi="Arial"/>
          <w:sz w:val="18"/>
          <w:szCs w:val="18"/>
          <w:color w:val="auto"/>
        </w:rPr>
        <w:t xml:space="preserve"> lead industry in reducing greenhouse gas emissions.</w:t>
      </w:r>
    </w:p>
    <w:p>
      <w:pPr>
        <w:spacing w:after="0" w:line="154" w:lineRule="exact"/>
        <w:rPr>
          <w:sz w:val="20"/>
          <w:szCs w:val="20"/>
          <w:color w:val="auto"/>
        </w:rPr>
      </w:pPr>
    </w:p>
    <w:p>
      <w:pPr>
        <w:jc w:val="both"/>
        <w:ind w:left="760" w:right="380"/>
        <w:spacing w:after="0" w:line="253" w:lineRule="auto"/>
        <w:rPr>
          <w:sz w:val="20"/>
          <w:szCs w:val="20"/>
          <w:color w:val="auto"/>
        </w:rPr>
      </w:pPr>
      <w:r>
        <w:rPr>
          <w:rFonts w:ascii="Arial" w:cs="Arial" w:eastAsia="Arial" w:hAnsi="Arial"/>
          <w:sz w:val="18"/>
          <w:szCs w:val="18"/>
          <w:color w:val="auto"/>
        </w:rPr>
        <w:t>On behalf of the ExxonMobil leadership team and Board of Directors, we would like to thank our employees who work tirelessly so that we can meet the world’s evolving needs and progress our plans to play a leading role in a thoughtful energy transition.</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look forward to sharing more with you at our annual shareholder meeting.</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Thank you for investing in ExxonMobil.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240665</wp:posOffset>
            </wp:positionV>
            <wp:extent cx="1645920" cy="497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5920" cy="497205"/>
                    </a:xfrm>
                    <a:prstGeom prst="rect">
                      <a:avLst/>
                    </a:prstGeom>
                    <a:noFill/>
                  </pic:spPr>
                </pic:pic>
              </a:graphicData>
            </a:graphic>
          </wp:anchor>
        </w:drawing>
      </w:r>
    </w:p>
    <w:p>
      <w:pPr>
        <w:sectPr>
          <w:pgSz w:w="11900" w:h="16838" w:orient="portrait"/>
          <w:cols w:equalWidth="0" w:num="1">
            <w:col w:w="10480"/>
          </w:cols>
          <w:pgMar w:left="320" w:top="482" w:right="10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208280</wp:posOffset>
            </wp:positionV>
            <wp:extent cx="1337310" cy="13373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37310" cy="133731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208280</wp:posOffset>
            </wp:positionV>
            <wp:extent cx="1011555"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1155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Joseph L. Hooley</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Board of Directors,</w:t>
      </w:r>
    </w:p>
    <w:p>
      <w:pPr>
        <w:ind w:left="5520"/>
        <w:spacing w:after="0" w:line="234" w:lineRule="auto"/>
        <w:rPr>
          <w:sz w:val="20"/>
          <w:szCs w:val="20"/>
          <w:color w:val="auto"/>
        </w:rPr>
      </w:pPr>
      <w:r>
        <w:rPr>
          <w:rFonts w:ascii="Arial" w:cs="Arial" w:eastAsia="Arial" w:hAnsi="Arial"/>
          <w:sz w:val="18"/>
          <w:szCs w:val="18"/>
          <w:color w:val="auto"/>
        </w:rPr>
        <w:t>Lead Director,</w:t>
      </w:r>
    </w:p>
    <w:p>
      <w:pPr>
        <w:spacing w:after="0" w:line="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Exxon Mobil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Dear Fellow Shareholders:</w:t>
      </w:r>
    </w:p>
    <w:p>
      <w:pPr>
        <w:spacing w:after="0" w:line="212" w:lineRule="exact"/>
        <w:rPr>
          <w:sz w:val="20"/>
          <w:szCs w:val="20"/>
          <w:color w:val="auto"/>
        </w:rPr>
      </w:pPr>
    </w:p>
    <w:p>
      <w:pPr>
        <w:ind w:left="760" w:right="20"/>
        <w:spacing w:after="0" w:line="271" w:lineRule="auto"/>
        <w:rPr>
          <w:sz w:val="20"/>
          <w:szCs w:val="20"/>
          <w:color w:val="auto"/>
        </w:rPr>
      </w:pPr>
      <w:r>
        <w:rPr>
          <w:rFonts w:ascii="Arial" w:cs="Arial" w:eastAsia="Arial" w:hAnsi="Arial"/>
          <w:sz w:val="18"/>
          <w:szCs w:val="18"/>
          <w:color w:val="auto"/>
        </w:rPr>
        <w:t>As Independent Lead Director, I’m focused on ensuring that ExxonMobil’s Board delivers cohesive management oversight and that shareholders benefit from the full range of relevant skill sets and contributions of each Board member.</w:t>
      </w:r>
    </w:p>
    <w:p>
      <w:pPr>
        <w:spacing w:after="0" w:line="154" w:lineRule="exact"/>
        <w:rPr>
          <w:sz w:val="20"/>
          <w:szCs w:val="20"/>
          <w:color w:val="auto"/>
        </w:rPr>
      </w:pPr>
    </w:p>
    <w:p>
      <w:pPr>
        <w:ind w:left="760" w:right="360"/>
        <w:spacing w:after="0" w:line="247" w:lineRule="auto"/>
        <w:rPr>
          <w:sz w:val="20"/>
          <w:szCs w:val="20"/>
          <w:color w:val="auto"/>
        </w:rPr>
      </w:pPr>
      <w:r>
        <w:rPr>
          <w:rFonts w:ascii="Arial" w:cs="Arial" w:eastAsia="Arial" w:hAnsi="Arial"/>
          <w:sz w:val="18"/>
          <w:szCs w:val="18"/>
          <w:color w:val="auto"/>
        </w:rPr>
        <w:t>Our Board is composed of proven leaders who bring diverse experience in critically important areas, including energy, new technologies, climate science, business transformation, safety, risk management, investment stewardship, and capital allocation. In my first full year as Lead Director, it has been a privilege to work with such a diverse and talented group.</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2022, ExxonMobil generated industry-leading total shareholder returns and met all of its annual strategic goals.</w:t>
      </w:r>
    </w:p>
    <w:p>
      <w:pPr>
        <w:spacing w:after="0" w:line="14" w:lineRule="exact"/>
        <w:rPr>
          <w:sz w:val="20"/>
          <w:szCs w:val="20"/>
          <w:color w:val="auto"/>
        </w:rPr>
      </w:pPr>
    </w:p>
    <w:p>
      <w:pPr>
        <w:ind w:left="760" w:right="180"/>
        <w:spacing w:after="0" w:line="239" w:lineRule="auto"/>
        <w:rPr>
          <w:sz w:val="20"/>
          <w:szCs w:val="20"/>
          <w:color w:val="auto"/>
        </w:rPr>
      </w:pPr>
      <w:r>
        <w:rPr>
          <w:rFonts w:ascii="Arial" w:cs="Arial" w:eastAsia="Arial" w:hAnsi="Arial"/>
          <w:sz w:val="18"/>
          <w:szCs w:val="18"/>
          <w:color w:val="auto"/>
        </w:rPr>
        <w:t>The Company took the necessary steps to help meet society’s need for energy and products, while also delivering on its commitment to lower emissions. Its Low Carbon Solutions business is making exciting progress that will help the Company reduce its own emissions and grow opportunities to help others do the same. ExxonMobil entered 2023 with positive momentum, significant financial flexibility, and an even stronger platform for continued value-focused growth, performance, and innovation.</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key responsibility of the Board is to consider a wide range of scenarios and risks to ensure the Company is well-positioned to overcome challenges and capture opportunities to help achieve a lower-emissions future. This is the focus of the Board’s oversight in the development of the Company’s five-year plan. The plan continues to call for investments in high-return, low cost of supply, advantaged assets in the Upstream and the new Product Solutions business. It also includes a nearly 15 percent increase in investments aimed at emission reductions and accretive lower-emission initiatives. The Low Carbon Solutions business has tripled its organization size in the past year, leveraging the Company’s unique capabilities to advance an increasing number of opportunities with competitive returns in carbon capture and storage, hydrogen, and biofuels.</w:t>
      </w:r>
    </w:p>
    <w:p>
      <w:pPr>
        <w:spacing w:after="0" w:line="180" w:lineRule="exact"/>
        <w:rPr>
          <w:sz w:val="20"/>
          <w:szCs w:val="20"/>
          <w:color w:val="auto"/>
        </w:rPr>
      </w:pPr>
    </w:p>
    <w:p>
      <w:pPr>
        <w:ind w:left="760" w:right="120"/>
        <w:spacing w:after="0" w:line="253" w:lineRule="auto"/>
        <w:rPr>
          <w:sz w:val="20"/>
          <w:szCs w:val="20"/>
          <w:color w:val="auto"/>
        </w:rPr>
      </w:pPr>
      <w:r>
        <w:rPr>
          <w:rFonts w:ascii="Arial" w:cs="Arial" w:eastAsia="Arial" w:hAnsi="Arial"/>
          <w:sz w:val="18"/>
          <w:szCs w:val="18"/>
          <w:color w:val="auto"/>
        </w:rPr>
        <w:t>ExxonMobil’s balanced and disciplined strategy is working. Today, ExxonMobil leads its peers in earnings, cash flow, and returns, all while expanding lower-emission investments. Your Board is committed to building on this momentum while continuing direct interactions with investors in the year ahead.</w:t>
      </w:r>
    </w:p>
    <w:p>
      <w:pPr>
        <w:spacing w:after="0" w:line="169" w:lineRule="exact"/>
        <w:rPr>
          <w:sz w:val="20"/>
          <w:szCs w:val="20"/>
          <w:color w:val="auto"/>
        </w:rPr>
      </w:pPr>
    </w:p>
    <w:p>
      <w:pPr>
        <w:ind w:left="760" w:right="780"/>
        <w:spacing w:after="0" w:line="271" w:lineRule="auto"/>
        <w:rPr>
          <w:sz w:val="20"/>
          <w:szCs w:val="20"/>
          <w:color w:val="auto"/>
        </w:rPr>
      </w:pPr>
      <w:r>
        <w:rPr>
          <w:rFonts w:ascii="Arial" w:cs="Arial" w:eastAsia="Arial" w:hAnsi="Arial"/>
          <w:sz w:val="18"/>
          <w:szCs w:val="18"/>
          <w:color w:val="auto"/>
        </w:rPr>
        <w:t>It is a tremendous honor to serve on ExxonMobil’s Board, and I thank you for the trust you’ve placed in us and in ExxonMobil.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203835</wp:posOffset>
            </wp:positionV>
            <wp:extent cx="1440180" cy="3511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40180" cy="351155"/>
                    </a:xfrm>
                    <a:prstGeom prst="rect">
                      <a:avLst/>
                    </a:prstGeom>
                    <a:noFill/>
                  </pic:spPr>
                </pic:pic>
              </a:graphicData>
            </a:graphic>
          </wp:anchor>
        </w:drawing>
      </w:r>
    </w:p>
    <w:p>
      <w:pPr>
        <w:sectPr>
          <w:pgSz w:w="11900" w:h="16838" w:orient="portrait"/>
          <w:cols w:equalWidth="0" w:num="1">
            <w:col w:w="10480"/>
          </w:cols>
          <w:pgMar w:left="320" w:top="482" w:right="10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780" w:type="dxa"/>
        <w:tblCellMar>
          <w:top w:w="0" w:type="dxa"/>
          <w:left w:w="0" w:type="dxa"/>
          <w:bottom w:w="0" w:type="dxa"/>
          <w:right w:w="0" w:type="dxa"/>
        </w:tblCellMar>
      </w:tblPr>
      <w:tr>
        <w:trPr>
          <w:trHeight w:val="297"/>
        </w:trPr>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0" w:type="dxa"/>
            <w:vAlign w:val="bottom"/>
            <w:gridSpan w:val="13"/>
          </w:tcPr>
          <w:p>
            <w:pPr>
              <w:spacing w:after="0"/>
              <w:rPr>
                <w:sz w:val="20"/>
                <w:szCs w:val="20"/>
                <w:color w:val="auto"/>
              </w:rPr>
            </w:pPr>
            <w:r>
              <w:rPr>
                <w:rFonts w:ascii="Arial" w:cs="Arial" w:eastAsia="Arial" w:hAnsi="Arial"/>
                <w:sz w:val="22"/>
                <w:szCs w:val="22"/>
                <w:b w:val="1"/>
                <w:bCs w:val="1"/>
                <w:color w:val="auto"/>
              </w:rPr>
              <w:t>TABLE OF CONTENTS</w:t>
            </w:r>
          </w:p>
        </w:tc>
        <w:tc>
          <w:tcPr>
            <w:tcW w:w="1960" w:type="dxa"/>
            <w:vAlign w:val="bottom"/>
          </w:tcPr>
          <w:p>
            <w:pPr>
              <w:spacing w:after="0"/>
              <w:rPr>
                <w:sz w:val="24"/>
                <w:szCs w:val="24"/>
                <w:color w:val="auto"/>
              </w:rPr>
            </w:pPr>
          </w:p>
        </w:tc>
      </w:tr>
      <w:tr>
        <w:trPr>
          <w:trHeight w:val="467"/>
        </w:trPr>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250"/>
        </w:trPr>
        <w:tc>
          <w:tcPr>
            <w:tcW w:w="7680" w:type="dxa"/>
            <w:vAlign w:val="bottom"/>
            <w:gridSpan w:val="27"/>
          </w:tcPr>
          <w:p>
            <w:pPr>
              <w:spacing w:after="0"/>
              <w:rPr>
                <w:sz w:val="20"/>
                <w:szCs w:val="20"/>
                <w:color w:val="auto"/>
              </w:rPr>
            </w:pPr>
            <w:r>
              <w:rPr>
                <w:rFonts w:ascii="Arial" w:cs="Arial" w:eastAsia="Arial" w:hAnsi="Arial"/>
                <w:sz w:val="18"/>
                <w:szCs w:val="18"/>
                <w:b w:val="1"/>
                <w:bCs w:val="1"/>
                <w:color w:val="0000EE"/>
              </w:rPr>
              <w:t>PROXY SUMMARY</w:t>
            </w:r>
          </w:p>
        </w:tc>
        <w:tc>
          <w:tcPr>
            <w:tcW w:w="1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90"/>
        </w:trPr>
        <w:tc>
          <w:tcPr>
            <w:tcW w:w="7680" w:type="dxa"/>
            <w:vAlign w:val="bottom"/>
            <w:gridSpan w:val="27"/>
          </w:tcPr>
          <w:p>
            <w:pPr>
              <w:spacing w:after="0"/>
              <w:rPr>
                <w:sz w:val="20"/>
                <w:szCs w:val="20"/>
                <w:color w:val="auto"/>
              </w:rPr>
            </w:pPr>
            <w:r>
              <w:rPr>
                <w:rFonts w:ascii="Arial" w:cs="Arial" w:eastAsia="Arial" w:hAnsi="Arial"/>
                <w:sz w:val="18"/>
                <w:szCs w:val="18"/>
                <w:b w:val="1"/>
                <w:bCs w:val="1"/>
                <w:color w:val="0000EE"/>
              </w:rPr>
              <w:t>GENERAL INFORMATION</w:t>
            </w:r>
          </w:p>
        </w:tc>
        <w:tc>
          <w:tcPr>
            <w:tcW w:w="1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91"/>
        </w:trPr>
        <w:tc>
          <w:tcPr>
            <w:tcW w:w="2180" w:type="dxa"/>
            <w:vAlign w:val="bottom"/>
            <w:tcBorders>
              <w:top w:val="single" w:sz="8" w:color="0000EE"/>
            </w:tcBorders>
            <w:gridSpan w:val="6"/>
          </w:tcPr>
          <w:p>
            <w:pPr>
              <w:spacing w:after="0"/>
              <w:rPr>
                <w:sz w:val="20"/>
                <w:szCs w:val="20"/>
                <w:color w:val="auto"/>
              </w:rPr>
            </w:pPr>
            <w:r>
              <w:rPr>
                <w:rFonts w:ascii="Arial" w:cs="Arial" w:eastAsia="Arial" w:hAnsi="Arial"/>
                <w:sz w:val="18"/>
                <w:szCs w:val="18"/>
                <w:b w:val="1"/>
                <w:bCs w:val="1"/>
                <w:color w:val="0000EE"/>
              </w:rPr>
              <w:t>BOARD OF DIRECTORS</w:t>
            </w:r>
          </w:p>
        </w:tc>
        <w:tc>
          <w:tcPr>
            <w:tcW w:w="5500" w:type="dxa"/>
            <w:vAlign w:val="bottom"/>
            <w:gridSpan w:val="21"/>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1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91"/>
        </w:trPr>
        <w:tc>
          <w:tcPr>
            <w:tcW w:w="160" w:type="dxa"/>
            <w:vAlign w:val="bottom"/>
          </w:tcPr>
          <w:p>
            <w:pPr>
              <w:spacing w:after="0"/>
              <w:rPr>
                <w:sz w:val="24"/>
                <w:szCs w:val="24"/>
                <w:color w:val="auto"/>
              </w:rPr>
            </w:pPr>
          </w:p>
        </w:tc>
        <w:tc>
          <w:tcPr>
            <w:tcW w:w="228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6"/>
              </w:rPr>
              <w:t>Item 1 – Election of Directors</w:t>
            </w:r>
          </w:p>
        </w:tc>
        <w:tc>
          <w:tcPr>
            <w:tcW w:w="5240" w:type="dxa"/>
            <w:vAlign w:val="bottom"/>
            <w:gridSpan w:val="20"/>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90"/>
        </w:trPr>
        <w:tc>
          <w:tcPr>
            <w:tcW w:w="24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b w:val="1"/>
                <w:bCs w:val="1"/>
                <w:color w:val="0000EE"/>
                <w:w w:val="96"/>
              </w:rPr>
              <w:t>CORPORATE GOVERNANCE</w:t>
            </w:r>
          </w:p>
        </w:tc>
        <w:tc>
          <w:tcPr>
            <w:tcW w:w="5240" w:type="dxa"/>
            <w:vAlign w:val="bottom"/>
            <w:gridSpan w:val="20"/>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91"/>
        </w:trPr>
        <w:tc>
          <w:tcPr>
            <w:tcW w:w="7680" w:type="dxa"/>
            <w:vAlign w:val="bottom"/>
            <w:gridSpan w:val="27"/>
          </w:tcPr>
          <w:p>
            <w:pPr>
              <w:spacing w:after="0"/>
              <w:rPr>
                <w:sz w:val="20"/>
                <w:szCs w:val="20"/>
                <w:color w:val="auto"/>
              </w:rPr>
            </w:pPr>
            <w:r>
              <w:rPr>
                <w:rFonts w:ascii="Arial" w:cs="Arial" w:eastAsia="Arial" w:hAnsi="Arial"/>
                <w:sz w:val="18"/>
                <w:szCs w:val="18"/>
                <w:b w:val="1"/>
                <w:bCs w:val="1"/>
                <w:color w:val="0000EE"/>
              </w:rPr>
              <w:t>DIRECTOR COMPENSATION</w:t>
            </w:r>
          </w:p>
        </w:tc>
        <w:tc>
          <w:tcPr>
            <w:tcW w:w="19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9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0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90"/>
        </w:trPr>
        <w:tc>
          <w:tcPr>
            <w:tcW w:w="278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b w:val="1"/>
                <w:bCs w:val="1"/>
                <w:color w:val="0000EE"/>
                <w:w w:val="98"/>
              </w:rPr>
              <w:t>CERTAIN BENEFICIAL OWNERS</w:t>
            </w:r>
          </w:p>
        </w:tc>
        <w:tc>
          <w:tcPr>
            <w:tcW w:w="4900" w:type="dxa"/>
            <w:vAlign w:val="bottom"/>
            <w:gridSpan w:val="15"/>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91"/>
        </w:trPr>
        <w:tc>
          <w:tcPr>
            <w:tcW w:w="7680" w:type="dxa"/>
            <w:vAlign w:val="bottom"/>
            <w:gridSpan w:val="27"/>
          </w:tcPr>
          <w:p>
            <w:pPr>
              <w:spacing w:after="0"/>
              <w:rPr>
                <w:sz w:val="20"/>
                <w:szCs w:val="20"/>
                <w:color w:val="auto"/>
              </w:rPr>
            </w:pPr>
            <w:r>
              <w:rPr>
                <w:rFonts w:ascii="Arial" w:cs="Arial" w:eastAsia="Arial" w:hAnsi="Arial"/>
                <w:sz w:val="18"/>
                <w:szCs w:val="18"/>
                <w:b w:val="1"/>
                <w:bCs w:val="1"/>
                <w:color w:val="0000EE"/>
              </w:rPr>
              <w:t>DIRECTOR AND EXECUTIVE OFFICER STOCK OWNERSHIP</w:t>
            </w:r>
          </w:p>
        </w:tc>
        <w:tc>
          <w:tcPr>
            <w:tcW w:w="19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90"/>
        </w:trPr>
        <w:tc>
          <w:tcPr>
            <w:tcW w:w="5120" w:type="dxa"/>
            <w:vAlign w:val="bottom"/>
            <w:tcBorders>
              <w:top w:val="single" w:sz="8" w:color="0000EE"/>
            </w:tcBorders>
            <w:gridSpan w:val="21"/>
          </w:tcPr>
          <w:p>
            <w:pPr>
              <w:spacing w:after="0"/>
              <w:rPr>
                <w:sz w:val="20"/>
                <w:szCs w:val="20"/>
                <w:color w:val="auto"/>
              </w:rPr>
            </w:pPr>
            <w:r>
              <w:rPr>
                <w:rFonts w:ascii="Arial" w:cs="Arial" w:eastAsia="Arial" w:hAnsi="Arial"/>
                <w:sz w:val="18"/>
                <w:szCs w:val="18"/>
                <w:b w:val="1"/>
                <w:bCs w:val="1"/>
                <w:color w:val="0000EE"/>
              </w:rPr>
              <w:t>AUDIT COMMITTEE REPORT</w:t>
            </w:r>
          </w:p>
        </w:tc>
        <w:tc>
          <w:tcPr>
            <w:tcW w:w="2560" w:type="dxa"/>
            <w:vAlign w:val="bottom"/>
            <w:gridSpan w:val="6"/>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1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0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91"/>
        </w:trPr>
        <w:tc>
          <w:tcPr>
            <w:tcW w:w="160" w:type="dxa"/>
            <w:vAlign w:val="bottom"/>
          </w:tcPr>
          <w:p>
            <w:pPr>
              <w:spacing w:after="0"/>
              <w:rPr>
                <w:sz w:val="24"/>
                <w:szCs w:val="24"/>
                <w:color w:val="auto"/>
              </w:rPr>
            </w:pPr>
          </w:p>
        </w:tc>
        <w:tc>
          <w:tcPr>
            <w:tcW w:w="356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9"/>
              </w:rPr>
              <w:t>Item 2 – Ratification of Independent Auditors</w:t>
            </w:r>
          </w:p>
        </w:tc>
        <w:tc>
          <w:tcPr>
            <w:tcW w:w="3960" w:type="dxa"/>
            <w:vAlign w:val="bottom"/>
            <w:gridSpan w:val="12"/>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91"/>
        </w:trPr>
        <w:tc>
          <w:tcPr>
            <w:tcW w:w="7680" w:type="dxa"/>
            <w:vAlign w:val="bottom"/>
            <w:gridSpan w:val="27"/>
          </w:tcPr>
          <w:p>
            <w:pPr>
              <w:spacing w:after="0"/>
              <w:rPr>
                <w:sz w:val="20"/>
                <w:szCs w:val="20"/>
                <w:color w:val="auto"/>
              </w:rPr>
            </w:pPr>
            <w:r>
              <w:rPr>
                <w:rFonts w:ascii="Arial" w:cs="Arial" w:eastAsia="Arial" w:hAnsi="Arial"/>
                <w:sz w:val="18"/>
                <w:szCs w:val="18"/>
                <w:b w:val="1"/>
                <w:bCs w:val="1"/>
                <w:color w:val="0000EE"/>
              </w:rPr>
              <w:t>COMPENSATION COMMITTEE REPORT</w:t>
            </w:r>
          </w:p>
        </w:tc>
        <w:tc>
          <w:tcPr>
            <w:tcW w:w="19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1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0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90"/>
        </w:trPr>
        <w:tc>
          <w:tcPr>
            <w:tcW w:w="160" w:type="dxa"/>
            <w:vAlign w:val="bottom"/>
          </w:tcPr>
          <w:p>
            <w:pPr>
              <w:spacing w:after="0"/>
              <w:rPr>
                <w:sz w:val="24"/>
                <w:szCs w:val="24"/>
                <w:color w:val="auto"/>
              </w:rPr>
            </w:pPr>
          </w:p>
        </w:tc>
        <w:tc>
          <w:tcPr>
            <w:tcW w:w="476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9"/>
              </w:rPr>
              <w:t>Item 3 – Advisory Vote to Approve Executive Compensation</w:t>
            </w:r>
          </w:p>
        </w:tc>
        <w:tc>
          <w:tcPr>
            <w:tcW w:w="2760" w:type="dxa"/>
            <w:vAlign w:val="bottom"/>
            <w:gridSpan w:val="7"/>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91"/>
        </w:trPr>
        <w:tc>
          <w:tcPr>
            <w:tcW w:w="160" w:type="dxa"/>
            <w:vAlign w:val="bottom"/>
          </w:tcPr>
          <w:p>
            <w:pPr>
              <w:spacing w:after="0"/>
              <w:rPr>
                <w:sz w:val="24"/>
                <w:szCs w:val="24"/>
                <w:color w:val="auto"/>
              </w:rPr>
            </w:pPr>
          </w:p>
        </w:tc>
        <w:tc>
          <w:tcPr>
            <w:tcW w:w="520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99"/>
              </w:rPr>
              <w:t>Item 4 – Frequency of Advisory Vote on Executive Compensation</w:t>
            </w:r>
          </w:p>
        </w:tc>
        <w:tc>
          <w:tcPr>
            <w:tcW w:w="2320" w:type="dxa"/>
            <w:vAlign w:val="bottom"/>
            <w:gridSpan w:val="5"/>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90"/>
        </w:trPr>
        <w:tc>
          <w:tcPr>
            <w:tcW w:w="7680" w:type="dxa"/>
            <w:vAlign w:val="bottom"/>
            <w:gridSpan w:val="27"/>
          </w:tcPr>
          <w:p>
            <w:pPr>
              <w:spacing w:after="0"/>
              <w:rPr>
                <w:sz w:val="20"/>
                <w:szCs w:val="20"/>
                <w:color w:val="auto"/>
              </w:rPr>
            </w:pPr>
            <w:r>
              <w:rPr>
                <w:rFonts w:ascii="Arial" w:cs="Arial" w:eastAsia="Arial" w:hAnsi="Arial"/>
                <w:sz w:val="18"/>
                <w:szCs w:val="18"/>
                <w:b w:val="1"/>
                <w:bCs w:val="1"/>
                <w:color w:val="0000EE"/>
              </w:rPr>
              <w:t>EXECUTIVE COMPENSATION</w:t>
            </w:r>
          </w:p>
        </w:tc>
        <w:tc>
          <w:tcPr>
            <w:tcW w:w="19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1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0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91"/>
        </w:trPr>
        <w:tc>
          <w:tcPr>
            <w:tcW w:w="160" w:type="dxa"/>
            <w:vAlign w:val="bottom"/>
          </w:tcPr>
          <w:p>
            <w:pPr>
              <w:spacing w:after="0"/>
              <w:rPr>
                <w:sz w:val="24"/>
                <w:szCs w:val="24"/>
                <w:color w:val="auto"/>
              </w:rPr>
            </w:pPr>
          </w:p>
        </w:tc>
        <w:tc>
          <w:tcPr>
            <w:tcW w:w="322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rPr>
              <w:t>Compensation Discussion and Analysis</w:t>
            </w:r>
          </w:p>
        </w:tc>
        <w:tc>
          <w:tcPr>
            <w:tcW w:w="4300" w:type="dxa"/>
            <w:vAlign w:val="bottom"/>
            <w:gridSpan w:val="14"/>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90"/>
        </w:trPr>
        <w:tc>
          <w:tcPr>
            <w:tcW w:w="160" w:type="dxa"/>
            <w:vAlign w:val="bottom"/>
          </w:tcPr>
          <w:p>
            <w:pPr>
              <w:spacing w:after="0"/>
              <w:rPr>
                <w:sz w:val="24"/>
                <w:szCs w:val="24"/>
                <w:color w:val="auto"/>
              </w:rPr>
            </w:pPr>
          </w:p>
        </w:tc>
        <w:tc>
          <w:tcPr>
            <w:tcW w:w="7520" w:type="dxa"/>
            <w:vAlign w:val="bottom"/>
            <w:gridSpan w:val="26"/>
          </w:tcPr>
          <w:p>
            <w:pPr>
              <w:spacing w:after="0"/>
              <w:rPr>
                <w:sz w:val="20"/>
                <w:szCs w:val="20"/>
                <w:color w:val="auto"/>
              </w:rPr>
            </w:pPr>
            <w:r>
              <w:rPr>
                <w:rFonts w:ascii="Arial" w:cs="Arial" w:eastAsia="Arial" w:hAnsi="Arial"/>
                <w:sz w:val="18"/>
                <w:szCs w:val="18"/>
                <w:color w:val="0000EE"/>
              </w:rPr>
              <w:t>Executive Compensation Tables</w:t>
            </w:r>
          </w:p>
        </w:tc>
        <w:tc>
          <w:tcPr>
            <w:tcW w:w="19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0"/>
        </w:trPr>
        <w:tc>
          <w:tcPr>
            <w:tcW w:w="1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0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90"/>
        </w:trPr>
        <w:tc>
          <w:tcPr>
            <w:tcW w:w="25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b w:val="1"/>
                <w:bCs w:val="1"/>
                <w:color w:val="0000EE"/>
                <w:w w:val="99"/>
              </w:rPr>
              <w:t>SHAREHOLDER PROPOSALS</w:t>
            </w:r>
          </w:p>
        </w:tc>
        <w:tc>
          <w:tcPr>
            <w:tcW w:w="5100" w:type="dxa"/>
            <w:vAlign w:val="bottom"/>
            <w:gridSpan w:val="18"/>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90"/>
        </w:trPr>
        <w:tc>
          <w:tcPr>
            <w:tcW w:w="160" w:type="dxa"/>
            <w:vAlign w:val="bottom"/>
          </w:tcPr>
          <w:p>
            <w:pPr>
              <w:spacing w:after="0"/>
              <w:rPr>
                <w:sz w:val="24"/>
                <w:szCs w:val="24"/>
                <w:color w:val="auto"/>
              </w:rPr>
            </w:pPr>
          </w:p>
        </w:tc>
        <w:tc>
          <w:tcPr>
            <w:tcW w:w="7520" w:type="dxa"/>
            <w:vAlign w:val="bottom"/>
            <w:gridSpan w:val="26"/>
          </w:tcPr>
          <w:p>
            <w:pPr>
              <w:spacing w:after="0"/>
              <w:rPr>
                <w:sz w:val="20"/>
                <w:szCs w:val="20"/>
                <w:color w:val="auto"/>
              </w:rPr>
            </w:pPr>
            <w:r>
              <w:rPr>
                <w:rFonts w:ascii="Arial" w:cs="Arial" w:eastAsia="Arial" w:hAnsi="Arial"/>
                <w:sz w:val="18"/>
                <w:szCs w:val="18"/>
                <w:color w:val="0000EE"/>
              </w:rPr>
              <w:t>Item 5 – Establish a New Board Committee on Decarbonization Risk</w:t>
            </w:r>
          </w:p>
        </w:tc>
        <w:tc>
          <w:tcPr>
            <w:tcW w:w="19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90"/>
        </w:trPr>
        <w:tc>
          <w:tcPr>
            <w:tcW w:w="160" w:type="dxa"/>
            <w:vAlign w:val="bottom"/>
          </w:tcPr>
          <w:p>
            <w:pPr>
              <w:spacing w:after="0"/>
              <w:rPr>
                <w:sz w:val="24"/>
                <w:szCs w:val="24"/>
                <w:color w:val="auto"/>
              </w:rPr>
            </w:pPr>
          </w:p>
        </w:tc>
        <w:tc>
          <w:tcPr>
            <w:tcW w:w="5440" w:type="dxa"/>
            <w:vAlign w:val="bottom"/>
            <w:tcBorders>
              <w:top w:val="single" w:sz="8" w:color="0000EE"/>
            </w:tcBorders>
            <w:gridSpan w:val="22"/>
          </w:tcPr>
          <w:p>
            <w:pPr>
              <w:spacing w:after="0"/>
              <w:rPr>
                <w:sz w:val="20"/>
                <w:szCs w:val="20"/>
                <w:color w:val="auto"/>
              </w:rPr>
            </w:pPr>
            <w:r>
              <w:rPr>
                <w:rFonts w:ascii="Arial" w:cs="Arial" w:eastAsia="Arial" w:hAnsi="Arial"/>
                <w:sz w:val="18"/>
                <w:szCs w:val="18"/>
                <w:color w:val="0000EE"/>
              </w:rPr>
              <w:t>Item 6 – Reduce Executive Stock Holding Period</w:t>
            </w:r>
          </w:p>
        </w:tc>
        <w:tc>
          <w:tcPr>
            <w:tcW w:w="2080" w:type="dxa"/>
            <w:vAlign w:val="bottom"/>
            <w:gridSpan w:val="4"/>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1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0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90"/>
        </w:trPr>
        <w:tc>
          <w:tcPr>
            <w:tcW w:w="160" w:type="dxa"/>
            <w:vAlign w:val="bottom"/>
          </w:tcPr>
          <w:p>
            <w:pPr>
              <w:spacing w:after="0"/>
              <w:rPr>
                <w:sz w:val="24"/>
                <w:szCs w:val="24"/>
                <w:color w:val="auto"/>
              </w:rPr>
            </w:pPr>
          </w:p>
        </w:tc>
        <w:tc>
          <w:tcPr>
            <w:tcW w:w="7520" w:type="dxa"/>
            <w:vAlign w:val="bottom"/>
            <w:gridSpan w:val="26"/>
          </w:tcPr>
          <w:p>
            <w:pPr>
              <w:spacing w:after="0"/>
              <w:rPr>
                <w:sz w:val="20"/>
                <w:szCs w:val="20"/>
                <w:color w:val="auto"/>
              </w:rPr>
            </w:pPr>
            <w:r>
              <w:rPr>
                <w:rFonts w:ascii="Arial" w:cs="Arial" w:eastAsia="Arial" w:hAnsi="Arial"/>
                <w:sz w:val="18"/>
                <w:szCs w:val="18"/>
                <w:color w:val="0000EE"/>
              </w:rPr>
              <w:t>Item 7 – Additional Carbon Capture and Storage and Emissions Report</w:t>
            </w:r>
          </w:p>
        </w:tc>
        <w:tc>
          <w:tcPr>
            <w:tcW w:w="19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91"/>
        </w:trPr>
        <w:tc>
          <w:tcPr>
            <w:tcW w:w="160" w:type="dxa"/>
            <w:vAlign w:val="bottom"/>
          </w:tcPr>
          <w:p>
            <w:pPr>
              <w:spacing w:after="0"/>
              <w:rPr>
                <w:sz w:val="24"/>
                <w:szCs w:val="24"/>
                <w:color w:val="auto"/>
              </w:rPr>
            </w:pPr>
          </w:p>
        </w:tc>
        <w:tc>
          <w:tcPr>
            <w:tcW w:w="3920" w:type="dxa"/>
            <w:vAlign w:val="bottom"/>
            <w:tcBorders>
              <w:top w:val="single" w:sz="8" w:color="0000EE"/>
              <w:bottom w:val="single" w:sz="8" w:color="0000EE"/>
            </w:tcBorders>
            <w:gridSpan w:val="16"/>
          </w:tcPr>
          <w:p>
            <w:pPr>
              <w:spacing w:after="0"/>
              <w:rPr>
                <w:sz w:val="20"/>
                <w:szCs w:val="20"/>
                <w:color w:val="auto"/>
              </w:rPr>
            </w:pPr>
            <w:r>
              <w:rPr>
                <w:rFonts w:ascii="Arial" w:cs="Arial" w:eastAsia="Arial" w:hAnsi="Arial"/>
                <w:sz w:val="18"/>
                <w:szCs w:val="18"/>
                <w:color w:val="0000EE"/>
                <w:w w:val="99"/>
              </w:rPr>
              <w:t>Item 8 – Additional Direct Methane Measurement</w:t>
            </w:r>
          </w:p>
        </w:tc>
        <w:tc>
          <w:tcPr>
            <w:tcW w:w="1740" w:type="dxa"/>
            <w:vAlign w:val="bottom"/>
            <w:tcBorders>
              <w:top w:val="single" w:sz="8" w:color="0000EE"/>
            </w:tcBorders>
            <w:gridSpan w:val="8"/>
          </w:tcPr>
          <w:p>
            <w:pPr>
              <w:spacing w:after="0"/>
              <w:rPr>
                <w:sz w:val="24"/>
                <w:szCs w:val="24"/>
                <w:color w:val="auto"/>
              </w:rPr>
            </w:pPr>
          </w:p>
        </w:tc>
        <w:tc>
          <w:tcPr>
            <w:tcW w:w="1860" w:type="dxa"/>
            <w:vAlign w:val="bottom"/>
            <w:gridSpan w:val="2"/>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90"/>
        </w:trPr>
        <w:tc>
          <w:tcPr>
            <w:tcW w:w="160" w:type="dxa"/>
            <w:vAlign w:val="bottom"/>
          </w:tcPr>
          <w:p>
            <w:pPr>
              <w:spacing w:after="0"/>
              <w:rPr>
                <w:sz w:val="24"/>
                <w:szCs w:val="24"/>
                <w:color w:val="auto"/>
              </w:rPr>
            </w:pPr>
          </w:p>
        </w:tc>
        <w:tc>
          <w:tcPr>
            <w:tcW w:w="7520" w:type="dxa"/>
            <w:vAlign w:val="bottom"/>
            <w:gridSpan w:val="26"/>
          </w:tcPr>
          <w:p>
            <w:pPr>
              <w:spacing w:after="0"/>
              <w:rPr>
                <w:sz w:val="20"/>
                <w:szCs w:val="20"/>
                <w:color w:val="auto"/>
              </w:rPr>
            </w:pPr>
            <w:r>
              <w:rPr>
                <w:rFonts w:ascii="Arial" w:cs="Arial" w:eastAsia="Arial" w:hAnsi="Arial"/>
                <w:sz w:val="18"/>
                <w:szCs w:val="18"/>
                <w:color w:val="0000EE"/>
              </w:rPr>
              <w:t>Item 9 – Establish a Scope 3 Target and Reduce Hydrocarbon Sales</w:t>
            </w:r>
          </w:p>
        </w:tc>
        <w:tc>
          <w:tcPr>
            <w:tcW w:w="19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0"/>
        </w:trPr>
        <w:tc>
          <w:tcPr>
            <w:tcW w:w="1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0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90"/>
        </w:trPr>
        <w:tc>
          <w:tcPr>
            <w:tcW w:w="160" w:type="dxa"/>
            <w:vAlign w:val="bottom"/>
          </w:tcPr>
          <w:p>
            <w:pPr>
              <w:spacing w:after="0"/>
              <w:rPr>
                <w:sz w:val="24"/>
                <w:szCs w:val="24"/>
                <w:color w:val="auto"/>
              </w:rPr>
            </w:pPr>
          </w:p>
        </w:tc>
        <w:tc>
          <w:tcPr>
            <w:tcW w:w="7520" w:type="dxa"/>
            <w:vAlign w:val="bottom"/>
            <w:gridSpan w:val="26"/>
          </w:tcPr>
          <w:p>
            <w:pPr>
              <w:spacing w:after="0"/>
              <w:rPr>
                <w:sz w:val="20"/>
                <w:szCs w:val="20"/>
                <w:color w:val="auto"/>
              </w:rPr>
            </w:pPr>
            <w:r>
              <w:rPr>
                <w:rFonts w:ascii="Arial" w:cs="Arial" w:eastAsia="Arial" w:hAnsi="Arial"/>
                <w:sz w:val="18"/>
                <w:szCs w:val="18"/>
                <w:color w:val="0000EE"/>
              </w:rPr>
              <w:t>Item 10 – Additional Report on Worst-case Spill and Response Plans</w:t>
            </w:r>
          </w:p>
        </w:tc>
        <w:tc>
          <w:tcPr>
            <w:tcW w:w="19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90"/>
        </w:trPr>
        <w:tc>
          <w:tcPr>
            <w:tcW w:w="160" w:type="dxa"/>
            <w:vAlign w:val="bottom"/>
          </w:tcPr>
          <w:p>
            <w:pPr>
              <w:spacing w:after="0"/>
              <w:rPr>
                <w:sz w:val="24"/>
                <w:szCs w:val="24"/>
                <w:color w:val="auto"/>
              </w:rPr>
            </w:pPr>
          </w:p>
        </w:tc>
        <w:tc>
          <w:tcPr>
            <w:tcW w:w="5480" w:type="dxa"/>
            <w:vAlign w:val="bottom"/>
            <w:tcBorders>
              <w:top w:val="single" w:sz="8" w:color="0000EE"/>
            </w:tcBorders>
            <w:gridSpan w:val="23"/>
          </w:tcPr>
          <w:p>
            <w:pPr>
              <w:spacing w:after="0"/>
              <w:rPr>
                <w:sz w:val="20"/>
                <w:szCs w:val="20"/>
                <w:color w:val="auto"/>
              </w:rPr>
            </w:pPr>
            <w:r>
              <w:rPr>
                <w:rFonts w:ascii="Arial" w:cs="Arial" w:eastAsia="Arial" w:hAnsi="Arial"/>
                <w:sz w:val="18"/>
                <w:szCs w:val="18"/>
                <w:color w:val="0000EE"/>
              </w:rPr>
              <w:t>Item 11 – GHG Reporting on Adjusted Basis</w:t>
            </w:r>
          </w:p>
        </w:tc>
        <w:tc>
          <w:tcPr>
            <w:tcW w:w="2040" w:type="dxa"/>
            <w:vAlign w:val="bottom"/>
            <w:gridSpan w:val="3"/>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0"/>
        </w:trPr>
        <w:tc>
          <w:tcPr>
            <w:tcW w:w="1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0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gridSpan w:val="7"/>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90"/>
        </w:trPr>
        <w:tc>
          <w:tcPr>
            <w:tcW w:w="160" w:type="dxa"/>
            <w:vAlign w:val="bottom"/>
          </w:tcPr>
          <w:p>
            <w:pPr>
              <w:spacing w:after="0"/>
              <w:rPr>
                <w:sz w:val="24"/>
                <w:szCs w:val="24"/>
                <w:color w:val="auto"/>
              </w:rPr>
            </w:pPr>
          </w:p>
        </w:tc>
        <w:tc>
          <w:tcPr>
            <w:tcW w:w="7520" w:type="dxa"/>
            <w:vAlign w:val="bottom"/>
            <w:gridSpan w:val="26"/>
          </w:tcPr>
          <w:p>
            <w:pPr>
              <w:spacing w:after="0"/>
              <w:rPr>
                <w:sz w:val="20"/>
                <w:szCs w:val="20"/>
                <w:color w:val="auto"/>
              </w:rPr>
            </w:pPr>
            <w:r>
              <w:rPr>
                <w:rFonts w:ascii="Arial" w:cs="Arial" w:eastAsia="Arial" w:hAnsi="Arial"/>
                <w:sz w:val="18"/>
                <w:szCs w:val="18"/>
                <w:color w:val="0000EE"/>
              </w:rPr>
              <w:t>Item 12 – Report on Asset Retirement Obligations Under IEA NZE Scenario</w:t>
            </w:r>
          </w:p>
        </w:tc>
        <w:tc>
          <w:tcPr>
            <w:tcW w:w="19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90"/>
        </w:trPr>
        <w:tc>
          <w:tcPr>
            <w:tcW w:w="160" w:type="dxa"/>
            <w:vAlign w:val="bottom"/>
          </w:tcPr>
          <w:p>
            <w:pPr>
              <w:spacing w:after="0"/>
              <w:rPr>
                <w:sz w:val="24"/>
                <w:szCs w:val="24"/>
                <w:color w:val="auto"/>
              </w:rPr>
            </w:pPr>
          </w:p>
        </w:tc>
        <w:tc>
          <w:tcPr>
            <w:tcW w:w="6020" w:type="dxa"/>
            <w:vAlign w:val="bottom"/>
            <w:tcBorders>
              <w:top w:val="single" w:sz="8" w:color="0000EE"/>
            </w:tcBorders>
            <w:gridSpan w:val="25"/>
          </w:tcPr>
          <w:p>
            <w:pPr>
              <w:spacing w:after="0"/>
              <w:rPr>
                <w:sz w:val="20"/>
                <w:szCs w:val="20"/>
                <w:color w:val="auto"/>
              </w:rPr>
            </w:pPr>
            <w:r>
              <w:rPr>
                <w:rFonts w:ascii="Arial" w:cs="Arial" w:eastAsia="Arial" w:hAnsi="Arial"/>
                <w:sz w:val="18"/>
                <w:szCs w:val="18"/>
                <w:color w:val="0000EE"/>
              </w:rPr>
              <w:t>Item 13 – Report on Plastics Under SCS Scenario</w:t>
            </w:r>
          </w:p>
        </w:tc>
        <w:tc>
          <w:tcPr>
            <w:tcW w:w="150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0"/>
        </w:trPr>
        <w:tc>
          <w:tcPr>
            <w:tcW w:w="1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0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1480" w:type="dxa"/>
            <w:vAlign w:val="bottom"/>
            <w:gridSpan w:val="7"/>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gridSpan w:val="7"/>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90"/>
        </w:trPr>
        <w:tc>
          <w:tcPr>
            <w:tcW w:w="160" w:type="dxa"/>
            <w:vAlign w:val="bottom"/>
          </w:tcPr>
          <w:p>
            <w:pPr>
              <w:spacing w:after="0"/>
              <w:rPr>
                <w:sz w:val="24"/>
                <w:szCs w:val="24"/>
                <w:color w:val="auto"/>
              </w:rPr>
            </w:pPr>
          </w:p>
        </w:tc>
        <w:tc>
          <w:tcPr>
            <w:tcW w:w="7520" w:type="dxa"/>
            <w:vAlign w:val="bottom"/>
            <w:gridSpan w:val="26"/>
          </w:tcPr>
          <w:p>
            <w:pPr>
              <w:spacing w:after="0"/>
              <w:rPr>
                <w:sz w:val="20"/>
                <w:szCs w:val="20"/>
                <w:color w:val="auto"/>
              </w:rPr>
            </w:pPr>
            <w:r>
              <w:rPr>
                <w:rFonts w:ascii="Arial" w:cs="Arial" w:eastAsia="Arial" w:hAnsi="Arial"/>
                <w:sz w:val="18"/>
                <w:szCs w:val="18"/>
                <w:color w:val="0000EE"/>
              </w:rPr>
              <w:t>Item 14 – Litigation Disclosure Beyond Legal and Accounting Requirements</w:t>
            </w:r>
          </w:p>
        </w:tc>
        <w:tc>
          <w:tcPr>
            <w:tcW w:w="19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91"/>
        </w:trPr>
        <w:tc>
          <w:tcPr>
            <w:tcW w:w="160" w:type="dxa"/>
            <w:vAlign w:val="bottom"/>
          </w:tcPr>
          <w:p>
            <w:pPr>
              <w:spacing w:after="0"/>
              <w:rPr>
                <w:sz w:val="24"/>
                <w:szCs w:val="24"/>
                <w:color w:val="auto"/>
              </w:rPr>
            </w:pPr>
          </w:p>
        </w:tc>
        <w:tc>
          <w:tcPr>
            <w:tcW w:w="4240" w:type="dxa"/>
            <w:vAlign w:val="bottom"/>
            <w:tcBorders>
              <w:top w:val="single" w:sz="8" w:color="0000EE"/>
              <w:bottom w:val="single" w:sz="8" w:color="0000EE"/>
            </w:tcBorders>
            <w:gridSpan w:val="17"/>
          </w:tcPr>
          <w:p>
            <w:pPr>
              <w:spacing w:after="0"/>
              <w:rPr>
                <w:sz w:val="20"/>
                <w:szCs w:val="20"/>
                <w:color w:val="auto"/>
              </w:rPr>
            </w:pPr>
            <w:r>
              <w:rPr>
                <w:rFonts w:ascii="Arial" w:cs="Arial" w:eastAsia="Arial" w:hAnsi="Arial"/>
                <w:sz w:val="18"/>
                <w:szCs w:val="18"/>
                <w:color w:val="0000EE"/>
                <w:w w:val="99"/>
              </w:rPr>
              <w:t>Item 15 – Tax Reporting Beyond Legal Requirements</w:t>
            </w:r>
          </w:p>
        </w:tc>
        <w:tc>
          <w:tcPr>
            <w:tcW w:w="1780" w:type="dxa"/>
            <w:vAlign w:val="bottom"/>
            <w:tcBorders>
              <w:top w:val="single" w:sz="8" w:color="0000EE"/>
            </w:tcBorders>
            <w:gridSpan w:val="8"/>
          </w:tcPr>
          <w:p>
            <w:pPr>
              <w:spacing w:after="0"/>
              <w:rPr>
                <w:sz w:val="24"/>
                <w:szCs w:val="24"/>
                <w:color w:val="auto"/>
              </w:rPr>
            </w:pPr>
          </w:p>
        </w:tc>
        <w:tc>
          <w:tcPr>
            <w:tcW w:w="150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90"/>
        </w:trPr>
        <w:tc>
          <w:tcPr>
            <w:tcW w:w="160" w:type="dxa"/>
            <w:vAlign w:val="bottom"/>
          </w:tcPr>
          <w:p>
            <w:pPr>
              <w:spacing w:after="0"/>
              <w:rPr>
                <w:sz w:val="24"/>
                <w:szCs w:val="24"/>
                <w:color w:val="auto"/>
              </w:rPr>
            </w:pPr>
          </w:p>
        </w:tc>
        <w:tc>
          <w:tcPr>
            <w:tcW w:w="7520" w:type="dxa"/>
            <w:vAlign w:val="bottom"/>
            <w:gridSpan w:val="26"/>
          </w:tcPr>
          <w:p>
            <w:pPr>
              <w:spacing w:after="0"/>
              <w:rPr>
                <w:sz w:val="20"/>
                <w:szCs w:val="20"/>
                <w:color w:val="auto"/>
              </w:rPr>
            </w:pPr>
            <w:r>
              <w:rPr>
                <w:rFonts w:ascii="Arial" w:cs="Arial" w:eastAsia="Arial" w:hAnsi="Arial"/>
                <w:sz w:val="18"/>
                <w:szCs w:val="18"/>
                <w:color w:val="0000EE"/>
              </w:rPr>
              <w:t>Item 16 – Energy Transition Social Impact Report</w:t>
            </w:r>
          </w:p>
        </w:tc>
        <w:tc>
          <w:tcPr>
            <w:tcW w:w="19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1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0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1480" w:type="dxa"/>
            <w:vAlign w:val="bottom"/>
            <w:gridSpan w:val="7"/>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180" w:type="dxa"/>
            <w:vAlign w:val="bottom"/>
            <w:gridSpan w:val="8"/>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90"/>
        </w:trPr>
        <w:tc>
          <w:tcPr>
            <w:tcW w:w="160" w:type="dxa"/>
            <w:vAlign w:val="bottom"/>
          </w:tcPr>
          <w:p>
            <w:pPr>
              <w:spacing w:after="0"/>
              <w:rPr>
                <w:sz w:val="24"/>
                <w:szCs w:val="24"/>
                <w:color w:val="auto"/>
              </w:rPr>
            </w:pPr>
          </w:p>
        </w:tc>
        <w:tc>
          <w:tcPr>
            <w:tcW w:w="7520" w:type="dxa"/>
            <w:vAlign w:val="bottom"/>
            <w:gridSpan w:val="26"/>
          </w:tcPr>
          <w:p>
            <w:pPr>
              <w:spacing w:after="0"/>
              <w:rPr>
                <w:sz w:val="20"/>
                <w:szCs w:val="20"/>
                <w:color w:val="auto"/>
              </w:rPr>
            </w:pPr>
            <w:r>
              <w:rPr>
                <w:rFonts w:ascii="Arial" w:cs="Arial" w:eastAsia="Arial" w:hAnsi="Arial"/>
                <w:sz w:val="18"/>
                <w:szCs w:val="18"/>
                <w:color w:val="0000EE"/>
              </w:rPr>
              <w:t>Item 17 – Report on Commitment Against AMAP Work</w:t>
            </w:r>
          </w:p>
        </w:tc>
        <w:tc>
          <w:tcPr>
            <w:tcW w:w="19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0"/>
        </w:trPr>
        <w:tc>
          <w:tcPr>
            <w:tcW w:w="1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0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1900" w:type="dxa"/>
            <w:vAlign w:val="bottom"/>
            <w:gridSpan w:val="9"/>
            <w:shd w:val="clear" w:color="auto" w:fill="0000EE"/>
          </w:tcPr>
          <w:p>
            <w:pPr>
              <w:spacing w:after="0" w:line="20" w:lineRule="exact"/>
              <w:rPr>
                <w:sz w:val="1"/>
                <w:szCs w:val="1"/>
                <w:color w:val="auto"/>
              </w:rPr>
            </w:pPr>
          </w:p>
        </w:tc>
        <w:tc>
          <w:tcPr>
            <w:tcW w:w="3180" w:type="dxa"/>
            <w:vAlign w:val="bottom"/>
            <w:gridSpan w:val="8"/>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90"/>
        </w:trPr>
        <w:tc>
          <w:tcPr>
            <w:tcW w:w="260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b w:val="1"/>
                <w:bCs w:val="1"/>
                <w:color w:val="0000EE"/>
                <w:w w:val="98"/>
              </w:rPr>
              <w:t>PAY VERSUS PERFORMANCE</w:t>
            </w:r>
          </w:p>
        </w:tc>
        <w:tc>
          <w:tcPr>
            <w:tcW w:w="5080" w:type="dxa"/>
            <w:vAlign w:val="bottom"/>
            <w:gridSpan w:val="17"/>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90"/>
        </w:trPr>
        <w:tc>
          <w:tcPr>
            <w:tcW w:w="94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b w:val="1"/>
                <w:bCs w:val="1"/>
                <w:color w:val="0000EE"/>
                <w:w w:val="93"/>
              </w:rPr>
              <w:t>PAY RATIO</w:t>
            </w:r>
          </w:p>
        </w:tc>
        <w:tc>
          <w:tcPr>
            <w:tcW w:w="6740" w:type="dxa"/>
            <w:vAlign w:val="bottom"/>
            <w:gridSpan w:val="24"/>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91"/>
        </w:trPr>
        <w:tc>
          <w:tcPr>
            <w:tcW w:w="24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b w:val="1"/>
                <w:bCs w:val="1"/>
                <w:color w:val="0000EE"/>
                <w:w w:val="98"/>
              </w:rPr>
              <w:t>ADDITIONAL INFORMATION</w:t>
            </w:r>
          </w:p>
        </w:tc>
        <w:tc>
          <w:tcPr>
            <w:tcW w:w="5240" w:type="dxa"/>
            <w:vAlign w:val="bottom"/>
            <w:gridSpan w:val="20"/>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90"/>
        </w:trPr>
        <w:tc>
          <w:tcPr>
            <w:tcW w:w="9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b w:val="1"/>
                <w:bCs w:val="1"/>
                <w:color w:val="0000EE"/>
                <w:w w:val="98"/>
              </w:rPr>
              <w:t>EXHIBIT A</w:t>
            </w:r>
          </w:p>
        </w:tc>
        <w:tc>
          <w:tcPr>
            <w:tcW w:w="6780" w:type="dxa"/>
            <w:vAlign w:val="bottom"/>
            <w:gridSpan w:val="25"/>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109</w:t>
            </w:r>
          </w:p>
        </w:tc>
      </w:tr>
    </w:tbl>
    <w:p>
      <w:pPr>
        <w:sectPr>
          <w:pgSz w:w="11900" w:h="16838" w:orient="portrait"/>
          <w:cols w:equalWidth="0" w:num="1">
            <w:col w:w="10420"/>
          </w:cols>
          <w:pgMar w:left="320" w:top="482" w:right="11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2B4C9B"/>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100330</wp:posOffset>
            </wp:positionV>
            <wp:extent cx="6189345" cy="9683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89345" cy="968375"/>
                    </a:xfrm>
                    <a:prstGeom prst="rect">
                      <a:avLst/>
                    </a:prstGeom>
                    <a:noFill/>
                  </pic:spPr>
                </pic:pic>
              </a:graphicData>
            </a:graphic>
          </wp:anchor>
        </w:drawing>
      </w:r>
    </w:p>
    <w:p>
      <w:pPr>
        <w:spacing w:after="0" w:line="184" w:lineRule="exact"/>
        <w:rPr>
          <w:sz w:val="20"/>
          <w:szCs w:val="20"/>
          <w:color w:val="auto"/>
        </w:rPr>
      </w:pPr>
    </w:p>
    <w:p>
      <w:pPr>
        <w:ind w:left="920"/>
        <w:spacing w:after="0"/>
        <w:rPr>
          <w:sz w:val="20"/>
          <w:szCs w:val="20"/>
          <w:color w:val="auto"/>
        </w:rPr>
      </w:pPr>
      <w:r>
        <w:rPr>
          <w:rFonts w:ascii="Arial" w:cs="Arial" w:eastAsia="Arial" w:hAnsi="Arial"/>
          <w:sz w:val="20"/>
          <w:szCs w:val="20"/>
          <w:color w:val="2B4C9B"/>
        </w:rPr>
        <w:t>ITEM 1: Election of Directors</w:t>
      </w:r>
    </w:p>
    <w:p>
      <w:pPr>
        <w:spacing w:after="0" w:line="10" w:lineRule="exact"/>
        <w:rPr>
          <w:sz w:val="20"/>
          <w:szCs w:val="20"/>
          <w:color w:val="auto"/>
        </w:rPr>
      </w:pPr>
    </w:p>
    <w:p>
      <w:pPr>
        <w:ind w:left="920"/>
        <w:spacing w:after="0"/>
        <w:rPr>
          <w:sz w:val="20"/>
          <w:szCs w:val="20"/>
          <w:color w:val="auto"/>
        </w:rPr>
      </w:pPr>
      <w:r>
        <w:rPr>
          <w:rFonts w:ascii="Arial" w:cs="Arial" w:eastAsia="Arial" w:hAnsi="Arial"/>
          <w:sz w:val="16"/>
          <w:szCs w:val="16"/>
          <w:color w:val="2B4C9B"/>
        </w:rPr>
        <w:t xml:space="preserve">The Board recommends you vote </w:t>
      </w:r>
      <w:r>
        <w:rPr>
          <w:rFonts w:ascii="Arial" w:cs="Arial" w:eastAsia="Arial" w:hAnsi="Arial"/>
          <w:sz w:val="16"/>
          <w:szCs w:val="16"/>
          <w:b w:val="1"/>
          <w:bCs w:val="1"/>
          <w:color w:val="2B4C9B"/>
        </w:rPr>
        <w:t>FOR</w:t>
      </w:r>
      <w:r>
        <w:rPr>
          <w:rFonts w:ascii="Arial" w:cs="Arial" w:eastAsia="Arial" w:hAnsi="Arial"/>
          <w:sz w:val="16"/>
          <w:szCs w:val="16"/>
          <w:color w:val="2B4C9B"/>
        </w:rPr>
        <w:t xml:space="preserve"> each of the nominees.</w:t>
      </w:r>
    </w:p>
    <w:p>
      <w:pPr>
        <w:spacing w:after="0" w:line="232" w:lineRule="exact"/>
        <w:rPr>
          <w:sz w:val="20"/>
          <w:szCs w:val="20"/>
          <w:color w:val="auto"/>
        </w:rPr>
      </w:pPr>
    </w:p>
    <w:p>
      <w:pPr>
        <w:ind w:left="920" w:right="80"/>
        <w:spacing w:after="0" w:line="296" w:lineRule="auto"/>
        <w:rPr>
          <w:sz w:val="20"/>
          <w:szCs w:val="20"/>
          <w:color w:val="auto"/>
        </w:rPr>
      </w:pPr>
      <w:r>
        <w:rPr>
          <w:rFonts w:ascii="Arial" w:cs="Arial" w:eastAsia="Arial" w:hAnsi="Arial"/>
          <w:sz w:val="16"/>
          <w:szCs w:val="16"/>
          <w:color w:val="auto"/>
        </w:rPr>
        <w:t xml:space="preserve">The Board of Directors has nominated the director candidates in this proxy statement, </w:t>
      </w:r>
      <w:r>
        <w:rPr>
          <w:rFonts w:ascii="Arial" w:cs="Arial" w:eastAsia="Arial" w:hAnsi="Arial"/>
          <w:sz w:val="16"/>
          <w:szCs w:val="16"/>
          <w:b w:val="1"/>
          <w:bCs w:val="1"/>
          <w:color w:val="auto"/>
        </w:rPr>
        <w:t>all of whom currently serve as ExxonMobil</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directors. </w:t>
      </w:r>
      <w:r>
        <w:rPr>
          <w:rFonts w:ascii="Arial" w:cs="Arial" w:eastAsia="Arial" w:hAnsi="Arial"/>
          <w:sz w:val="16"/>
          <w:szCs w:val="16"/>
          <w:color w:val="auto"/>
        </w:rPr>
        <w:t>All director nominees have stated they are willing to serve, if elected.</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Personal information about each nominee and their extensive qualifications begins on Page 8.</w:t>
      </w:r>
    </w:p>
    <w:p>
      <w:pPr>
        <w:spacing w:after="0" w:line="266" w:lineRule="exact"/>
        <w:rPr>
          <w:sz w:val="20"/>
          <w:szCs w:val="20"/>
          <w:color w:val="auto"/>
        </w:rPr>
      </w:pPr>
    </w:p>
    <w:p>
      <w:pPr>
        <w:ind w:left="3720"/>
        <w:spacing w:after="0"/>
        <w:rPr>
          <w:sz w:val="20"/>
          <w:szCs w:val="20"/>
          <w:color w:val="auto"/>
        </w:rPr>
      </w:pPr>
      <w:r>
        <w:rPr>
          <w:rFonts w:ascii="Arial" w:cs="Arial" w:eastAsia="Arial" w:hAnsi="Arial"/>
          <w:sz w:val="20"/>
          <w:szCs w:val="20"/>
          <w:b w:val="1"/>
          <w:bCs w:val="1"/>
          <w:color w:val="2B4C9B"/>
        </w:rPr>
        <w:t>ExxonMobil Board of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100330</wp:posOffset>
            </wp:positionV>
            <wp:extent cx="5777865" cy="27432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77865"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760"/>
        <w:spacing w:after="0" w:line="256" w:lineRule="auto"/>
        <w:rPr>
          <w:sz w:val="20"/>
          <w:szCs w:val="20"/>
          <w:color w:val="auto"/>
        </w:rPr>
      </w:pPr>
      <w:r>
        <w:rPr>
          <w:rFonts w:ascii="Arial" w:cs="Arial" w:eastAsia="Arial" w:hAnsi="Arial"/>
          <w:sz w:val="16"/>
          <w:szCs w:val="16"/>
          <w:color w:val="auto"/>
        </w:rPr>
        <w:t>ExxonMobil works each day to meet society’s needs for energy and the products essential to modern life, while planning to play a leading role in a thoughtful energy transition. The Company’s strategy is built on a unique combination of global scale, deep technology, innovation expertise, functional excellence, and world-class people. This strategy has built globally competitive businesses that lead the industry in absolute earnings and cash flow. The Board believes this strategy well-positions the Company for a range of future scenarios and reflects our intention to maximize long-term shareholder value throughout the energy transition.</w:t>
      </w:r>
    </w:p>
    <w:p>
      <w:pPr>
        <w:spacing w:after="0" w:line="112" w:lineRule="exact"/>
        <w:rPr>
          <w:sz w:val="20"/>
          <w:szCs w:val="20"/>
          <w:color w:val="auto"/>
        </w:rPr>
      </w:pPr>
    </w:p>
    <w:p>
      <w:pPr>
        <w:ind w:left="760"/>
        <w:spacing w:after="0" w:line="259" w:lineRule="auto"/>
        <w:rPr>
          <w:sz w:val="20"/>
          <w:szCs w:val="20"/>
          <w:color w:val="auto"/>
        </w:rPr>
      </w:pPr>
      <w:r>
        <w:rPr>
          <w:rFonts w:ascii="Arial" w:cs="Arial" w:eastAsia="Arial" w:hAnsi="Arial"/>
          <w:sz w:val="16"/>
          <w:szCs w:val="16"/>
          <w:color w:val="auto"/>
        </w:rPr>
        <w:t>The Board of Directors oversees the Company’s strategy and planning process, with each director bringing a range of skills and experiences that serve to strengthen Board deliberations and decision-making. Considering a variety of potential scenarios, the Board’s goal is to ensure the Company is well-positioned to execute its long-term strategy, which is designed to deliver profitable growth and significant shareholder returns.</w:t>
      </w:r>
    </w:p>
    <w:p>
      <w:pPr>
        <w:spacing w:after="0" w:line="97" w:lineRule="exact"/>
        <w:rPr>
          <w:sz w:val="20"/>
          <w:szCs w:val="20"/>
          <w:color w:val="auto"/>
        </w:rPr>
      </w:pPr>
    </w:p>
    <w:p>
      <w:pPr>
        <w:ind w:left="760"/>
        <w:spacing w:after="0" w:line="252" w:lineRule="auto"/>
        <w:rPr>
          <w:sz w:val="20"/>
          <w:szCs w:val="20"/>
          <w:color w:val="auto"/>
        </w:rPr>
      </w:pPr>
      <w:r>
        <w:rPr>
          <w:rFonts w:ascii="Arial" w:cs="Arial" w:eastAsia="Arial" w:hAnsi="Arial"/>
          <w:sz w:val="16"/>
          <w:szCs w:val="16"/>
          <w:color w:val="auto"/>
        </w:rPr>
        <w:t>In support of its governance, the Board reviews assumptions and sensitivities in testing projects and investments for resiliency. For example, the Board oversees the development of the Company’s plans through 2027. This five-year plan continues to call for high-return, low cost of supply, advantaged assets in the Upstream and the new Product Solutions business; it also includes significantly increasing investments in lower-emission initiatives to approximately $17 billion, including progressing advanced recycling, hydrogen, biofuels, and carbon capture and storage projects. The Board is actively involved in discussions on technology development and deployment. These discussions help guide the Company’s efforts to further reduce greenhouse gas emissions from its operated assets, and progress its plans to help others reduce their emissions from the manufacturing, power generation, and commercial transportation sectors.</w:t>
      </w:r>
    </w:p>
    <w:p>
      <w:pPr>
        <w:spacing w:after="0" w:line="308" w:lineRule="exact"/>
        <w:rPr>
          <w:sz w:val="20"/>
          <w:szCs w:val="20"/>
          <w:color w:val="auto"/>
        </w:rPr>
      </w:pPr>
    </w:p>
    <w:p>
      <w:pPr>
        <w:ind w:left="760" w:right="160"/>
        <w:spacing w:after="0" w:line="256" w:lineRule="auto"/>
        <w:rPr>
          <w:sz w:val="20"/>
          <w:szCs w:val="20"/>
          <w:color w:val="auto"/>
        </w:rPr>
      </w:pPr>
      <w:r>
        <w:rPr>
          <w:rFonts w:ascii="Arial" w:cs="Arial" w:eastAsia="Arial" w:hAnsi="Arial"/>
          <w:sz w:val="16"/>
          <w:szCs w:val="16"/>
          <w:color w:val="auto"/>
        </w:rPr>
        <w:t>The Board refreshment process is led by the Nominating and Governance Committee, which incorporates the perspectives of shareholders and external experts. This Committee seeks highly qualified Board candidates with diverse, relevant backgrounds. Important director competencies include experience in capital-intensive and cyclical industries, the energy transition, climate science, and technological research and development. In 2023, the Company added two new independent directors with proven experience in leading value-creation at industries likewise going through transitions.</w:t>
      </w:r>
    </w:p>
    <w:p>
      <w:pPr>
        <w:spacing w:after="0" w:line="98" w:lineRule="exact"/>
        <w:rPr>
          <w:sz w:val="20"/>
          <w:szCs w:val="20"/>
          <w:color w:val="auto"/>
        </w:rPr>
      </w:pPr>
    </w:p>
    <w:p>
      <w:pPr>
        <w:jc w:val="center"/>
        <w:ind w:right="-779"/>
        <w:spacing w:after="0"/>
        <w:rPr>
          <w:sz w:val="20"/>
          <w:szCs w:val="20"/>
          <w:color w:val="auto"/>
        </w:rPr>
      </w:pPr>
      <w:r>
        <w:rPr>
          <w:rFonts w:ascii="Arial" w:cs="Arial" w:eastAsia="Arial" w:hAnsi="Arial"/>
          <w:sz w:val="22"/>
          <w:szCs w:val="22"/>
          <w:b w:val="1"/>
          <w:bCs w:val="1"/>
          <w:color w:val="2B4C9B"/>
        </w:rPr>
        <w:t>The Board unanimously recommends you vote FOR</w:t>
      </w:r>
    </w:p>
    <w:p>
      <w:pPr>
        <w:spacing w:after="0" w:line="23" w:lineRule="exact"/>
        <w:rPr>
          <w:sz w:val="20"/>
          <w:szCs w:val="20"/>
          <w:color w:val="auto"/>
        </w:rPr>
      </w:pPr>
    </w:p>
    <w:p>
      <w:pPr>
        <w:ind w:left="3180"/>
        <w:spacing w:after="0"/>
        <w:rPr>
          <w:sz w:val="20"/>
          <w:szCs w:val="20"/>
          <w:color w:val="auto"/>
        </w:rPr>
      </w:pPr>
      <w:r>
        <w:rPr>
          <w:rFonts w:ascii="Arial" w:cs="Arial" w:eastAsia="Arial" w:hAnsi="Arial"/>
          <w:sz w:val="23"/>
          <w:szCs w:val="23"/>
          <w:b w:val="1"/>
          <w:bCs w:val="1"/>
          <w:color w:val="2B4C9B"/>
        </w:rPr>
        <w:t>each of the ExxonMobil director candidates.</w:t>
      </w:r>
    </w:p>
    <w:p>
      <w:pPr>
        <w:spacing w:after="0" w:line="143" w:lineRule="exact"/>
        <w:rPr>
          <w:sz w:val="20"/>
          <w:szCs w:val="20"/>
          <w:color w:val="auto"/>
        </w:rPr>
      </w:pPr>
    </w:p>
    <w:tbl>
      <w:tblPr>
        <w:tblLayout w:type="fixed"/>
        <w:tblInd w:w="68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-139065</wp:posOffset>
            </wp:positionV>
            <wp:extent cx="737235"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460"/>
          </w:cols>
          <w:pgMar w:left="320" w:top="482" w:right="11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62"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2B4C9B"/>
        </w:rPr>
        <w:t>Board Tenure</w:t>
      </w:r>
    </w:p>
    <w:p>
      <w:pPr>
        <w:spacing w:after="0" w:line="236" w:lineRule="exact"/>
        <w:rPr>
          <w:sz w:val="20"/>
          <w:szCs w:val="20"/>
          <w:color w:val="auto"/>
        </w:rPr>
      </w:pPr>
    </w:p>
    <w:p>
      <w:pPr>
        <w:ind w:left="760" w:right="160"/>
        <w:spacing w:after="0" w:line="259" w:lineRule="auto"/>
        <w:rPr>
          <w:sz w:val="20"/>
          <w:szCs w:val="20"/>
          <w:color w:val="auto"/>
        </w:rPr>
      </w:pPr>
      <w:r>
        <w:rPr>
          <w:rFonts w:ascii="Arial" w:cs="Arial" w:eastAsia="Arial" w:hAnsi="Arial"/>
          <w:sz w:val="17"/>
          <w:szCs w:val="17"/>
          <w:color w:val="auto"/>
        </w:rPr>
        <w:t>ExxonMobil added eight new independent directors since 2020 — more than</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60 percent of the total current Board as of the date of this proxy statement. Average tenure for current non-employee directors is 3.5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3"/>
          <w:szCs w:val="23"/>
          <w:b w:val="1"/>
          <w:bCs w:val="1"/>
          <w:color w:val="2B4C9B"/>
        </w:rPr>
        <w:t>Strategy delivers industry-leading results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-746125</wp:posOffset>
            </wp:positionV>
            <wp:extent cx="7174865" cy="55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780" w:type="dxa"/>
            <w:vAlign w:val="bottom"/>
            <w:shd w:val="clear" w:color="auto" w:fill="F2F2F2"/>
          </w:tcPr>
          <w:p>
            <w:pPr>
              <w:ind w:left="60"/>
              <w:spacing w:after="0"/>
              <w:rPr>
                <w:sz w:val="20"/>
                <w:szCs w:val="20"/>
                <w:color w:val="auto"/>
              </w:rPr>
            </w:pPr>
            <w:r>
              <w:rPr>
                <w:rFonts w:ascii="Arial" w:cs="Arial" w:eastAsia="Arial" w:hAnsi="Arial"/>
                <w:sz w:val="23"/>
                <w:szCs w:val="23"/>
                <w:b w:val="1"/>
                <w:bCs w:val="1"/>
                <w:color w:val="auto"/>
              </w:rPr>
              <w:t>Earnings</w:t>
            </w:r>
          </w:p>
        </w:tc>
        <w:tc>
          <w:tcPr>
            <w:tcW w:w="120" w:type="dxa"/>
            <w:vAlign w:val="bottom"/>
          </w:tcPr>
          <w:p>
            <w:pPr>
              <w:spacing w:after="0"/>
              <w:rPr>
                <w:sz w:val="22"/>
                <w:szCs w:val="22"/>
                <w:color w:val="auto"/>
              </w:rPr>
            </w:pPr>
          </w:p>
        </w:tc>
        <w:tc>
          <w:tcPr>
            <w:tcW w:w="2140" w:type="dxa"/>
            <w:vAlign w:val="bottom"/>
            <w:shd w:val="clear" w:color="auto" w:fill="F2F2F2"/>
          </w:tcPr>
          <w:p>
            <w:pPr>
              <w:ind w:left="180"/>
              <w:spacing w:after="0"/>
              <w:rPr>
                <w:sz w:val="20"/>
                <w:szCs w:val="20"/>
                <w:color w:val="auto"/>
              </w:rPr>
            </w:pPr>
            <w:r>
              <w:rPr>
                <w:rFonts w:ascii="Arial" w:cs="Arial" w:eastAsia="Arial" w:hAnsi="Arial"/>
                <w:sz w:val="23"/>
                <w:szCs w:val="23"/>
                <w:b w:val="1"/>
                <w:bCs w:val="1"/>
                <w:color w:val="auto"/>
              </w:rPr>
              <w:t>Dividend</w:t>
            </w:r>
          </w:p>
        </w:tc>
        <w:tc>
          <w:tcPr>
            <w:tcW w:w="120" w:type="dxa"/>
            <w:vAlign w:val="bottom"/>
          </w:tcPr>
          <w:p>
            <w:pPr>
              <w:spacing w:after="0"/>
              <w:rPr>
                <w:sz w:val="22"/>
                <w:szCs w:val="22"/>
                <w:color w:val="auto"/>
              </w:rPr>
            </w:pPr>
          </w:p>
        </w:tc>
        <w:tc>
          <w:tcPr>
            <w:tcW w:w="1880" w:type="dxa"/>
            <w:vAlign w:val="bottom"/>
            <w:shd w:val="clear" w:color="auto" w:fill="F2F2F2"/>
          </w:tcPr>
          <w:p>
            <w:pPr>
              <w:ind w:left="180"/>
              <w:spacing w:after="0"/>
              <w:rPr>
                <w:sz w:val="20"/>
                <w:szCs w:val="20"/>
                <w:color w:val="auto"/>
              </w:rPr>
            </w:pPr>
            <w:r>
              <w:rPr>
                <w:rFonts w:ascii="Arial" w:cs="Arial" w:eastAsia="Arial" w:hAnsi="Arial"/>
                <w:sz w:val="23"/>
                <w:szCs w:val="23"/>
                <w:b w:val="1"/>
                <w:bCs w:val="1"/>
                <w:color w:val="auto"/>
              </w:rPr>
              <w:t>Cash flow from</w:t>
            </w:r>
          </w:p>
        </w:tc>
      </w:tr>
      <w:tr>
        <w:trPr>
          <w:trHeight w:val="284"/>
        </w:trPr>
        <w:tc>
          <w:tcPr>
            <w:tcW w:w="1780" w:type="dxa"/>
            <w:vAlign w:val="bottom"/>
            <w:shd w:val="clear" w:color="auto" w:fill="F2F2F2"/>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shd w:val="clear" w:color="auto" w:fill="F2F2F2"/>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shd w:val="clear" w:color="auto" w:fill="F2F2F2"/>
          </w:tcPr>
          <w:p>
            <w:pPr>
              <w:ind w:left="180"/>
              <w:spacing w:after="0"/>
              <w:rPr>
                <w:sz w:val="20"/>
                <w:szCs w:val="20"/>
                <w:color w:val="auto"/>
              </w:rPr>
            </w:pPr>
            <w:r>
              <w:rPr>
                <w:rFonts w:ascii="Arial" w:cs="Arial" w:eastAsia="Arial" w:hAnsi="Arial"/>
                <w:sz w:val="23"/>
                <w:szCs w:val="23"/>
                <w:b w:val="1"/>
                <w:bCs w:val="1"/>
                <w:color w:val="auto"/>
              </w:rPr>
              <w:t>operations</w:t>
            </w:r>
          </w:p>
        </w:tc>
      </w:tr>
      <w:tr>
        <w:trPr>
          <w:trHeight w:val="181"/>
        </w:trPr>
        <w:tc>
          <w:tcPr>
            <w:tcW w:w="1780" w:type="dxa"/>
            <w:vAlign w:val="bottom"/>
            <w:shd w:val="clear" w:color="auto" w:fill="F2F2F2"/>
          </w:tcPr>
          <w:p>
            <w:pPr>
              <w:ind w:left="40"/>
              <w:spacing w:after="0" w:line="181" w:lineRule="exact"/>
              <w:rPr>
                <w:sz w:val="20"/>
                <w:szCs w:val="20"/>
                <w:color w:val="auto"/>
              </w:rPr>
            </w:pPr>
            <w:r>
              <w:rPr>
                <w:rFonts w:ascii="Arial" w:cs="Arial" w:eastAsia="Arial" w:hAnsi="Arial"/>
                <w:sz w:val="18"/>
                <w:szCs w:val="18"/>
                <w:color w:val="2B4C9B"/>
              </w:rPr>
              <w:t>increased to</w:t>
            </w:r>
          </w:p>
        </w:tc>
        <w:tc>
          <w:tcPr>
            <w:tcW w:w="120" w:type="dxa"/>
            <w:vAlign w:val="bottom"/>
          </w:tcPr>
          <w:p>
            <w:pPr>
              <w:spacing w:after="0"/>
              <w:rPr>
                <w:sz w:val="15"/>
                <w:szCs w:val="15"/>
                <w:color w:val="auto"/>
              </w:rPr>
            </w:pPr>
          </w:p>
        </w:tc>
        <w:tc>
          <w:tcPr>
            <w:tcW w:w="2140" w:type="dxa"/>
            <w:vAlign w:val="bottom"/>
            <w:shd w:val="clear" w:color="auto" w:fill="F2F2F2"/>
          </w:tcPr>
          <w:p>
            <w:pPr>
              <w:ind w:left="160"/>
              <w:spacing w:after="0" w:line="181" w:lineRule="exact"/>
              <w:rPr>
                <w:sz w:val="20"/>
                <w:szCs w:val="20"/>
                <w:color w:val="auto"/>
              </w:rPr>
            </w:pPr>
            <w:r>
              <w:rPr>
                <w:rFonts w:ascii="Arial" w:cs="Arial" w:eastAsia="Arial" w:hAnsi="Arial"/>
                <w:sz w:val="18"/>
                <w:szCs w:val="18"/>
                <w:color w:val="2B4C9B"/>
              </w:rPr>
              <w:t>annual growth for</w:t>
            </w:r>
          </w:p>
        </w:tc>
        <w:tc>
          <w:tcPr>
            <w:tcW w:w="120" w:type="dxa"/>
            <w:vAlign w:val="bottom"/>
          </w:tcPr>
          <w:p>
            <w:pPr>
              <w:spacing w:after="0"/>
              <w:rPr>
                <w:sz w:val="15"/>
                <w:szCs w:val="15"/>
                <w:color w:val="auto"/>
              </w:rPr>
            </w:pPr>
          </w:p>
        </w:tc>
        <w:tc>
          <w:tcPr>
            <w:tcW w:w="1880" w:type="dxa"/>
            <w:vAlign w:val="bottom"/>
            <w:shd w:val="clear" w:color="auto" w:fill="F2F2F2"/>
          </w:tcPr>
          <w:p>
            <w:pPr>
              <w:ind w:left="180"/>
              <w:spacing w:after="0" w:line="181" w:lineRule="exact"/>
              <w:rPr>
                <w:sz w:val="20"/>
                <w:szCs w:val="20"/>
                <w:color w:val="auto"/>
              </w:rPr>
            </w:pPr>
            <w:r>
              <w:rPr>
                <w:rFonts w:ascii="Arial" w:cs="Arial" w:eastAsia="Arial" w:hAnsi="Arial"/>
                <w:sz w:val="18"/>
                <w:szCs w:val="18"/>
                <w:color w:val="2B4C9B"/>
              </w:rPr>
              <w:t>increased to</w:t>
            </w:r>
          </w:p>
        </w:tc>
      </w:tr>
      <w:tr>
        <w:trPr>
          <w:trHeight w:val="597"/>
        </w:trPr>
        <w:tc>
          <w:tcPr>
            <w:tcW w:w="1780" w:type="dxa"/>
            <w:vAlign w:val="bottom"/>
            <w:shd w:val="clear" w:color="auto" w:fill="F2F2F2"/>
          </w:tcPr>
          <w:p>
            <w:pPr>
              <w:ind w:left="40"/>
              <w:spacing w:after="0"/>
              <w:rPr>
                <w:sz w:val="20"/>
                <w:szCs w:val="20"/>
                <w:color w:val="auto"/>
              </w:rPr>
            </w:pPr>
            <w:r>
              <w:rPr>
                <w:rFonts w:ascii="Arial" w:cs="Arial" w:eastAsia="Arial" w:hAnsi="Arial"/>
                <w:sz w:val="43"/>
                <w:szCs w:val="43"/>
                <w:b w:val="1"/>
                <w:bCs w:val="1"/>
                <w:color w:val="2B4C9B"/>
              </w:rPr>
              <w:t xml:space="preserve">$56 </w:t>
            </w:r>
            <w:r>
              <w:rPr>
                <w:rFonts w:ascii="Arial" w:cs="Arial" w:eastAsia="Arial" w:hAnsi="Arial"/>
                <w:sz w:val="17"/>
                <w:szCs w:val="17"/>
                <w:color w:val="2B4C9B"/>
              </w:rPr>
              <w:t>billion</w:t>
            </w:r>
          </w:p>
        </w:tc>
        <w:tc>
          <w:tcPr>
            <w:tcW w:w="120" w:type="dxa"/>
            <w:vAlign w:val="bottom"/>
          </w:tcPr>
          <w:p>
            <w:pPr>
              <w:spacing w:after="0"/>
              <w:rPr>
                <w:sz w:val="24"/>
                <w:szCs w:val="24"/>
                <w:color w:val="auto"/>
              </w:rPr>
            </w:pPr>
          </w:p>
        </w:tc>
        <w:tc>
          <w:tcPr>
            <w:tcW w:w="2140" w:type="dxa"/>
            <w:vAlign w:val="bottom"/>
            <w:shd w:val="clear" w:color="auto" w:fill="F2F2F2"/>
          </w:tcPr>
          <w:p>
            <w:pPr>
              <w:ind w:left="160"/>
              <w:spacing w:after="0"/>
              <w:rPr>
                <w:sz w:val="20"/>
                <w:szCs w:val="20"/>
                <w:color w:val="auto"/>
              </w:rPr>
            </w:pPr>
            <w:r>
              <w:rPr>
                <w:rFonts w:ascii="Arial" w:cs="Arial" w:eastAsia="Arial" w:hAnsi="Arial"/>
                <w:sz w:val="43"/>
                <w:szCs w:val="43"/>
                <w:b w:val="1"/>
                <w:bCs w:val="1"/>
                <w:color w:val="2B4C9B"/>
              </w:rPr>
              <w:t xml:space="preserve">40 </w:t>
            </w:r>
            <w:r>
              <w:rPr>
                <w:rFonts w:ascii="Arial" w:cs="Arial" w:eastAsia="Arial" w:hAnsi="Arial"/>
                <w:sz w:val="17"/>
                <w:szCs w:val="17"/>
                <w:color w:val="2B4C9B"/>
              </w:rPr>
              <w:t>consecutive years</w:t>
            </w:r>
          </w:p>
        </w:tc>
        <w:tc>
          <w:tcPr>
            <w:tcW w:w="120" w:type="dxa"/>
            <w:vAlign w:val="bottom"/>
          </w:tcPr>
          <w:p>
            <w:pPr>
              <w:spacing w:after="0"/>
              <w:rPr>
                <w:sz w:val="24"/>
                <w:szCs w:val="24"/>
                <w:color w:val="auto"/>
              </w:rPr>
            </w:pPr>
          </w:p>
        </w:tc>
        <w:tc>
          <w:tcPr>
            <w:tcW w:w="1880" w:type="dxa"/>
            <w:vAlign w:val="bottom"/>
            <w:shd w:val="clear" w:color="auto" w:fill="F2F2F2"/>
          </w:tcPr>
          <w:p>
            <w:pPr>
              <w:ind w:left="180"/>
              <w:spacing w:after="0"/>
              <w:rPr>
                <w:sz w:val="20"/>
                <w:szCs w:val="20"/>
                <w:color w:val="auto"/>
              </w:rPr>
            </w:pPr>
            <w:r>
              <w:rPr>
                <w:rFonts w:ascii="Arial" w:cs="Arial" w:eastAsia="Arial" w:hAnsi="Arial"/>
                <w:sz w:val="43"/>
                <w:szCs w:val="43"/>
                <w:b w:val="1"/>
                <w:bCs w:val="1"/>
                <w:color w:val="2B4C9B"/>
              </w:rPr>
              <w:t xml:space="preserve">$77 </w:t>
            </w:r>
            <w:r>
              <w:rPr>
                <w:rFonts w:ascii="Arial" w:cs="Arial" w:eastAsia="Arial" w:hAnsi="Arial"/>
                <w:sz w:val="17"/>
                <w:szCs w:val="17"/>
                <w:color w:val="2B4C9B"/>
              </w:rPr>
              <w:t>billion</w:t>
            </w:r>
          </w:p>
        </w:tc>
      </w:tr>
      <w:tr>
        <w:trPr>
          <w:trHeight w:val="159"/>
        </w:trPr>
        <w:tc>
          <w:tcPr>
            <w:tcW w:w="1780" w:type="dxa"/>
            <w:vAlign w:val="bottom"/>
            <w:shd w:val="clear" w:color="auto" w:fill="F2F2F2"/>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shd w:val="clear" w:color="auto" w:fill="F2F2F2"/>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shd w:val="clear" w:color="auto" w:fill="F2F2F2"/>
          </w:tcPr>
          <w:p>
            <w:pPr>
              <w:spacing w:after="0"/>
              <w:rPr>
                <w:sz w:val="13"/>
                <w:szCs w:val="13"/>
                <w:color w:val="auto"/>
              </w:rPr>
            </w:pPr>
          </w:p>
        </w:tc>
      </w:tr>
    </w:tbl>
    <w:p>
      <w:pPr>
        <w:spacing w:after="0" w:line="24" w:lineRule="exact"/>
        <w:rPr>
          <w:sz w:val="20"/>
          <w:szCs w:val="20"/>
          <w:color w:val="auto"/>
        </w:rPr>
      </w:pPr>
    </w:p>
    <w:p>
      <w:pPr>
        <w:sectPr>
          <w:pgSz w:w="11900" w:h="16838" w:orient="portrait"/>
          <w:cols w:equalWidth="0" w:num="2">
            <w:col w:w="4260" w:space="400"/>
            <w:col w:w="6040"/>
          </w:cols>
          <w:pgMar w:left="320" w:top="482" w:right="879" w:bottom="1440" w:gutter="0" w:footer="0" w:header="0"/>
        </w:sectPr>
      </w:pPr>
    </w:p>
    <w:p>
      <w:pPr>
        <w:jc w:val="center"/>
        <w:ind w:left="840"/>
        <w:spacing w:after="0"/>
        <w:rPr>
          <w:sz w:val="20"/>
          <w:szCs w:val="20"/>
          <w:color w:val="auto"/>
        </w:rPr>
      </w:pPr>
      <w:r>
        <w:rPr>
          <w:rFonts w:ascii="Arial" w:cs="Arial" w:eastAsia="Arial" w:hAnsi="Arial"/>
          <w:sz w:val="43"/>
          <w:szCs w:val="43"/>
          <w:b w:val="1"/>
          <w:bCs w:val="1"/>
          <w:color w:val="2B4C9B"/>
        </w:rPr>
        <w:t>62%</w:t>
      </w:r>
    </w:p>
    <w:p>
      <w:pPr>
        <w:spacing w:after="0" w:line="100"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2B4C9B"/>
        </w:rPr>
        <w:t>of current directors have</w:t>
      </w:r>
    </w:p>
    <w:p>
      <w:pPr>
        <w:spacing w:after="0" w:line="10"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2B4C9B"/>
        </w:rPr>
        <w:t>joined the Board since 2020</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2B4C9B"/>
        </w:rPr>
        <w:t>Director Diversity</w:t>
      </w:r>
    </w:p>
    <w:p>
      <w:pPr>
        <w:spacing w:after="0" w:line="236" w:lineRule="exact"/>
        <w:rPr>
          <w:sz w:val="20"/>
          <w:szCs w:val="20"/>
          <w:color w:val="auto"/>
        </w:rPr>
      </w:pPr>
    </w:p>
    <w:p>
      <w:pPr>
        <w:ind w:left="760" w:right="60"/>
        <w:spacing w:after="0" w:line="242" w:lineRule="auto"/>
        <w:rPr>
          <w:sz w:val="20"/>
          <w:szCs w:val="20"/>
          <w:color w:val="auto"/>
        </w:rPr>
      </w:pPr>
      <w:r>
        <w:rPr>
          <w:rFonts w:ascii="Arial" w:cs="Arial" w:eastAsia="Arial" w:hAnsi="Arial"/>
          <w:sz w:val="18"/>
          <w:szCs w:val="18"/>
          <w:color w:val="auto"/>
        </w:rPr>
        <w:t>The Board believes diversity of thought, experience, and background is critical to good governance. Unique perspectives and experiences add value in working together as a collective body to represent the interests of all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142875</wp:posOffset>
            </wp:positionV>
            <wp:extent cx="1688465" cy="16973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88465"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60" w:right="460"/>
        <w:spacing w:after="0" w:line="309" w:lineRule="auto"/>
        <w:rPr>
          <w:sz w:val="20"/>
          <w:szCs w:val="20"/>
          <w:color w:val="auto"/>
        </w:rPr>
      </w:pPr>
      <w:r>
        <w:rPr>
          <w:rFonts w:ascii="Arial" w:cs="Arial" w:eastAsia="Arial" w:hAnsi="Arial"/>
          <w:sz w:val="23"/>
          <w:szCs w:val="23"/>
          <w:b w:val="1"/>
          <w:bCs w:val="1"/>
          <w:color w:val="2B4C9B"/>
        </w:rPr>
        <w:t>Broad Range of Business &amp; Industry Experience</w:t>
      </w:r>
    </w:p>
    <w:p>
      <w:pPr>
        <w:spacing w:after="0" w:line="103" w:lineRule="exact"/>
        <w:rPr>
          <w:sz w:val="20"/>
          <w:szCs w:val="20"/>
          <w:color w:val="auto"/>
        </w:rPr>
      </w:pPr>
    </w:p>
    <w:p>
      <w:pPr>
        <w:ind w:left="760" w:right="120"/>
        <w:spacing w:after="0" w:line="244" w:lineRule="auto"/>
        <w:rPr>
          <w:sz w:val="20"/>
          <w:szCs w:val="20"/>
          <w:color w:val="auto"/>
        </w:rPr>
      </w:pPr>
      <w:r>
        <w:rPr>
          <w:rFonts w:ascii="Arial" w:cs="Arial" w:eastAsia="Arial" w:hAnsi="Arial"/>
          <w:sz w:val="18"/>
          <w:szCs w:val="18"/>
          <w:color w:val="auto"/>
        </w:rPr>
        <w:t>Directors bring a wide range of business experience, including climate expertise, industrial operations experience, investor perspectives, and experience in the oil and gas industry.</w:t>
      </w:r>
    </w:p>
    <w:p>
      <w:pPr>
        <w:spacing w:after="0" w:line="179" w:lineRule="exact"/>
        <w:rPr>
          <w:sz w:val="20"/>
          <w:szCs w:val="20"/>
          <w:color w:val="auto"/>
        </w:rPr>
      </w:pPr>
    </w:p>
    <w:p>
      <w:pPr>
        <w:jc w:val="center"/>
        <w:ind w:left="840"/>
        <w:spacing w:after="0"/>
        <w:rPr>
          <w:sz w:val="20"/>
          <w:szCs w:val="20"/>
          <w:color w:val="auto"/>
        </w:rPr>
      </w:pPr>
      <w:r>
        <w:rPr>
          <w:rFonts w:ascii="Arial" w:cs="Arial" w:eastAsia="Arial" w:hAnsi="Arial"/>
          <w:sz w:val="43"/>
          <w:szCs w:val="43"/>
          <w:b w:val="1"/>
          <w:bCs w:val="1"/>
          <w:color w:val="2B4C9B"/>
        </w:rPr>
        <w:t>23%</w:t>
      </w:r>
    </w:p>
    <w:p>
      <w:pPr>
        <w:spacing w:after="0" w:line="100" w:lineRule="exact"/>
        <w:rPr>
          <w:sz w:val="20"/>
          <w:szCs w:val="20"/>
          <w:color w:val="auto"/>
        </w:rPr>
      </w:pPr>
    </w:p>
    <w:p>
      <w:pPr>
        <w:jc w:val="center"/>
        <w:ind w:left="840" w:right="380"/>
        <w:spacing w:after="0" w:line="251" w:lineRule="auto"/>
        <w:rPr>
          <w:sz w:val="20"/>
          <w:szCs w:val="20"/>
          <w:color w:val="auto"/>
        </w:rPr>
      </w:pPr>
      <w:r>
        <w:rPr>
          <w:rFonts w:ascii="Arial" w:cs="Arial" w:eastAsia="Arial" w:hAnsi="Arial"/>
          <w:sz w:val="18"/>
          <w:szCs w:val="18"/>
          <w:color w:val="2B4C9B"/>
        </w:rPr>
        <w:t>of current directors have experience in large-scale energy / commodity businesses</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2B4C9B"/>
        </w:rPr>
        <w:t>Additional information:</w:t>
      </w:r>
    </w:p>
    <w:p>
      <w:pPr>
        <w:spacing w:after="0" w:line="128" w:lineRule="exact"/>
        <w:rPr>
          <w:sz w:val="20"/>
          <w:szCs w:val="20"/>
          <w:color w:val="auto"/>
        </w:rPr>
      </w:pPr>
    </w:p>
    <w:p>
      <w:pPr>
        <w:ind w:left="760"/>
        <w:spacing w:after="0"/>
        <w:rPr>
          <w:sz w:val="20"/>
          <w:szCs w:val="20"/>
          <w:color w:val="auto"/>
        </w:rPr>
      </w:pPr>
      <w:r>
        <w:rPr>
          <w:rFonts w:ascii="Arial" w:cs="Arial" w:eastAsia="Arial" w:hAnsi="Arial"/>
          <w:sz w:val="18"/>
          <w:szCs w:val="18"/>
          <w:color w:val="2B4C9B"/>
        </w:rPr>
        <w:t>Director leadership &amp; oversight...</w:t>
      </w:r>
      <w:r>
        <w:rPr>
          <w:rFonts w:ascii="Arial" w:cs="Arial" w:eastAsia="Arial" w:hAnsi="Arial"/>
          <w:sz w:val="18"/>
          <w:szCs w:val="18"/>
          <w:b w:val="1"/>
          <w:bCs w:val="1"/>
          <w:color w:val="2B4C9B"/>
        </w:rPr>
        <w:t>Page 20</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16"/>
          <w:szCs w:val="16"/>
          <w:color w:val="2B4C9B"/>
        </w:rPr>
        <w:t>Director qualifications &amp; competencies...</w:t>
      </w:r>
      <w:r>
        <w:rPr>
          <w:rFonts w:ascii="Arial" w:cs="Arial" w:eastAsia="Arial" w:hAnsi="Arial"/>
          <w:sz w:val="16"/>
          <w:szCs w:val="16"/>
          <w:b w:val="1"/>
          <w:bCs w:val="1"/>
          <w:color w:val="2B4C9B"/>
        </w:rPr>
        <w:t>Page 22</w:t>
      </w:r>
    </w:p>
    <w:p>
      <w:pPr>
        <w:spacing w:after="0" w:line="2" w:lineRule="exact"/>
        <w:rPr>
          <w:sz w:val="20"/>
          <w:szCs w:val="20"/>
          <w:color w:val="auto"/>
        </w:rPr>
      </w:pPr>
    </w:p>
    <w:p>
      <w:pPr>
        <w:ind w:left="760"/>
        <w:spacing w:after="0"/>
        <w:rPr>
          <w:sz w:val="20"/>
          <w:szCs w:val="20"/>
          <w:color w:val="auto"/>
        </w:rPr>
      </w:pPr>
      <w:r>
        <w:rPr>
          <w:rFonts w:ascii="Arial" w:cs="Arial" w:eastAsia="Arial" w:hAnsi="Arial"/>
          <w:sz w:val="18"/>
          <w:szCs w:val="18"/>
          <w:color w:val="2B4C9B"/>
        </w:rPr>
        <w:t>Director tenure...</w:t>
      </w:r>
      <w:r>
        <w:rPr>
          <w:rFonts w:ascii="Arial" w:cs="Arial" w:eastAsia="Arial" w:hAnsi="Arial"/>
          <w:sz w:val="18"/>
          <w:szCs w:val="18"/>
          <w:b w:val="1"/>
          <w:bCs w:val="1"/>
          <w:color w:val="2B4C9B"/>
        </w:rPr>
        <w:t>Page 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780"/>
        <w:spacing w:after="0"/>
        <w:tabs>
          <w:tab w:leader="none" w:pos="1378" w:val="left"/>
        </w:tabs>
        <w:rPr>
          <w:sz w:val="20"/>
          <w:szCs w:val="20"/>
          <w:color w:val="auto"/>
        </w:rPr>
      </w:pPr>
      <w:r>
        <w:rPr>
          <w:rFonts w:ascii="Arial" w:cs="Arial" w:eastAsia="Arial" w:hAnsi="Arial"/>
          <w:sz w:val="18"/>
          <w:szCs w:val="18"/>
          <w:color w:val="auto"/>
        </w:rPr>
        <w:t>2</w:t>
      </w:r>
      <w:r>
        <w:rPr>
          <w:sz w:val="20"/>
          <w:szCs w:val="20"/>
          <w:color w:val="auto"/>
        </w:rPr>
        <w:tab/>
      </w:r>
      <w:r>
        <w:rPr>
          <w:sz w:val="1"/>
          <w:szCs w:val="1"/>
          <w:color w:val="auto"/>
        </w:rPr>
        <w:drawing>
          <wp:inline distT="0" distB="0" distL="0" distR="0">
            <wp:extent cx="737235" cy="14541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2023 Proxy Statement</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b w:val="1"/>
          <w:bCs w:val="1"/>
          <w:color w:val="2B4C9B"/>
        </w:rPr>
        <w:t>Progress on greenhouse gas emission reductions</w:t>
      </w:r>
      <w:r>
        <w:rPr>
          <w:rFonts w:ascii="Arial" w:cs="Arial" w:eastAsia="Arial" w:hAnsi="Arial"/>
          <w:sz w:val="16"/>
          <w:szCs w:val="16"/>
          <w:b w:val="1"/>
          <w:bCs w:val="1"/>
          <w:color w:val="2B4C9B"/>
        </w:rPr>
        <w:t>1</w:t>
      </w:r>
    </w:p>
    <w:p>
      <w:pPr>
        <w:spacing w:after="0" w:line="108" w:lineRule="exact"/>
        <w:rPr>
          <w:sz w:val="20"/>
          <w:szCs w:val="20"/>
          <w:color w:val="auto"/>
        </w:rPr>
      </w:pPr>
    </w:p>
    <w:p>
      <w:pPr>
        <w:jc w:val="both"/>
        <w:ind w:right="480"/>
        <w:spacing w:after="0" w:line="251" w:lineRule="auto"/>
        <w:rPr>
          <w:sz w:val="20"/>
          <w:szCs w:val="20"/>
          <w:color w:val="auto"/>
        </w:rPr>
      </w:pPr>
      <w:r>
        <w:rPr>
          <w:rFonts w:ascii="Arial" w:cs="Arial" w:eastAsia="Arial" w:hAnsi="Arial"/>
          <w:sz w:val="18"/>
          <w:szCs w:val="18"/>
          <w:color w:val="auto"/>
        </w:rPr>
        <w:t>ExxonMobil cut global operated methane emissions in half since 2016 and eliminated routine flaring in the Permian Basin operated assets in line with the World Bank’s Zero Routine Flaring Initiative.</w:t>
      </w:r>
      <w:r>
        <w:rPr>
          <w:rFonts w:ascii="Arial" w:cs="Arial" w:eastAsia="Arial" w:hAnsi="Arial"/>
          <w:sz w:val="26"/>
          <w:szCs w:val="26"/>
          <w:color w:val="auto"/>
          <w:vertAlign w:val="superscript"/>
        </w:rPr>
        <w:t>2</w:t>
      </w:r>
    </w:p>
    <w:p>
      <w:pPr>
        <w:spacing w:after="0" w:line="3" w:lineRule="exact"/>
        <w:rPr>
          <w:sz w:val="20"/>
          <w:szCs w:val="20"/>
          <w:color w:val="auto"/>
        </w:rPr>
      </w:pPr>
    </w:p>
    <w:tbl>
      <w:tblPr>
        <w:tblLayout w:type="fixed"/>
        <w:tblInd w:w="160" w:type="dxa"/>
        <w:tblCellMar>
          <w:top w:w="0" w:type="dxa"/>
          <w:left w:w="0" w:type="dxa"/>
          <w:bottom w:w="0" w:type="dxa"/>
          <w:right w:w="0" w:type="dxa"/>
        </w:tblCellMar>
      </w:tblPr>
      <w:tr>
        <w:trPr>
          <w:trHeight w:val="548"/>
        </w:trPr>
        <w:tc>
          <w:tcPr>
            <w:tcW w:w="2880" w:type="dxa"/>
            <w:vAlign w:val="bottom"/>
          </w:tcPr>
          <w:p>
            <w:pPr>
              <w:jc w:val="center"/>
              <w:ind w:right="199"/>
              <w:spacing w:after="0"/>
              <w:rPr>
                <w:sz w:val="20"/>
                <w:szCs w:val="20"/>
                <w:color w:val="auto"/>
              </w:rPr>
            </w:pPr>
            <w:r>
              <w:rPr>
                <w:rFonts w:ascii="Arial" w:cs="Arial" w:eastAsia="Arial" w:hAnsi="Arial"/>
                <w:sz w:val="43"/>
                <w:szCs w:val="43"/>
                <w:b w:val="1"/>
                <w:bCs w:val="1"/>
                <w:color w:val="2B4C9B"/>
              </w:rPr>
              <w:t>&gt;50%</w:t>
            </w:r>
          </w:p>
        </w:tc>
        <w:tc>
          <w:tcPr>
            <w:tcW w:w="2560" w:type="dxa"/>
            <w:vAlign w:val="bottom"/>
          </w:tcPr>
          <w:p>
            <w:pPr>
              <w:jc w:val="center"/>
              <w:ind w:left="199"/>
              <w:spacing w:after="0"/>
              <w:rPr>
                <w:sz w:val="20"/>
                <w:szCs w:val="20"/>
                <w:color w:val="auto"/>
              </w:rPr>
            </w:pPr>
            <w:r>
              <w:rPr>
                <w:rFonts w:ascii="Arial" w:cs="Arial" w:eastAsia="Arial" w:hAnsi="Arial"/>
                <w:sz w:val="43"/>
                <w:szCs w:val="43"/>
                <w:b w:val="1"/>
                <w:bCs w:val="1"/>
                <w:color w:val="2B4C9B"/>
              </w:rPr>
              <w:t>&gt;10%</w:t>
            </w:r>
          </w:p>
        </w:tc>
      </w:tr>
      <w:tr>
        <w:trPr>
          <w:trHeight w:val="203"/>
        </w:trPr>
        <w:tc>
          <w:tcPr>
            <w:tcW w:w="2880" w:type="dxa"/>
            <w:vAlign w:val="bottom"/>
          </w:tcPr>
          <w:p>
            <w:pPr>
              <w:jc w:val="center"/>
              <w:ind w:right="199"/>
              <w:spacing w:after="0" w:line="202" w:lineRule="exact"/>
              <w:rPr>
                <w:sz w:val="20"/>
                <w:szCs w:val="20"/>
                <w:color w:val="auto"/>
              </w:rPr>
            </w:pPr>
            <w:r>
              <w:rPr>
                <w:rFonts w:ascii="Arial" w:cs="Arial" w:eastAsia="Arial" w:hAnsi="Arial"/>
                <w:sz w:val="18"/>
                <w:szCs w:val="18"/>
                <w:color w:val="2B4C9B"/>
                <w:w w:val="99"/>
              </w:rPr>
              <w:t>Reduction in corporate-wide</w:t>
            </w:r>
          </w:p>
        </w:tc>
        <w:tc>
          <w:tcPr>
            <w:tcW w:w="2560" w:type="dxa"/>
            <w:vAlign w:val="bottom"/>
          </w:tcPr>
          <w:p>
            <w:pPr>
              <w:jc w:val="center"/>
              <w:ind w:left="199"/>
              <w:spacing w:after="0" w:line="202" w:lineRule="exact"/>
              <w:rPr>
                <w:sz w:val="20"/>
                <w:szCs w:val="20"/>
                <w:color w:val="auto"/>
              </w:rPr>
            </w:pPr>
            <w:r>
              <w:rPr>
                <w:rFonts w:ascii="Arial" w:cs="Arial" w:eastAsia="Arial" w:hAnsi="Arial"/>
                <w:sz w:val="18"/>
                <w:szCs w:val="18"/>
                <w:color w:val="2B4C9B"/>
                <w:w w:val="99"/>
              </w:rPr>
              <w:t>Reduction in corporate-wide</w:t>
            </w:r>
          </w:p>
        </w:tc>
      </w:tr>
      <w:tr>
        <w:trPr>
          <w:trHeight w:val="203"/>
        </w:trPr>
        <w:tc>
          <w:tcPr>
            <w:tcW w:w="2880" w:type="dxa"/>
            <w:vAlign w:val="bottom"/>
          </w:tcPr>
          <w:p>
            <w:pPr>
              <w:jc w:val="center"/>
              <w:ind w:right="179"/>
              <w:spacing w:after="0" w:line="202" w:lineRule="exact"/>
              <w:rPr>
                <w:sz w:val="20"/>
                <w:szCs w:val="20"/>
                <w:color w:val="auto"/>
              </w:rPr>
            </w:pPr>
            <w:r>
              <w:rPr>
                <w:rFonts w:ascii="Arial" w:cs="Arial" w:eastAsia="Arial" w:hAnsi="Arial"/>
                <w:sz w:val="18"/>
                <w:szCs w:val="18"/>
                <w:color w:val="2B4C9B"/>
                <w:w w:val="99"/>
              </w:rPr>
              <w:t>methane intensity from operated</w:t>
            </w:r>
          </w:p>
        </w:tc>
        <w:tc>
          <w:tcPr>
            <w:tcW w:w="2560" w:type="dxa"/>
            <w:vAlign w:val="bottom"/>
          </w:tcPr>
          <w:p>
            <w:pPr>
              <w:jc w:val="center"/>
              <w:ind w:left="199"/>
              <w:spacing w:after="0" w:line="202" w:lineRule="exact"/>
              <w:rPr>
                <w:sz w:val="20"/>
                <w:szCs w:val="20"/>
                <w:color w:val="auto"/>
              </w:rPr>
            </w:pPr>
            <w:r>
              <w:rPr>
                <w:rFonts w:ascii="Arial" w:cs="Arial" w:eastAsia="Arial" w:hAnsi="Arial"/>
                <w:sz w:val="18"/>
                <w:szCs w:val="18"/>
                <w:color w:val="2B4C9B"/>
              </w:rPr>
              <w:t>greenhouse gas (GHG)</w:t>
            </w:r>
          </w:p>
        </w:tc>
      </w:tr>
      <w:tr>
        <w:trPr>
          <w:trHeight w:val="239"/>
        </w:trPr>
        <w:tc>
          <w:tcPr>
            <w:tcW w:w="2880" w:type="dxa"/>
            <w:vAlign w:val="bottom"/>
          </w:tcPr>
          <w:p>
            <w:pPr>
              <w:jc w:val="center"/>
              <w:ind w:right="199"/>
              <w:spacing w:after="0"/>
              <w:rPr>
                <w:sz w:val="20"/>
                <w:szCs w:val="20"/>
                <w:color w:val="auto"/>
              </w:rPr>
            </w:pPr>
            <w:r>
              <w:rPr>
                <w:rFonts w:ascii="Arial" w:cs="Arial" w:eastAsia="Arial" w:hAnsi="Arial"/>
                <w:sz w:val="18"/>
                <w:szCs w:val="18"/>
                <w:color w:val="2B4C9B"/>
                <w:w w:val="99"/>
              </w:rPr>
              <w:t>assets</w:t>
            </w:r>
          </w:p>
        </w:tc>
        <w:tc>
          <w:tcPr>
            <w:tcW w:w="2560" w:type="dxa"/>
            <w:vAlign w:val="bottom"/>
          </w:tcPr>
          <w:p>
            <w:pPr>
              <w:jc w:val="center"/>
              <w:ind w:left="199"/>
              <w:spacing w:after="0"/>
              <w:rPr>
                <w:sz w:val="20"/>
                <w:szCs w:val="20"/>
                <w:color w:val="auto"/>
              </w:rPr>
            </w:pPr>
            <w:r>
              <w:rPr>
                <w:rFonts w:ascii="Arial" w:cs="Arial" w:eastAsia="Arial" w:hAnsi="Arial"/>
                <w:sz w:val="18"/>
                <w:szCs w:val="18"/>
                <w:color w:val="2B4C9B"/>
              </w:rPr>
              <w:t>emissions intensity</w:t>
            </w:r>
          </w:p>
        </w:tc>
      </w:tr>
    </w:tbl>
    <w:p>
      <w:pPr>
        <w:spacing w:after="0" w:line="8" w:lineRule="exact"/>
        <w:rPr>
          <w:sz w:val="20"/>
          <w:szCs w:val="20"/>
          <w:color w:val="auto"/>
        </w:rPr>
      </w:pPr>
    </w:p>
    <w:p>
      <w:pPr>
        <w:jc w:val="center"/>
        <w:ind w:right="220"/>
        <w:spacing w:after="0"/>
        <w:rPr>
          <w:sz w:val="20"/>
          <w:szCs w:val="20"/>
          <w:color w:val="auto"/>
        </w:rPr>
      </w:pPr>
      <w:r>
        <w:rPr>
          <w:rFonts w:ascii="Arial" w:cs="Arial" w:eastAsia="Arial" w:hAnsi="Arial"/>
          <w:sz w:val="23"/>
          <w:szCs w:val="23"/>
          <w:b w:val="1"/>
          <w:bCs w:val="1"/>
          <w:color w:val="2B4C9B"/>
        </w:rPr>
        <w:t>2030 GHG emission-reduction plans</w:t>
      </w:r>
      <w:r>
        <w:rPr>
          <w:rFonts w:ascii="Arial" w:cs="Arial" w:eastAsia="Arial" w:hAnsi="Arial"/>
          <w:sz w:val="35"/>
          <w:szCs w:val="35"/>
          <w:b w:val="1"/>
          <w:bCs w:val="1"/>
          <w:color w:val="2B4C9B"/>
          <w:vertAlign w:val="superscript"/>
        </w:rPr>
        <w:t>3</w:t>
      </w:r>
      <w:r>
        <w:rPr>
          <w:rFonts w:ascii="Arial" w:cs="Arial" w:eastAsia="Arial" w:hAnsi="Arial"/>
          <w:sz w:val="23"/>
          <w:szCs w:val="23"/>
          <w:b w:val="1"/>
          <w:bCs w:val="1"/>
          <w:color w:val="2B4C9B"/>
        </w:rPr>
        <w:t xml:space="preserve"> -</w:t>
      </w:r>
    </w:p>
    <w:p>
      <w:pPr>
        <w:jc w:val="center"/>
        <w:ind w:right="220"/>
        <w:spacing w:after="0" w:line="225" w:lineRule="auto"/>
        <w:rPr>
          <w:sz w:val="20"/>
          <w:szCs w:val="20"/>
          <w:color w:val="auto"/>
        </w:rPr>
      </w:pPr>
      <w:r>
        <w:rPr>
          <w:rFonts w:ascii="Arial" w:cs="Arial" w:eastAsia="Arial" w:hAnsi="Arial"/>
          <w:sz w:val="20"/>
          <w:szCs w:val="20"/>
          <w:b w:val="1"/>
          <w:bCs w:val="1"/>
          <w:color w:val="2B4C9B"/>
        </w:rPr>
        <w:t>applies to Scope 1 and Scope 2 GHG emissions</w:t>
      </w:r>
    </w:p>
    <w:p>
      <w:pPr>
        <w:jc w:val="center"/>
        <w:ind w:right="220"/>
        <w:spacing w:after="0"/>
        <w:rPr>
          <w:sz w:val="20"/>
          <w:szCs w:val="20"/>
          <w:color w:val="auto"/>
        </w:rPr>
      </w:pPr>
      <w:r>
        <w:rPr>
          <w:rFonts w:ascii="Arial" w:cs="Arial" w:eastAsia="Arial" w:hAnsi="Arial"/>
          <w:sz w:val="20"/>
          <w:szCs w:val="20"/>
          <w:b w:val="1"/>
          <w:bCs w:val="1"/>
          <w:color w:val="2B4C9B"/>
        </w:rPr>
        <w:t>from operated assets, versus 2016 levels:</w:t>
      </w:r>
    </w:p>
    <w:p>
      <w:pPr>
        <w:spacing w:after="0" w:line="122" w:lineRule="exact"/>
        <w:rPr>
          <w:sz w:val="20"/>
          <w:szCs w:val="20"/>
          <w:color w:val="auto"/>
        </w:rPr>
      </w:pPr>
    </w:p>
    <w:tbl>
      <w:tblPr>
        <w:tblLayout w:type="fixed"/>
        <w:tblInd w:w="320" w:type="dxa"/>
        <w:tblCellMar>
          <w:top w:w="0" w:type="dxa"/>
          <w:left w:w="0" w:type="dxa"/>
          <w:bottom w:w="0" w:type="dxa"/>
          <w:right w:w="0" w:type="dxa"/>
        </w:tblCellMar>
      </w:tblPr>
      <w:tr>
        <w:trPr>
          <w:trHeight w:val="592"/>
        </w:trPr>
        <w:tc>
          <w:tcPr>
            <w:tcW w:w="2640" w:type="dxa"/>
            <w:vAlign w:val="bottom"/>
          </w:tcPr>
          <w:p>
            <w:pPr>
              <w:jc w:val="center"/>
              <w:ind w:right="268"/>
              <w:spacing w:after="0"/>
              <w:rPr>
                <w:sz w:val="20"/>
                <w:szCs w:val="20"/>
                <w:color w:val="auto"/>
              </w:rPr>
            </w:pPr>
            <w:r>
              <w:rPr>
                <w:rFonts w:ascii="Arial" w:cs="Arial" w:eastAsia="Arial" w:hAnsi="Arial"/>
                <w:sz w:val="43"/>
                <w:szCs w:val="43"/>
                <w:b w:val="1"/>
                <w:bCs w:val="1"/>
                <w:color w:val="2B4C9B"/>
                <w:w w:val="99"/>
              </w:rPr>
              <w:t>20-30%</w:t>
            </w:r>
          </w:p>
        </w:tc>
        <w:tc>
          <w:tcPr>
            <w:tcW w:w="2640" w:type="dxa"/>
            <w:vAlign w:val="bottom"/>
          </w:tcPr>
          <w:p>
            <w:pPr>
              <w:jc w:val="center"/>
              <w:ind w:left="268"/>
              <w:spacing w:after="0"/>
              <w:rPr>
                <w:sz w:val="20"/>
                <w:szCs w:val="20"/>
                <w:color w:val="auto"/>
              </w:rPr>
            </w:pPr>
            <w:r>
              <w:rPr>
                <w:rFonts w:ascii="Arial" w:cs="Arial" w:eastAsia="Arial" w:hAnsi="Arial"/>
                <w:sz w:val="43"/>
                <w:szCs w:val="43"/>
                <w:b w:val="1"/>
                <w:bCs w:val="1"/>
                <w:color w:val="2B4C9B"/>
                <w:w w:val="99"/>
              </w:rPr>
              <w:t>40-50%</w:t>
            </w:r>
          </w:p>
        </w:tc>
      </w:tr>
      <w:tr>
        <w:trPr>
          <w:trHeight w:val="203"/>
        </w:trPr>
        <w:tc>
          <w:tcPr>
            <w:tcW w:w="2640" w:type="dxa"/>
            <w:vAlign w:val="bottom"/>
          </w:tcPr>
          <w:p>
            <w:pPr>
              <w:jc w:val="center"/>
              <w:ind w:right="268"/>
              <w:spacing w:after="0" w:line="202" w:lineRule="exact"/>
              <w:rPr>
                <w:sz w:val="20"/>
                <w:szCs w:val="20"/>
                <w:color w:val="auto"/>
              </w:rPr>
            </w:pPr>
            <w:r>
              <w:rPr>
                <w:rFonts w:ascii="Arial" w:cs="Arial" w:eastAsia="Arial" w:hAnsi="Arial"/>
                <w:sz w:val="18"/>
                <w:szCs w:val="18"/>
                <w:color w:val="2B4C9B"/>
                <w:w w:val="99"/>
              </w:rPr>
              <w:t>Reduction in corporate-wide</w:t>
            </w:r>
          </w:p>
        </w:tc>
        <w:tc>
          <w:tcPr>
            <w:tcW w:w="2640" w:type="dxa"/>
            <w:vAlign w:val="bottom"/>
          </w:tcPr>
          <w:p>
            <w:pPr>
              <w:jc w:val="center"/>
              <w:ind w:left="268"/>
              <w:spacing w:after="0" w:line="202" w:lineRule="exact"/>
              <w:rPr>
                <w:sz w:val="20"/>
                <w:szCs w:val="20"/>
                <w:color w:val="auto"/>
              </w:rPr>
            </w:pPr>
            <w:r>
              <w:rPr>
                <w:rFonts w:ascii="Arial" w:cs="Arial" w:eastAsia="Arial" w:hAnsi="Arial"/>
                <w:sz w:val="18"/>
                <w:szCs w:val="18"/>
                <w:color w:val="2B4C9B"/>
              </w:rPr>
              <w:t>Reduction in Upstream</w:t>
            </w:r>
          </w:p>
        </w:tc>
      </w:tr>
      <w:tr>
        <w:trPr>
          <w:trHeight w:val="239"/>
        </w:trPr>
        <w:tc>
          <w:tcPr>
            <w:tcW w:w="2640" w:type="dxa"/>
            <w:vAlign w:val="bottom"/>
          </w:tcPr>
          <w:p>
            <w:pPr>
              <w:jc w:val="center"/>
              <w:ind w:right="268"/>
              <w:spacing w:after="0"/>
              <w:rPr>
                <w:sz w:val="20"/>
                <w:szCs w:val="20"/>
                <w:color w:val="auto"/>
              </w:rPr>
            </w:pPr>
            <w:r>
              <w:rPr>
                <w:rFonts w:ascii="Arial" w:cs="Arial" w:eastAsia="Arial" w:hAnsi="Arial"/>
                <w:sz w:val="18"/>
                <w:szCs w:val="18"/>
                <w:color w:val="2B4C9B"/>
                <w:w w:val="99"/>
              </w:rPr>
              <w:t>GHG emissions intensity</w:t>
            </w:r>
          </w:p>
        </w:tc>
        <w:tc>
          <w:tcPr>
            <w:tcW w:w="2640" w:type="dxa"/>
            <w:vAlign w:val="bottom"/>
          </w:tcPr>
          <w:p>
            <w:pPr>
              <w:jc w:val="center"/>
              <w:ind w:left="268"/>
              <w:spacing w:after="0"/>
              <w:rPr>
                <w:sz w:val="20"/>
                <w:szCs w:val="20"/>
                <w:color w:val="auto"/>
              </w:rPr>
            </w:pPr>
            <w:r>
              <w:rPr>
                <w:rFonts w:ascii="Arial" w:cs="Arial" w:eastAsia="Arial" w:hAnsi="Arial"/>
                <w:sz w:val="18"/>
                <w:szCs w:val="18"/>
                <w:color w:val="2B4C9B"/>
                <w:w w:val="99"/>
              </w:rPr>
              <w:t>GHG emissions intensity</w:t>
            </w:r>
          </w:p>
        </w:tc>
      </w:tr>
      <w:tr>
        <w:trPr>
          <w:trHeight w:val="652"/>
        </w:trPr>
        <w:tc>
          <w:tcPr>
            <w:tcW w:w="2640" w:type="dxa"/>
            <w:vAlign w:val="bottom"/>
          </w:tcPr>
          <w:p>
            <w:pPr>
              <w:jc w:val="center"/>
              <w:ind w:right="268"/>
              <w:spacing w:after="0"/>
              <w:rPr>
                <w:sz w:val="20"/>
                <w:szCs w:val="20"/>
                <w:color w:val="auto"/>
              </w:rPr>
            </w:pPr>
            <w:r>
              <w:rPr>
                <w:rFonts w:ascii="Arial" w:cs="Arial" w:eastAsia="Arial" w:hAnsi="Arial"/>
                <w:sz w:val="43"/>
                <w:szCs w:val="43"/>
                <w:b w:val="1"/>
                <w:bCs w:val="1"/>
                <w:color w:val="2B4C9B"/>
                <w:w w:val="99"/>
              </w:rPr>
              <w:t>70-80%</w:t>
            </w:r>
          </w:p>
        </w:tc>
        <w:tc>
          <w:tcPr>
            <w:tcW w:w="2640" w:type="dxa"/>
            <w:vAlign w:val="bottom"/>
          </w:tcPr>
          <w:p>
            <w:pPr>
              <w:jc w:val="center"/>
              <w:ind w:left="268"/>
              <w:spacing w:after="0"/>
              <w:rPr>
                <w:sz w:val="20"/>
                <w:szCs w:val="20"/>
                <w:color w:val="auto"/>
              </w:rPr>
            </w:pPr>
            <w:r>
              <w:rPr>
                <w:rFonts w:ascii="Arial" w:cs="Arial" w:eastAsia="Arial" w:hAnsi="Arial"/>
                <w:sz w:val="43"/>
                <w:szCs w:val="43"/>
                <w:b w:val="1"/>
                <w:bCs w:val="1"/>
                <w:color w:val="2B4C9B"/>
                <w:w w:val="99"/>
              </w:rPr>
              <w:t>60-70%</w:t>
            </w:r>
          </w:p>
        </w:tc>
      </w:tr>
      <w:tr>
        <w:trPr>
          <w:trHeight w:val="203"/>
        </w:trPr>
        <w:tc>
          <w:tcPr>
            <w:tcW w:w="2640" w:type="dxa"/>
            <w:vAlign w:val="bottom"/>
          </w:tcPr>
          <w:p>
            <w:pPr>
              <w:jc w:val="center"/>
              <w:ind w:right="268"/>
              <w:spacing w:after="0" w:line="202" w:lineRule="exact"/>
              <w:rPr>
                <w:sz w:val="20"/>
                <w:szCs w:val="20"/>
                <w:color w:val="auto"/>
              </w:rPr>
            </w:pPr>
            <w:r>
              <w:rPr>
                <w:rFonts w:ascii="Arial" w:cs="Arial" w:eastAsia="Arial" w:hAnsi="Arial"/>
                <w:sz w:val="18"/>
                <w:szCs w:val="18"/>
                <w:color w:val="2B4C9B"/>
                <w:w w:val="99"/>
              </w:rPr>
              <w:t>Reduction in corporate-wide</w:t>
            </w:r>
          </w:p>
        </w:tc>
        <w:tc>
          <w:tcPr>
            <w:tcW w:w="2640" w:type="dxa"/>
            <w:vAlign w:val="bottom"/>
          </w:tcPr>
          <w:p>
            <w:pPr>
              <w:jc w:val="center"/>
              <w:ind w:left="268"/>
              <w:spacing w:after="0" w:line="202" w:lineRule="exact"/>
              <w:rPr>
                <w:sz w:val="20"/>
                <w:szCs w:val="20"/>
                <w:color w:val="auto"/>
              </w:rPr>
            </w:pPr>
            <w:r>
              <w:rPr>
                <w:rFonts w:ascii="Arial" w:cs="Arial" w:eastAsia="Arial" w:hAnsi="Arial"/>
                <w:sz w:val="18"/>
                <w:szCs w:val="18"/>
                <w:color w:val="2B4C9B"/>
                <w:w w:val="99"/>
              </w:rPr>
              <w:t>Reduction in corporate-wide</w:t>
            </w:r>
          </w:p>
        </w:tc>
      </w:tr>
      <w:tr>
        <w:trPr>
          <w:trHeight w:val="239"/>
        </w:trPr>
        <w:tc>
          <w:tcPr>
            <w:tcW w:w="2640" w:type="dxa"/>
            <w:vAlign w:val="bottom"/>
          </w:tcPr>
          <w:p>
            <w:pPr>
              <w:jc w:val="center"/>
              <w:ind w:right="268"/>
              <w:spacing w:after="0"/>
              <w:rPr>
                <w:sz w:val="20"/>
                <w:szCs w:val="20"/>
                <w:color w:val="auto"/>
              </w:rPr>
            </w:pPr>
            <w:r>
              <w:rPr>
                <w:rFonts w:ascii="Arial" w:cs="Arial" w:eastAsia="Arial" w:hAnsi="Arial"/>
                <w:sz w:val="18"/>
                <w:szCs w:val="18"/>
                <w:color w:val="2B4C9B"/>
                <w:w w:val="99"/>
              </w:rPr>
              <w:t>methane intensity</w:t>
            </w:r>
          </w:p>
        </w:tc>
        <w:tc>
          <w:tcPr>
            <w:tcW w:w="2640" w:type="dxa"/>
            <w:vAlign w:val="bottom"/>
          </w:tcPr>
          <w:p>
            <w:pPr>
              <w:jc w:val="center"/>
              <w:ind w:left="268"/>
              <w:spacing w:after="0"/>
              <w:rPr>
                <w:sz w:val="20"/>
                <w:szCs w:val="20"/>
                <w:color w:val="auto"/>
              </w:rPr>
            </w:pPr>
            <w:r>
              <w:rPr>
                <w:rFonts w:ascii="Arial" w:cs="Arial" w:eastAsia="Arial" w:hAnsi="Arial"/>
                <w:sz w:val="18"/>
                <w:szCs w:val="18"/>
                <w:color w:val="2B4C9B"/>
                <w:w w:val="99"/>
              </w:rPr>
              <w:t>hydrocarbon flaring intensity</w:t>
            </w:r>
          </w:p>
        </w:tc>
      </w:tr>
    </w:tbl>
    <w:p>
      <w:pPr>
        <w:spacing w:after="0" w:line="84" w:lineRule="exact"/>
        <w:rPr>
          <w:sz w:val="20"/>
          <w:szCs w:val="20"/>
          <w:color w:val="auto"/>
        </w:rPr>
      </w:pPr>
    </w:p>
    <w:p>
      <w:pPr>
        <w:spacing w:after="0"/>
        <w:rPr>
          <w:sz w:val="20"/>
          <w:szCs w:val="20"/>
          <w:color w:val="auto"/>
        </w:rPr>
      </w:pPr>
      <w:r>
        <w:rPr>
          <w:rFonts w:ascii="Arial" w:cs="Arial" w:eastAsia="Arial" w:hAnsi="Arial"/>
          <w:sz w:val="23"/>
          <w:szCs w:val="23"/>
          <w:b w:val="1"/>
          <w:bCs w:val="1"/>
          <w:color w:val="2B4C9B"/>
        </w:rPr>
        <w:t>2050 Net-zero Ambition for Operated Assets</w:t>
      </w:r>
    </w:p>
    <w:p>
      <w:pPr>
        <w:spacing w:after="0" w:line="128"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With advances in technology and the support of clear and consistent government policies, we aim to achieve our Scope 1 and Scope 2 net-zero ambition Corporate-wide by 2050. To this end, we have taken a comprehensive approach to create emission-reduction roadmaps</w:t>
      </w:r>
      <w:r>
        <w:rPr>
          <w:rFonts w:ascii="Arial" w:cs="Arial" w:eastAsia="Arial" w:hAnsi="Arial"/>
          <w:sz w:val="26"/>
          <w:szCs w:val="26"/>
          <w:color w:val="auto"/>
          <w:vertAlign w:val="superscript"/>
        </w:rPr>
        <w:t>4</w:t>
      </w:r>
      <w:r>
        <w:rPr>
          <w:rFonts w:ascii="Arial" w:cs="Arial" w:eastAsia="Arial" w:hAnsi="Arial"/>
          <w:sz w:val="18"/>
          <w:szCs w:val="18"/>
          <w:color w:val="auto"/>
        </w:rPr>
        <w:t xml:space="preserve"> for our major operated assets. The roadmaps build on our 2030 emission-reduction plans and include reaching net-zero emissions in our unconventional Permian Basin operated assets by 2030.</w:t>
      </w:r>
    </w:p>
    <w:p>
      <w:pPr>
        <w:spacing w:after="0" w:line="74" w:lineRule="exact"/>
        <w:rPr>
          <w:sz w:val="20"/>
          <w:szCs w:val="20"/>
          <w:color w:val="auto"/>
        </w:rPr>
      </w:pPr>
    </w:p>
    <w:p>
      <w:pPr>
        <w:spacing w:after="0"/>
        <w:rPr>
          <w:sz w:val="20"/>
          <w:szCs w:val="20"/>
          <w:color w:val="auto"/>
        </w:rPr>
      </w:pPr>
      <w:r>
        <w:rPr>
          <w:rFonts w:ascii="Arial" w:cs="Arial" w:eastAsia="Arial" w:hAnsi="Arial"/>
          <w:sz w:val="23"/>
          <w:szCs w:val="23"/>
          <w:b w:val="1"/>
          <w:bCs w:val="1"/>
          <w:color w:val="2B4C9B"/>
        </w:rPr>
        <w:t>Investing in Lower-Emission Opportunities</w:t>
      </w:r>
    </w:p>
    <w:p>
      <w:pPr>
        <w:spacing w:after="0" w:line="128" w:lineRule="exact"/>
        <w:rPr>
          <w:sz w:val="20"/>
          <w:szCs w:val="20"/>
          <w:color w:val="auto"/>
        </w:rPr>
      </w:pPr>
    </w:p>
    <w:p>
      <w:pPr>
        <w:ind w:right="400"/>
        <w:spacing w:after="0" w:line="259" w:lineRule="auto"/>
        <w:rPr>
          <w:sz w:val="20"/>
          <w:szCs w:val="20"/>
          <w:color w:val="auto"/>
        </w:rPr>
      </w:pPr>
      <w:r>
        <w:rPr>
          <w:rFonts w:ascii="Arial" w:cs="Arial" w:eastAsia="Arial" w:hAnsi="Arial"/>
          <w:sz w:val="17"/>
          <w:szCs w:val="17"/>
          <w:color w:val="auto"/>
        </w:rPr>
        <w:t>ExxonMobil plans to invest approximately $17 billion in value accretive, lower-emission initiatives from 2022 through 2027. Approximately</w:t>
      </w:r>
    </w:p>
    <w:p>
      <w:pPr>
        <w:spacing w:after="0" w:line="1" w:lineRule="exact"/>
        <w:rPr>
          <w:sz w:val="20"/>
          <w:szCs w:val="20"/>
          <w:color w:val="auto"/>
        </w:rPr>
      </w:pPr>
    </w:p>
    <w:p>
      <w:pPr>
        <w:ind w:right="280"/>
        <w:spacing w:after="0" w:line="236" w:lineRule="auto"/>
        <w:rPr>
          <w:sz w:val="20"/>
          <w:szCs w:val="20"/>
          <w:color w:val="auto"/>
        </w:rPr>
      </w:pPr>
      <w:r>
        <w:rPr>
          <w:rFonts w:ascii="Arial" w:cs="Arial" w:eastAsia="Arial" w:hAnsi="Arial"/>
          <w:sz w:val="18"/>
          <w:szCs w:val="18"/>
          <w:color w:val="auto"/>
        </w:rPr>
        <w:t>40 percent will be directed toward building the Company’s Low Carbon Solutions business to help customers reduce their GHG emissions through large-scale carbon capture and storage, hydrogen, and biofuels. These lower-emissions technologies are recognized as necessary solutions to help address climate change and closely align with ExxonMobil’s existing competitive advantages and core capabilities. The Company’s robust research and development process, continued evaluation of emerging technologies, and global collaborations will be key to identifying lower-emission opportunities and growing the Low Carbon Solutions business.</w:t>
      </w:r>
    </w:p>
    <w:p>
      <w:pPr>
        <w:spacing w:after="0" w:line="177" w:lineRule="exact"/>
        <w:rPr>
          <w:sz w:val="20"/>
          <w:szCs w:val="20"/>
          <w:color w:val="auto"/>
        </w:rPr>
      </w:pPr>
    </w:p>
    <w:p>
      <w:pPr>
        <w:jc w:val="center"/>
        <w:ind w:right="220"/>
        <w:spacing w:after="0"/>
        <w:rPr>
          <w:sz w:val="20"/>
          <w:szCs w:val="20"/>
          <w:color w:val="auto"/>
        </w:rPr>
      </w:pPr>
      <w:r>
        <w:rPr>
          <w:rFonts w:ascii="Arial" w:cs="Arial" w:eastAsia="Arial" w:hAnsi="Arial"/>
          <w:sz w:val="43"/>
          <w:szCs w:val="43"/>
          <w:b w:val="1"/>
          <w:bCs w:val="1"/>
          <w:color w:val="2B4C9B"/>
        </w:rPr>
        <w:t>~$17 Billion</w:t>
      </w:r>
    </w:p>
    <w:p>
      <w:pPr>
        <w:spacing w:after="0" w:line="100" w:lineRule="exact"/>
        <w:rPr>
          <w:sz w:val="20"/>
          <w:szCs w:val="20"/>
          <w:color w:val="auto"/>
        </w:rPr>
      </w:pPr>
    </w:p>
    <w:p>
      <w:pPr>
        <w:ind w:left="80"/>
        <w:spacing w:after="0"/>
        <w:rPr>
          <w:sz w:val="20"/>
          <w:szCs w:val="20"/>
          <w:color w:val="auto"/>
        </w:rPr>
      </w:pPr>
      <w:r>
        <w:rPr>
          <w:rFonts w:ascii="Arial" w:cs="Arial" w:eastAsia="Arial" w:hAnsi="Arial"/>
          <w:sz w:val="18"/>
          <w:szCs w:val="18"/>
          <w:color w:val="2B4C9B"/>
        </w:rPr>
        <w:t>Allocated toward lower-emissions investments from 2022 through 2027</w:t>
      </w:r>
    </w:p>
    <w:p>
      <w:pPr>
        <w:sectPr>
          <w:pgSz w:w="11900" w:h="16838" w:orient="portrait"/>
          <w:cols w:equalWidth="0" w:num="2">
            <w:col w:w="4300" w:space="360"/>
            <w:col w:w="6040"/>
          </w:cols>
          <w:pgMar w:left="320" w:top="482" w:right="87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208280</wp:posOffset>
            </wp:positionV>
            <wp:extent cx="6189345" cy="514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89345" cy="514350"/>
                    </a:xfrm>
                    <a:prstGeom prst="rect">
                      <a:avLst/>
                    </a:prstGeom>
                    <a:noFill/>
                  </pic:spPr>
                </pic:pic>
              </a:graphicData>
            </a:graphic>
          </wp:anchor>
        </w:drawing>
      </w:r>
    </w:p>
    <w:p>
      <w:pPr>
        <w:spacing w:after="0" w:line="358" w:lineRule="exact"/>
        <w:rPr>
          <w:sz w:val="20"/>
          <w:szCs w:val="20"/>
          <w:color w:val="auto"/>
        </w:rPr>
      </w:pPr>
    </w:p>
    <w:p>
      <w:pPr>
        <w:ind w:left="920"/>
        <w:spacing w:after="0"/>
        <w:rPr>
          <w:sz w:val="20"/>
          <w:szCs w:val="20"/>
          <w:color w:val="auto"/>
        </w:rPr>
      </w:pPr>
      <w:r>
        <w:rPr>
          <w:rFonts w:ascii="Arial" w:cs="Arial" w:eastAsia="Arial" w:hAnsi="Arial"/>
          <w:sz w:val="23"/>
          <w:szCs w:val="23"/>
          <w:color w:val="2B4C9B"/>
        </w:rPr>
        <w:t>ITEM 2: Ratification of Independent Auditors</w:t>
      </w:r>
    </w:p>
    <w:p>
      <w:pPr>
        <w:spacing w:after="0" w:line="43" w:lineRule="exact"/>
        <w:rPr>
          <w:sz w:val="20"/>
          <w:szCs w:val="20"/>
          <w:color w:val="auto"/>
        </w:rPr>
      </w:pPr>
    </w:p>
    <w:p>
      <w:pPr>
        <w:ind w:left="920"/>
        <w:spacing w:after="0"/>
        <w:rPr>
          <w:sz w:val="20"/>
          <w:szCs w:val="20"/>
          <w:color w:val="auto"/>
        </w:rPr>
      </w:pPr>
      <w:r>
        <w:rPr>
          <w:rFonts w:ascii="Arial" w:cs="Arial" w:eastAsia="Arial" w:hAnsi="Arial"/>
          <w:sz w:val="18"/>
          <w:szCs w:val="18"/>
          <w:color w:val="2B4C9B"/>
        </w:rPr>
        <w:t xml:space="preserve">The Board recommends you vote </w:t>
      </w:r>
      <w:r>
        <w:rPr>
          <w:rFonts w:ascii="Arial" w:cs="Arial" w:eastAsia="Arial" w:hAnsi="Arial"/>
          <w:sz w:val="23"/>
          <w:szCs w:val="23"/>
          <w:b w:val="1"/>
          <w:bCs w:val="1"/>
          <w:color w:val="2B4C9B"/>
        </w:rPr>
        <w:t>FOR</w:t>
      </w:r>
      <w:r>
        <w:rPr>
          <w:rFonts w:ascii="Arial" w:cs="Arial" w:eastAsia="Arial" w:hAnsi="Arial"/>
          <w:sz w:val="18"/>
          <w:szCs w:val="18"/>
          <w:color w:val="2B4C9B"/>
        </w:rPr>
        <w:t xml:space="preserve"> this proposal.</w:t>
      </w:r>
    </w:p>
    <w:p>
      <w:pPr>
        <w:sectPr>
          <w:pgSz w:w="11900" w:h="16838" w:orient="portrait"/>
          <w:cols w:equalWidth="0" w:num="1">
            <w:col w:w="10480"/>
          </w:cols>
          <w:pgMar w:left="320" w:top="482" w:right="1099" w:bottom="1064" w:gutter="0" w:footer="0" w:header="0"/>
        </w:sectPr>
      </w:pPr>
    </w:p>
    <w:p>
      <w:pPr>
        <w:spacing w:after="0" w:line="200" w:lineRule="exact"/>
        <w:rPr>
          <w:sz w:val="20"/>
          <w:szCs w:val="20"/>
          <w:color w:val="auto"/>
        </w:rPr>
      </w:pPr>
    </w:p>
    <w:p>
      <w:pPr>
        <w:spacing w:after="0" w:line="374" w:lineRule="exact"/>
        <w:rPr>
          <w:sz w:val="20"/>
          <w:szCs w:val="20"/>
          <w:color w:val="auto"/>
        </w:rPr>
      </w:pPr>
    </w:p>
    <w:p>
      <w:pPr>
        <w:ind w:left="760" w:right="660"/>
        <w:spacing w:after="0" w:line="271" w:lineRule="auto"/>
        <w:rPr>
          <w:sz w:val="20"/>
          <w:szCs w:val="20"/>
          <w:color w:val="auto"/>
        </w:rPr>
      </w:pPr>
      <w:r>
        <w:rPr>
          <w:rFonts w:ascii="Arial" w:cs="Arial" w:eastAsia="Arial" w:hAnsi="Arial"/>
          <w:sz w:val="18"/>
          <w:szCs w:val="18"/>
          <w:color w:val="auto"/>
        </w:rPr>
        <w:t>The ExxonMobil Audit Committee has appointed PricewaterhouseCoopers LLP (PwC) to audit ExxonMobil’s financial statements for 2023.</w:t>
      </w:r>
    </w:p>
    <w:p>
      <w:pPr>
        <w:spacing w:after="0" w:line="11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You are asked to ratify that 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1157605</wp:posOffset>
            </wp:positionV>
            <wp:extent cx="6189345" cy="7200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89345" cy="7200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Page 41</w:t>
      </w:r>
    </w:p>
    <w:p>
      <w:pPr>
        <w:spacing w:after="0" w:line="14" w:lineRule="exact"/>
        <w:rPr>
          <w:sz w:val="20"/>
          <w:szCs w:val="20"/>
          <w:color w:val="auto"/>
        </w:rPr>
      </w:pPr>
    </w:p>
    <w:p>
      <w:pPr>
        <w:spacing w:after="0" w:line="234" w:lineRule="auto"/>
        <w:rPr>
          <w:sz w:val="20"/>
          <w:szCs w:val="20"/>
          <w:color w:val="auto"/>
        </w:rPr>
      </w:pPr>
      <w:r>
        <w:rPr>
          <w:rFonts w:ascii="Arial" w:cs="Arial" w:eastAsia="Arial" w:hAnsi="Arial"/>
          <w:sz w:val="18"/>
          <w:szCs w:val="18"/>
          <w:color w:val="2B4C9B"/>
        </w:rPr>
        <w:t>Additional information about the Audit Committee’s appointment of PwC</w:t>
      </w:r>
    </w:p>
    <w:p>
      <w:pPr>
        <w:spacing w:after="0" w:line="238" w:lineRule="auto"/>
        <w:rPr>
          <w:sz w:val="20"/>
          <w:szCs w:val="20"/>
          <w:color w:val="auto"/>
        </w:rPr>
      </w:pPr>
      <w:r>
        <w:rPr>
          <w:rFonts w:ascii="Arial" w:cs="Arial" w:eastAsia="Arial" w:hAnsi="Arial"/>
          <w:sz w:val="18"/>
          <w:szCs w:val="18"/>
          <w:color w:val="2B4C9B"/>
        </w:rPr>
        <w:t>and PwC’s fees for</w:t>
      </w:r>
    </w:p>
    <w:p>
      <w:pPr>
        <w:spacing w:after="0"/>
        <w:rPr>
          <w:sz w:val="20"/>
          <w:szCs w:val="20"/>
          <w:color w:val="auto"/>
        </w:rPr>
      </w:pPr>
      <w:r>
        <w:rPr>
          <w:rFonts w:ascii="Arial" w:cs="Arial" w:eastAsia="Arial" w:hAnsi="Arial"/>
          <w:sz w:val="18"/>
          <w:szCs w:val="18"/>
          <w:color w:val="2B4C9B"/>
        </w:rPr>
        <w:t>2021 and 2022</w:t>
      </w:r>
    </w:p>
    <w:p>
      <w:pPr>
        <w:spacing w:after="0" w:line="200" w:lineRule="exact"/>
        <w:rPr>
          <w:sz w:val="20"/>
          <w:szCs w:val="20"/>
          <w:color w:val="auto"/>
        </w:rPr>
      </w:pPr>
    </w:p>
    <w:p>
      <w:pPr>
        <w:sectPr>
          <w:pgSz w:w="11900" w:h="16838" w:orient="portrait"/>
          <w:cols w:equalWidth="0" w:num="2">
            <w:col w:w="7720" w:space="720"/>
            <w:col w:w="2040"/>
          </w:cols>
          <w:pgMar w:left="320" w:top="482" w:right="1099" w:bottom="106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920"/>
        <w:spacing w:after="0"/>
        <w:rPr>
          <w:sz w:val="20"/>
          <w:szCs w:val="20"/>
          <w:color w:val="auto"/>
        </w:rPr>
      </w:pPr>
      <w:r>
        <w:rPr>
          <w:rFonts w:ascii="Arial" w:cs="Arial" w:eastAsia="Arial" w:hAnsi="Arial"/>
          <w:sz w:val="23"/>
          <w:szCs w:val="23"/>
          <w:color w:val="2B4C9B"/>
        </w:rPr>
        <w:t>ITEM 3: Advisory Vote to Approve Executive Compensation</w:t>
      </w:r>
    </w:p>
    <w:p>
      <w:pPr>
        <w:spacing w:after="0" w:line="43" w:lineRule="exact"/>
        <w:rPr>
          <w:sz w:val="20"/>
          <w:szCs w:val="20"/>
          <w:color w:val="auto"/>
        </w:rPr>
      </w:pPr>
    </w:p>
    <w:p>
      <w:pPr>
        <w:ind w:left="920"/>
        <w:spacing w:after="0"/>
        <w:rPr>
          <w:sz w:val="20"/>
          <w:szCs w:val="20"/>
          <w:color w:val="auto"/>
        </w:rPr>
      </w:pPr>
      <w:r>
        <w:rPr>
          <w:rFonts w:ascii="Arial" w:cs="Arial" w:eastAsia="Arial" w:hAnsi="Arial"/>
          <w:sz w:val="23"/>
          <w:szCs w:val="23"/>
          <w:color w:val="2B4C9B"/>
        </w:rPr>
        <w:t>ITEM 4: Frequency of Advisory Vote on Executive Compensation</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2B4C9B"/>
        </w:rPr>
        <w:t xml:space="preserve">The Board recommends you vote </w:t>
      </w:r>
      <w:r>
        <w:rPr>
          <w:rFonts w:ascii="Arial" w:cs="Arial" w:eastAsia="Arial" w:hAnsi="Arial"/>
          <w:sz w:val="23"/>
          <w:szCs w:val="23"/>
          <w:b w:val="1"/>
          <w:bCs w:val="1"/>
          <w:color w:val="2B4C9B"/>
        </w:rPr>
        <w:t>FOR on Item 3</w:t>
      </w:r>
      <w:r>
        <w:rPr>
          <w:rFonts w:ascii="Arial" w:cs="Arial" w:eastAsia="Arial" w:hAnsi="Arial"/>
          <w:sz w:val="18"/>
          <w:szCs w:val="18"/>
          <w:color w:val="2B4C9B"/>
        </w:rPr>
        <w:t xml:space="preserve"> and </w:t>
      </w:r>
      <w:r>
        <w:rPr>
          <w:rFonts w:ascii="Arial" w:cs="Arial" w:eastAsia="Arial" w:hAnsi="Arial"/>
          <w:sz w:val="23"/>
          <w:szCs w:val="23"/>
          <w:b w:val="1"/>
          <w:bCs w:val="1"/>
          <w:color w:val="2B4C9B"/>
        </w:rPr>
        <w:t>FOR One-Year Frequency on Item 4</w:t>
      </w:r>
      <w:r>
        <w:rPr>
          <w:rFonts w:ascii="Arial" w:cs="Arial" w:eastAsia="Arial" w:hAnsi="Arial"/>
          <w:sz w:val="18"/>
          <w:szCs w:val="18"/>
          <w:color w:val="2B4C9B"/>
        </w:rPr>
        <w:t>.</w:t>
      </w:r>
    </w:p>
    <w:p>
      <w:pPr>
        <w:spacing w:after="0" w:line="200" w:lineRule="exact"/>
        <w:rPr>
          <w:sz w:val="20"/>
          <w:szCs w:val="20"/>
          <w:color w:val="auto"/>
        </w:rPr>
      </w:pPr>
    </w:p>
    <w:p>
      <w:pPr>
        <w:spacing w:after="0" w:line="292" w:lineRule="exact"/>
        <w:rPr>
          <w:sz w:val="20"/>
          <w:szCs w:val="20"/>
          <w:color w:val="auto"/>
        </w:rPr>
      </w:pPr>
    </w:p>
    <w:p>
      <w:pPr>
        <w:ind w:left="760"/>
        <w:spacing w:after="0"/>
        <w:tabs>
          <w:tab w:leader="none" w:pos="8420" w:val="left"/>
        </w:tabs>
        <w:rPr>
          <w:sz w:val="20"/>
          <w:szCs w:val="20"/>
          <w:color w:val="auto"/>
        </w:rPr>
      </w:pPr>
      <w:r>
        <w:rPr>
          <w:rFonts w:ascii="Arial" w:cs="Arial" w:eastAsia="Arial" w:hAnsi="Arial"/>
          <w:sz w:val="18"/>
          <w:szCs w:val="18"/>
          <w:color w:val="auto"/>
        </w:rPr>
        <w:t>ExxonMobil asks you to vote on non-binding resolutions to approve the</w:t>
      </w:r>
      <w:r>
        <w:rPr>
          <w:sz w:val="20"/>
          <w:szCs w:val="20"/>
          <w:color w:val="auto"/>
        </w:rPr>
        <w:tab/>
      </w:r>
      <w:r>
        <w:rPr>
          <w:rFonts w:ascii="Arial" w:cs="Arial" w:eastAsia="Arial" w:hAnsi="Arial"/>
          <w:sz w:val="17"/>
          <w:szCs w:val="17"/>
          <w:b w:val="1"/>
          <w:bCs w:val="1"/>
          <w:color w:val="2B4C9B"/>
        </w:rPr>
        <w:t>Page 44</w:t>
      </w:r>
    </w:p>
    <w:p>
      <w:pPr>
        <w:spacing w:after="0" w:line="9" w:lineRule="exact"/>
        <w:rPr>
          <w:sz w:val="20"/>
          <w:szCs w:val="20"/>
          <w:color w:val="auto"/>
        </w:rPr>
      </w:pPr>
    </w:p>
    <w:p>
      <w:pPr>
        <w:ind w:left="760"/>
        <w:spacing w:after="0"/>
        <w:tabs>
          <w:tab w:leader="none" w:pos="8420" w:val="left"/>
        </w:tabs>
        <w:rPr>
          <w:sz w:val="20"/>
          <w:szCs w:val="20"/>
          <w:color w:val="auto"/>
        </w:rPr>
      </w:pPr>
      <w:r>
        <w:rPr>
          <w:rFonts w:ascii="Arial" w:cs="Arial" w:eastAsia="Arial" w:hAnsi="Arial"/>
          <w:sz w:val="18"/>
          <w:szCs w:val="18"/>
          <w:color w:val="auto"/>
        </w:rPr>
        <w:t>compensation of the Named Executive Officers and on the future voting frequency</w:t>
      </w:r>
      <w:r>
        <w:rPr>
          <w:sz w:val="20"/>
          <w:szCs w:val="20"/>
          <w:color w:val="auto"/>
        </w:rPr>
        <w:tab/>
      </w:r>
      <w:r>
        <w:rPr>
          <w:rFonts w:ascii="Arial" w:cs="Arial" w:eastAsia="Arial" w:hAnsi="Arial"/>
          <w:sz w:val="18"/>
          <w:szCs w:val="18"/>
          <w:color w:val="2B4C9B"/>
        </w:rPr>
        <w:t>Additional information</w:t>
      </w:r>
    </w:p>
    <w:p>
      <w:pPr>
        <w:ind w:left="760"/>
        <w:spacing w:after="0"/>
        <w:tabs>
          <w:tab w:leader="none" w:pos="8420" w:val="left"/>
        </w:tabs>
        <w:rPr>
          <w:sz w:val="20"/>
          <w:szCs w:val="20"/>
          <w:color w:val="auto"/>
        </w:rPr>
      </w:pPr>
      <w:r>
        <w:rPr>
          <w:rFonts w:ascii="Arial" w:cs="Arial" w:eastAsia="Arial" w:hAnsi="Arial"/>
          <w:sz w:val="18"/>
          <w:szCs w:val="18"/>
          <w:color w:val="auto"/>
        </w:rPr>
        <w:t>of that advisory vote.</w:t>
      </w:r>
      <w:r>
        <w:rPr>
          <w:sz w:val="20"/>
          <w:szCs w:val="20"/>
          <w:color w:val="auto"/>
        </w:rPr>
        <w:tab/>
      </w:r>
      <w:r>
        <w:rPr>
          <w:rFonts w:ascii="Arial" w:cs="Arial" w:eastAsia="Arial" w:hAnsi="Arial"/>
          <w:sz w:val="17"/>
          <w:szCs w:val="17"/>
          <w:color w:val="2B4C9B"/>
        </w:rPr>
        <w:t>about ExxonMobil’s</w:t>
      </w:r>
    </w:p>
    <w:p>
      <w:pPr>
        <w:ind w:left="8440"/>
        <w:spacing w:after="0" w:line="235" w:lineRule="auto"/>
        <w:rPr>
          <w:sz w:val="20"/>
          <w:szCs w:val="20"/>
          <w:color w:val="auto"/>
        </w:rPr>
      </w:pPr>
      <w:r>
        <w:rPr>
          <w:rFonts w:ascii="Arial" w:cs="Arial" w:eastAsia="Arial" w:hAnsi="Arial"/>
          <w:sz w:val="18"/>
          <w:szCs w:val="18"/>
          <w:color w:val="2B4C9B"/>
        </w:rPr>
        <w:t>compensation</w:t>
      </w:r>
    </w:p>
    <w:p>
      <w:pPr>
        <w:spacing w:after="0" w:line="1" w:lineRule="exact"/>
        <w:rPr>
          <w:sz w:val="20"/>
          <w:szCs w:val="20"/>
          <w:color w:val="auto"/>
        </w:rPr>
      </w:pPr>
    </w:p>
    <w:p>
      <w:pPr>
        <w:ind w:left="8440"/>
        <w:spacing w:after="0"/>
        <w:rPr>
          <w:sz w:val="20"/>
          <w:szCs w:val="20"/>
          <w:color w:val="auto"/>
        </w:rPr>
      </w:pPr>
      <w:r>
        <w:rPr>
          <w:rFonts w:ascii="Arial" w:cs="Arial" w:eastAsia="Arial" w:hAnsi="Arial"/>
          <w:sz w:val="18"/>
          <w:szCs w:val="18"/>
          <w:color w:val="2B4C9B"/>
        </w:rPr>
        <w:t>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631825</wp:posOffset>
            </wp:positionV>
            <wp:extent cx="6189345" cy="5054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89345"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920"/>
        <w:spacing w:after="0"/>
        <w:rPr>
          <w:sz w:val="20"/>
          <w:szCs w:val="20"/>
          <w:color w:val="auto"/>
        </w:rPr>
      </w:pPr>
      <w:r>
        <w:rPr>
          <w:rFonts w:ascii="Arial" w:cs="Arial" w:eastAsia="Arial" w:hAnsi="Arial"/>
          <w:sz w:val="23"/>
          <w:szCs w:val="23"/>
          <w:color w:val="auto"/>
        </w:rPr>
        <w:t>ITEMS 5 through 17: Shareholder Proposals</w:t>
      </w:r>
    </w:p>
    <w:p>
      <w:pPr>
        <w:spacing w:after="0" w:line="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The Board recommends you vote </w:t>
      </w:r>
      <w:r>
        <w:rPr>
          <w:rFonts w:ascii="Arial" w:cs="Arial" w:eastAsia="Arial" w:hAnsi="Arial"/>
          <w:sz w:val="23"/>
          <w:szCs w:val="23"/>
          <w:b w:val="1"/>
          <w:bCs w:val="1"/>
          <w:color w:val="auto"/>
        </w:rPr>
        <w:t>AGAINST</w:t>
      </w:r>
      <w:r>
        <w:rPr>
          <w:rFonts w:ascii="Arial" w:cs="Arial" w:eastAsia="Arial" w:hAnsi="Arial"/>
          <w:sz w:val="18"/>
          <w:szCs w:val="18"/>
          <w:color w:val="auto"/>
        </w:rPr>
        <w:t xml:space="preserve"> each of these proposals.</w:t>
      </w:r>
    </w:p>
    <w:p>
      <w:pPr>
        <w:spacing w:after="0" w:line="200" w:lineRule="exact"/>
        <w:rPr>
          <w:sz w:val="20"/>
          <w:szCs w:val="20"/>
          <w:color w:val="auto"/>
        </w:rPr>
      </w:pPr>
    </w:p>
    <w:p>
      <w:pPr>
        <w:spacing w:after="0" w:line="373" w:lineRule="exact"/>
        <w:rPr>
          <w:sz w:val="20"/>
          <w:szCs w:val="20"/>
          <w:color w:val="auto"/>
        </w:rPr>
      </w:pPr>
    </w:p>
    <w:p>
      <w:pPr>
        <w:ind w:left="760"/>
        <w:spacing w:after="0"/>
        <w:tabs>
          <w:tab w:leader="none" w:pos="8440" w:val="left"/>
        </w:tabs>
        <w:rPr>
          <w:sz w:val="20"/>
          <w:szCs w:val="20"/>
          <w:color w:val="auto"/>
        </w:rPr>
      </w:pPr>
      <w:r>
        <w:rPr>
          <w:rFonts w:ascii="Arial" w:cs="Arial" w:eastAsia="Arial" w:hAnsi="Arial"/>
          <w:sz w:val="18"/>
          <w:szCs w:val="18"/>
          <w:color w:val="auto"/>
        </w:rPr>
        <w:t>You will have the opportunity to vote on shareholder proposals submitted to</w:t>
      </w:r>
      <w:r>
        <w:rPr>
          <w:sz w:val="20"/>
          <w:szCs w:val="20"/>
          <w:color w:val="auto"/>
        </w:rPr>
        <w:tab/>
      </w:r>
      <w:r>
        <w:rPr>
          <w:rFonts w:ascii="Arial" w:cs="Arial" w:eastAsia="Arial" w:hAnsi="Arial"/>
          <w:sz w:val="17"/>
          <w:szCs w:val="17"/>
          <w:b w:val="1"/>
          <w:bCs w:val="1"/>
          <w:color w:val="2B4C9B"/>
        </w:rPr>
        <w:t>Page 77</w:t>
      </w:r>
    </w:p>
    <w:p>
      <w:pPr>
        <w:spacing w:after="0" w:line="9" w:lineRule="exact"/>
        <w:rPr>
          <w:sz w:val="20"/>
          <w:szCs w:val="20"/>
          <w:color w:val="auto"/>
        </w:rPr>
      </w:pPr>
    </w:p>
    <w:p>
      <w:pPr>
        <w:ind w:left="760"/>
        <w:spacing w:after="0"/>
        <w:tabs>
          <w:tab w:leader="none" w:pos="8440" w:val="left"/>
        </w:tabs>
        <w:rPr>
          <w:sz w:val="20"/>
          <w:szCs w:val="20"/>
          <w:color w:val="auto"/>
        </w:rPr>
      </w:pPr>
      <w:r>
        <w:rPr>
          <w:rFonts w:ascii="Arial" w:cs="Arial" w:eastAsia="Arial" w:hAnsi="Arial"/>
          <w:sz w:val="18"/>
          <w:szCs w:val="18"/>
          <w:color w:val="auto"/>
        </w:rPr>
        <w:t>ExxonMobil.</w:t>
      </w:r>
      <w:r>
        <w:rPr>
          <w:sz w:val="20"/>
          <w:szCs w:val="20"/>
          <w:color w:val="auto"/>
        </w:rPr>
        <w:tab/>
      </w:r>
      <w:r>
        <w:rPr>
          <w:rFonts w:ascii="Arial" w:cs="Arial" w:eastAsia="Arial" w:hAnsi="Arial"/>
          <w:sz w:val="18"/>
          <w:szCs w:val="18"/>
          <w:color w:val="2B4C9B"/>
        </w:rPr>
        <w:t>The text of these</w:t>
      </w:r>
    </w:p>
    <w:p>
      <w:pPr>
        <w:ind w:left="8460"/>
        <w:spacing w:after="0" w:line="234" w:lineRule="auto"/>
        <w:rPr>
          <w:sz w:val="20"/>
          <w:szCs w:val="20"/>
          <w:color w:val="auto"/>
        </w:rPr>
      </w:pPr>
      <w:r>
        <w:rPr>
          <w:rFonts w:ascii="Arial" w:cs="Arial" w:eastAsia="Arial" w:hAnsi="Arial"/>
          <w:sz w:val="18"/>
          <w:szCs w:val="18"/>
          <w:color w:val="2B4C9B"/>
        </w:rPr>
        <w:t>proposals, the</w:t>
      </w:r>
    </w:p>
    <w:p>
      <w:pPr>
        <w:ind w:left="8460"/>
        <w:spacing w:after="0" w:line="235" w:lineRule="auto"/>
        <w:rPr>
          <w:sz w:val="20"/>
          <w:szCs w:val="20"/>
          <w:color w:val="auto"/>
        </w:rPr>
      </w:pPr>
      <w:r>
        <w:rPr>
          <w:rFonts w:ascii="Arial" w:cs="Arial" w:eastAsia="Arial" w:hAnsi="Arial"/>
          <w:sz w:val="18"/>
          <w:szCs w:val="18"/>
          <w:color w:val="2B4C9B"/>
        </w:rPr>
        <w:t>proponents’ statements</w:t>
      </w:r>
    </w:p>
    <w:p>
      <w:pPr>
        <w:ind w:left="8460"/>
        <w:spacing w:after="0" w:line="235" w:lineRule="auto"/>
        <w:rPr>
          <w:sz w:val="20"/>
          <w:szCs w:val="20"/>
          <w:color w:val="auto"/>
        </w:rPr>
      </w:pPr>
      <w:r>
        <w:rPr>
          <w:rFonts w:ascii="Arial" w:cs="Arial" w:eastAsia="Arial" w:hAnsi="Arial"/>
          <w:sz w:val="18"/>
          <w:szCs w:val="18"/>
          <w:color w:val="2B4C9B"/>
        </w:rPr>
        <w:t>in support, and</w:t>
      </w:r>
    </w:p>
    <w:p>
      <w:pPr>
        <w:ind w:left="8460"/>
        <w:spacing w:after="0"/>
        <w:rPr>
          <w:sz w:val="20"/>
          <w:szCs w:val="20"/>
          <w:color w:val="auto"/>
        </w:rPr>
      </w:pPr>
      <w:r>
        <w:rPr>
          <w:rFonts w:ascii="Arial" w:cs="Arial" w:eastAsia="Arial" w:hAnsi="Arial"/>
          <w:sz w:val="18"/>
          <w:szCs w:val="18"/>
          <w:color w:val="2B4C9B"/>
        </w:rPr>
        <w:t>ExxonMobil’s responses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140" w:hanging="376"/>
        <w:spacing w:after="0" w:line="235" w:lineRule="auto"/>
        <w:tabs>
          <w:tab w:leader="none" w:pos="1140" w:val="left"/>
        </w:tabs>
        <w:numPr>
          <w:ilvl w:val="0"/>
          <w:numId w:val="7"/>
        </w:numPr>
        <w:rPr>
          <w:rFonts w:ascii="Arial" w:cs="Arial" w:eastAsia="Arial" w:hAnsi="Arial"/>
          <w:sz w:val="24"/>
          <w:szCs w:val="24"/>
          <w:color w:val="auto"/>
          <w:vertAlign w:val="superscript"/>
        </w:rPr>
      </w:pPr>
      <w:r>
        <w:rPr>
          <w:rFonts w:ascii="Arial" w:cs="Arial" w:eastAsia="Arial" w:hAnsi="Arial"/>
          <w:sz w:val="16"/>
          <w:szCs w:val="16"/>
          <w:color w:val="auto"/>
        </w:rPr>
        <w:t>Based on Scope 1 and 2 emissions of ExxonMobil operated assets through 2022 (versus 2016). ExxonMobil’s reported emissions, reductions, and avoidance performance data are based on a combination of measured and estimated emissions data using reasonable efforts and collection methods. Calculations are based on industry standards and best practices, including guidance from the American Petroleum Institute (API) and Ipieca. There is uncertainty associated with the emissions, reductions, and avoidance performance data due to variation in the processes and operations, the availability of sufficient data, quality of those data and methodology used for measurement and estimation. Performance data may include rounding. Changes to the performance data may be reported as part of the company’s annual publications as new or updated data and/or emission methodologies become available. We are working to continuously improve our performance and methods to detect, measure and address greenhouse gas emissions. ExxonMobil works with industry, including API and Ipieca, to improve emission factors and</w:t>
      </w:r>
    </w:p>
    <w:p>
      <w:pPr>
        <w:spacing w:after="0" w:line="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methodologies, including measurements and estimates.</w:t>
      </w:r>
    </w:p>
    <w:p>
      <w:pPr>
        <w:spacing w:after="0" w:line="1" w:lineRule="exact"/>
        <w:rPr>
          <w:sz w:val="20"/>
          <w:szCs w:val="20"/>
          <w:color w:val="auto"/>
        </w:rPr>
      </w:pPr>
    </w:p>
    <w:p>
      <w:pPr>
        <w:ind w:left="1140" w:right="600" w:hanging="376"/>
        <w:spacing w:after="0" w:line="197" w:lineRule="auto"/>
        <w:tabs>
          <w:tab w:leader="none" w:pos="1140" w:val="left"/>
        </w:tabs>
        <w:numPr>
          <w:ilvl w:val="0"/>
          <w:numId w:val="8"/>
        </w:numPr>
        <w:rPr>
          <w:rFonts w:ascii="Arial" w:cs="Arial" w:eastAsia="Arial" w:hAnsi="Arial"/>
          <w:sz w:val="24"/>
          <w:szCs w:val="24"/>
          <w:color w:val="auto"/>
          <w:vertAlign w:val="superscript"/>
        </w:rPr>
      </w:pPr>
      <w:r>
        <w:rPr>
          <w:rFonts w:ascii="Arial" w:cs="Arial" w:eastAsia="Arial" w:hAnsi="Arial"/>
          <w:sz w:val="16"/>
          <w:szCs w:val="16"/>
          <w:color w:val="auto"/>
        </w:rPr>
        <w:t>References to routine flaring herein are consistent with the World Bank’s Zero Routine Flaring Initiative/Global Gas Flaring Reduction Partnership’s (GGFRP) principle of routine flaring, and excludes safety and non-routine flaring.</w:t>
      </w:r>
    </w:p>
    <w:p>
      <w:pPr>
        <w:ind w:left="1140" w:right="1140" w:hanging="376"/>
        <w:spacing w:after="0" w:line="197" w:lineRule="auto"/>
        <w:tabs>
          <w:tab w:leader="none" w:pos="1140" w:val="left"/>
        </w:tabs>
        <w:numPr>
          <w:ilvl w:val="0"/>
          <w:numId w:val="9"/>
        </w:numPr>
        <w:rPr>
          <w:rFonts w:ascii="Arial" w:cs="Arial" w:eastAsia="Arial" w:hAnsi="Arial"/>
          <w:sz w:val="24"/>
          <w:szCs w:val="24"/>
          <w:color w:val="auto"/>
          <w:vertAlign w:val="superscript"/>
        </w:rPr>
      </w:pPr>
      <w:r>
        <w:rPr>
          <w:rFonts w:ascii="Arial" w:cs="Arial" w:eastAsia="Arial" w:hAnsi="Arial"/>
          <w:sz w:val="16"/>
          <w:szCs w:val="16"/>
          <w:color w:val="auto"/>
        </w:rPr>
        <w:t>ExxonMobil’s 2030 GHG emission reduction plans, corporate.exxonmobil.com/News/Newsroom/News-releases /2021/1201_ExxonMobil-announces-plans-to-2027-doubling-earnings-and-cash-flow-potential-reducing-emissions.</w:t>
      </w:r>
    </w:p>
    <w:p>
      <w:pPr>
        <w:ind w:left="1140" w:right="140" w:hanging="376"/>
        <w:spacing w:after="0" w:line="216" w:lineRule="auto"/>
        <w:tabs>
          <w:tab w:leader="none" w:pos="1140" w:val="left"/>
        </w:tabs>
        <w:numPr>
          <w:ilvl w:val="0"/>
          <w:numId w:val="10"/>
        </w:numPr>
        <w:rPr>
          <w:rFonts w:ascii="Arial" w:cs="Arial" w:eastAsia="Arial" w:hAnsi="Arial"/>
          <w:sz w:val="24"/>
          <w:szCs w:val="24"/>
          <w:color w:val="auto"/>
          <w:vertAlign w:val="superscript"/>
        </w:rPr>
      </w:pPr>
      <w:r>
        <w:rPr>
          <w:rFonts w:ascii="Arial" w:cs="Arial" w:eastAsia="Arial" w:hAnsi="Arial"/>
          <w:sz w:val="16"/>
          <w:szCs w:val="16"/>
          <w:color w:val="auto"/>
        </w:rPr>
        <w:t>ExxonMobil’s Scope 1 and Scope 2 net-zero ambition is backed by a comprehensive approach centered on detailed emission-reduction roadmaps for our major operated assets. Roadmaps may be updated as needed to reflect technology, policy and other necessary developments, including the development and acquisition of major operated assets.</w:t>
      </w:r>
    </w:p>
    <w:p>
      <w:pPr>
        <w:spacing w:after="0" w:line="118" w:lineRule="exact"/>
        <w:rPr>
          <w:sz w:val="20"/>
          <w:szCs w:val="20"/>
          <w:color w:val="auto"/>
        </w:rPr>
      </w:pPr>
    </w:p>
    <w:tbl>
      <w:tblPr>
        <w:tblLayout w:type="fixed"/>
        <w:tblInd w:w="68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-139065</wp:posOffset>
            </wp:positionV>
            <wp:extent cx="737235"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480"/>
          </w:cols>
          <w:pgMar w:left="320" w:top="482" w:right="1099" w:bottom="1064"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8"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2B4C9B"/>
        </w:rPr>
        <w:t>GENERAL INFORMATION</w:t>
      </w:r>
    </w:p>
    <w:p>
      <w:pPr>
        <w:spacing w:after="0" w:line="34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Who May Vote</w:t>
      </w:r>
    </w:p>
    <w:p>
      <w:pPr>
        <w:spacing w:after="0" w:line="104" w:lineRule="exact"/>
        <w:rPr>
          <w:sz w:val="20"/>
          <w:szCs w:val="20"/>
          <w:color w:val="auto"/>
        </w:rPr>
      </w:pPr>
    </w:p>
    <w:p>
      <w:pPr>
        <w:ind w:left="760" w:right="160"/>
        <w:spacing w:after="0" w:line="271" w:lineRule="auto"/>
        <w:rPr>
          <w:sz w:val="20"/>
          <w:szCs w:val="20"/>
          <w:color w:val="auto"/>
        </w:rPr>
      </w:pPr>
      <w:r>
        <w:rPr>
          <w:rFonts w:ascii="Arial" w:cs="Arial" w:eastAsia="Arial" w:hAnsi="Arial"/>
          <w:sz w:val="18"/>
          <w:szCs w:val="18"/>
          <w:color w:val="auto"/>
        </w:rPr>
        <w:t>Shareholders of ExxonMobil, as recorded in our stock register on April 5, 2023, may vote at the meeting according to the instructions below.</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How to Vote</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Your vote is important. We recommend you vote by proxy even if you plan to participate in the virtual meeting</w:t>
      </w:r>
      <w:r>
        <w:rPr>
          <w:rFonts w:ascii="Arial" w:cs="Arial" w:eastAsia="Arial" w:hAnsi="Arial"/>
          <w:sz w:val="18"/>
          <w:szCs w:val="18"/>
          <w:color w:val="auto"/>
        </w:rPr>
        <w:t>.</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You may vote at the annual meeting according to the instructions below or by proxy.</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If your shares are held in your name, you can vote by proxy in one of three convenient ways:</w:t>
      </w:r>
    </w:p>
    <w:p>
      <w:pPr>
        <w:spacing w:after="0" w:line="237" w:lineRule="exact"/>
        <w:rPr>
          <w:sz w:val="20"/>
          <w:szCs w:val="20"/>
          <w:color w:val="auto"/>
        </w:rPr>
      </w:pPr>
    </w:p>
    <w:tbl>
      <w:tblPr>
        <w:tblLayout w:type="fixed"/>
        <w:tblInd w:w="770" w:type="dxa"/>
        <w:tblCellMar>
          <w:top w:w="0" w:type="dxa"/>
          <w:left w:w="0" w:type="dxa"/>
          <w:bottom w:w="0" w:type="dxa"/>
          <w:right w:w="0" w:type="dxa"/>
        </w:tblCellMar>
      </w:tblPr>
      <w:tr>
        <w:trPr>
          <w:trHeight w:val="1341"/>
        </w:trPr>
        <w:tc>
          <w:tcPr>
            <w:tcW w:w="3300" w:type="dxa"/>
            <w:vAlign w:val="bottom"/>
            <w:tcBorders>
              <w:top w:val="single" w:sz="8" w:color="2B4C9B"/>
              <w:left w:val="single" w:sz="8" w:color="2B4C9B"/>
              <w:right w:val="single" w:sz="8" w:color="2B4C9B"/>
            </w:tcBorders>
          </w:tcPr>
          <w:p>
            <w:pPr>
              <w:jc w:val="center"/>
              <w:ind w:left="50"/>
              <w:spacing w:after="0"/>
              <w:rPr>
                <w:sz w:val="20"/>
                <w:szCs w:val="20"/>
                <w:color w:val="auto"/>
              </w:rPr>
            </w:pPr>
            <w:r>
              <w:rPr>
                <w:rFonts w:ascii="Arial" w:cs="Arial" w:eastAsia="Arial" w:hAnsi="Arial"/>
                <w:sz w:val="18"/>
                <w:szCs w:val="18"/>
                <w:color w:val="2B4C9B"/>
                <w:w w:val="99"/>
              </w:rPr>
              <w:t>Online</w:t>
            </w:r>
          </w:p>
        </w:tc>
        <w:tc>
          <w:tcPr>
            <w:tcW w:w="3360" w:type="dxa"/>
            <w:vAlign w:val="bottom"/>
            <w:tcBorders>
              <w:top w:val="single" w:sz="8" w:color="2B4C9B"/>
              <w:right w:val="single" w:sz="8" w:color="2B4C9B"/>
            </w:tcBorders>
          </w:tcPr>
          <w:p>
            <w:pPr>
              <w:jc w:val="center"/>
              <w:spacing w:after="0"/>
              <w:rPr>
                <w:sz w:val="20"/>
                <w:szCs w:val="20"/>
                <w:color w:val="auto"/>
              </w:rPr>
            </w:pPr>
            <w:r>
              <w:rPr>
                <w:rFonts w:ascii="Arial" w:cs="Arial" w:eastAsia="Arial" w:hAnsi="Arial"/>
                <w:sz w:val="18"/>
                <w:szCs w:val="18"/>
                <w:color w:val="2B4C9B"/>
                <w:w w:val="98"/>
              </w:rPr>
              <w:t>Telephone</w:t>
            </w:r>
          </w:p>
        </w:tc>
        <w:tc>
          <w:tcPr>
            <w:tcW w:w="3080" w:type="dxa"/>
            <w:vAlign w:val="bottom"/>
            <w:tcBorders>
              <w:top w:val="single" w:sz="8" w:color="2B4C9B"/>
              <w:right w:val="single" w:sz="8" w:color="2B4C9B"/>
            </w:tcBorders>
          </w:tcPr>
          <w:p>
            <w:pPr>
              <w:jc w:val="center"/>
              <w:spacing w:after="0"/>
              <w:rPr>
                <w:sz w:val="20"/>
                <w:szCs w:val="20"/>
                <w:color w:val="auto"/>
              </w:rPr>
            </w:pPr>
            <w:r>
              <w:rPr>
                <w:rFonts w:ascii="Arial" w:cs="Arial" w:eastAsia="Arial" w:hAnsi="Arial"/>
                <w:sz w:val="18"/>
                <w:szCs w:val="18"/>
                <w:color w:val="2B4C9B"/>
              </w:rPr>
              <w:t>Mail</w:t>
            </w:r>
          </w:p>
        </w:tc>
      </w:tr>
      <w:tr>
        <w:trPr>
          <w:trHeight w:val="423"/>
        </w:trPr>
        <w:tc>
          <w:tcPr>
            <w:tcW w:w="3300" w:type="dxa"/>
            <w:vAlign w:val="bottom"/>
            <w:tcBorders>
              <w:left w:val="single" w:sz="8" w:color="2B4C9B"/>
              <w:right w:val="single" w:sz="8" w:color="2B4C9B"/>
            </w:tcBorders>
          </w:tcPr>
          <w:p>
            <w:pPr>
              <w:jc w:val="center"/>
              <w:ind w:left="30"/>
              <w:spacing w:after="0"/>
              <w:rPr>
                <w:sz w:val="20"/>
                <w:szCs w:val="20"/>
                <w:color w:val="auto"/>
              </w:rPr>
            </w:pPr>
            <w:r>
              <w:rPr>
                <w:rFonts w:ascii="Arial" w:cs="Arial" w:eastAsia="Arial" w:hAnsi="Arial"/>
                <w:sz w:val="18"/>
                <w:szCs w:val="18"/>
                <w:color w:val="auto"/>
                <w:w w:val="99"/>
              </w:rPr>
              <w:t>Follow the instructions at</w:t>
            </w:r>
          </w:p>
        </w:tc>
        <w:tc>
          <w:tcPr>
            <w:tcW w:w="3360" w:type="dxa"/>
            <w:vAlign w:val="bottom"/>
            <w:tcBorders>
              <w:right w:val="single" w:sz="8" w:color="2B4C9B"/>
            </w:tcBorders>
          </w:tcPr>
          <w:p>
            <w:pPr>
              <w:jc w:val="center"/>
              <w:spacing w:after="0"/>
              <w:rPr>
                <w:sz w:val="20"/>
                <w:szCs w:val="20"/>
                <w:color w:val="auto"/>
              </w:rPr>
            </w:pPr>
            <w:r>
              <w:rPr>
                <w:rFonts w:ascii="Arial" w:cs="Arial" w:eastAsia="Arial" w:hAnsi="Arial"/>
                <w:sz w:val="18"/>
                <w:szCs w:val="18"/>
                <w:color w:val="auto"/>
                <w:w w:val="99"/>
              </w:rPr>
              <w:t>Call toll-free</w:t>
            </w:r>
          </w:p>
        </w:tc>
        <w:tc>
          <w:tcPr>
            <w:tcW w:w="3080" w:type="dxa"/>
            <w:vAlign w:val="bottom"/>
            <w:tcBorders>
              <w:right w:val="single" w:sz="8" w:color="2B4C9B"/>
            </w:tcBorders>
          </w:tcPr>
          <w:p>
            <w:pPr>
              <w:jc w:val="center"/>
              <w:spacing w:after="0"/>
              <w:rPr>
                <w:sz w:val="20"/>
                <w:szCs w:val="20"/>
                <w:color w:val="auto"/>
              </w:rPr>
            </w:pPr>
            <w:r>
              <w:rPr>
                <w:rFonts w:ascii="Arial" w:cs="Arial" w:eastAsia="Arial" w:hAnsi="Arial"/>
                <w:sz w:val="18"/>
                <w:szCs w:val="18"/>
                <w:color w:val="auto"/>
              </w:rPr>
              <w:t>Complete, sign, date, and return your</w:t>
            </w:r>
          </w:p>
        </w:tc>
      </w:tr>
      <w:tr>
        <w:trPr>
          <w:trHeight w:val="203"/>
        </w:trPr>
        <w:tc>
          <w:tcPr>
            <w:tcW w:w="3300" w:type="dxa"/>
            <w:vAlign w:val="bottom"/>
            <w:tcBorders>
              <w:left w:val="single" w:sz="8" w:color="2B4C9B"/>
              <w:right w:val="single" w:sz="8" w:color="2B4C9B"/>
            </w:tcBorders>
          </w:tcPr>
          <w:p>
            <w:pPr>
              <w:jc w:val="center"/>
              <w:ind w:left="50"/>
              <w:spacing w:after="0" w:line="202" w:lineRule="exact"/>
              <w:rPr>
                <w:sz w:val="20"/>
                <w:szCs w:val="20"/>
                <w:color w:val="auto"/>
              </w:rPr>
            </w:pPr>
            <w:r>
              <w:rPr>
                <w:rFonts w:ascii="Arial" w:cs="Arial" w:eastAsia="Arial" w:hAnsi="Arial"/>
                <w:sz w:val="18"/>
                <w:szCs w:val="18"/>
                <w:i w:val="1"/>
                <w:iCs w:val="1"/>
                <w:color w:val="auto"/>
                <w:w w:val="99"/>
              </w:rPr>
              <w:t>investorvote.com/exxonmobil</w:t>
            </w:r>
            <w:r>
              <w:rPr>
                <w:rFonts w:ascii="Arial" w:cs="Arial" w:eastAsia="Arial" w:hAnsi="Arial"/>
                <w:sz w:val="18"/>
                <w:szCs w:val="18"/>
                <w:color w:val="auto"/>
                <w:w w:val="99"/>
              </w:rPr>
              <w:t>.</w:t>
            </w:r>
          </w:p>
        </w:tc>
        <w:tc>
          <w:tcPr>
            <w:tcW w:w="3360" w:type="dxa"/>
            <w:vAlign w:val="bottom"/>
            <w:tcBorders>
              <w:right w:val="single" w:sz="8" w:color="2B4C9B"/>
            </w:tcBorders>
          </w:tcPr>
          <w:p>
            <w:pPr>
              <w:jc w:val="center"/>
              <w:spacing w:after="0" w:line="202" w:lineRule="exact"/>
              <w:rPr>
                <w:sz w:val="20"/>
                <w:szCs w:val="20"/>
                <w:color w:val="auto"/>
              </w:rPr>
            </w:pPr>
            <w:r>
              <w:rPr>
                <w:rFonts w:ascii="Arial" w:cs="Arial" w:eastAsia="Arial" w:hAnsi="Arial"/>
                <w:sz w:val="18"/>
                <w:szCs w:val="18"/>
                <w:color w:val="2B4C9B"/>
                <w:w w:val="99"/>
              </w:rPr>
              <w:t xml:space="preserve">1-800-652-8683 </w:t>
            </w:r>
            <w:r>
              <w:rPr>
                <w:rFonts w:ascii="Arial" w:cs="Arial" w:eastAsia="Arial" w:hAnsi="Arial"/>
                <w:sz w:val="18"/>
                <w:szCs w:val="18"/>
                <w:color w:val="000000"/>
                <w:w w:val="99"/>
              </w:rPr>
              <w:t>or</w:t>
            </w:r>
          </w:p>
        </w:tc>
        <w:tc>
          <w:tcPr>
            <w:tcW w:w="3080" w:type="dxa"/>
            <w:vAlign w:val="bottom"/>
            <w:tcBorders>
              <w:right w:val="single" w:sz="8" w:color="2B4C9B"/>
            </w:tcBorders>
          </w:tcPr>
          <w:p>
            <w:pPr>
              <w:jc w:val="center"/>
              <w:spacing w:after="0" w:line="202" w:lineRule="exact"/>
              <w:rPr>
                <w:sz w:val="20"/>
                <w:szCs w:val="20"/>
                <w:color w:val="auto"/>
              </w:rPr>
            </w:pPr>
            <w:r>
              <w:rPr>
                <w:rFonts w:ascii="Arial" w:cs="Arial" w:eastAsia="Arial" w:hAnsi="Arial"/>
                <w:sz w:val="18"/>
                <w:szCs w:val="18"/>
                <w:b w:val="1"/>
                <w:bCs w:val="1"/>
                <w:color w:val="auto"/>
                <w:w w:val="99"/>
              </w:rPr>
              <w:t xml:space="preserve">proxy card </w:t>
            </w:r>
            <w:r>
              <w:rPr>
                <w:rFonts w:ascii="Arial" w:cs="Arial" w:eastAsia="Arial" w:hAnsi="Arial"/>
                <w:sz w:val="18"/>
                <w:szCs w:val="18"/>
                <w:color w:val="auto"/>
                <w:w w:val="99"/>
              </w:rPr>
              <w:t>in the enclosed</w:t>
            </w:r>
          </w:p>
        </w:tc>
      </w:tr>
      <w:tr>
        <w:trPr>
          <w:trHeight w:val="203"/>
        </w:trPr>
        <w:tc>
          <w:tcPr>
            <w:tcW w:w="3300" w:type="dxa"/>
            <w:vAlign w:val="bottom"/>
            <w:tcBorders>
              <w:left w:val="single" w:sz="8" w:color="2B4C9B"/>
              <w:right w:val="single" w:sz="8" w:color="2B4C9B"/>
            </w:tcBorders>
          </w:tcPr>
          <w:p>
            <w:pPr>
              <w:jc w:val="center"/>
              <w:ind w:left="30"/>
              <w:spacing w:after="0" w:line="202" w:lineRule="exact"/>
              <w:rPr>
                <w:sz w:val="20"/>
                <w:szCs w:val="20"/>
                <w:color w:val="auto"/>
              </w:rPr>
            </w:pPr>
            <w:r>
              <w:rPr>
                <w:rFonts w:ascii="Arial" w:cs="Arial" w:eastAsia="Arial" w:hAnsi="Arial"/>
                <w:sz w:val="18"/>
                <w:szCs w:val="18"/>
                <w:b w:val="1"/>
                <w:bCs w:val="1"/>
                <w:color w:val="auto"/>
                <w:w w:val="99"/>
              </w:rPr>
              <w:t>You will need to have your</w:t>
            </w:r>
          </w:p>
        </w:tc>
        <w:tc>
          <w:tcPr>
            <w:tcW w:w="3360" w:type="dxa"/>
            <w:vAlign w:val="bottom"/>
            <w:tcBorders>
              <w:right w:val="single" w:sz="8" w:color="2B4C9B"/>
            </w:tcBorders>
          </w:tcPr>
          <w:p>
            <w:pPr>
              <w:jc w:val="center"/>
              <w:spacing w:after="0" w:line="202" w:lineRule="exact"/>
              <w:rPr>
                <w:sz w:val="20"/>
                <w:szCs w:val="20"/>
                <w:color w:val="auto"/>
              </w:rPr>
            </w:pPr>
            <w:r>
              <w:rPr>
                <w:rFonts w:ascii="Arial" w:cs="Arial" w:eastAsia="Arial" w:hAnsi="Arial"/>
                <w:sz w:val="18"/>
                <w:szCs w:val="18"/>
                <w:color w:val="2B4C9B"/>
              </w:rPr>
              <w:t xml:space="preserve">1-781-575-2300 </w:t>
            </w:r>
            <w:r>
              <w:rPr>
                <w:rFonts w:ascii="Arial" w:cs="Arial" w:eastAsia="Arial" w:hAnsi="Arial"/>
                <w:sz w:val="18"/>
                <w:szCs w:val="18"/>
                <w:color w:val="000000"/>
              </w:rPr>
              <w:t>(outside the</w:t>
            </w:r>
          </w:p>
        </w:tc>
        <w:tc>
          <w:tcPr>
            <w:tcW w:w="3080" w:type="dxa"/>
            <w:vAlign w:val="bottom"/>
            <w:tcBorders>
              <w:right w:val="single" w:sz="8" w:color="2B4C9B"/>
            </w:tcBorders>
          </w:tcPr>
          <w:p>
            <w:pPr>
              <w:jc w:val="center"/>
              <w:spacing w:after="0" w:line="202" w:lineRule="exact"/>
              <w:rPr>
                <w:sz w:val="20"/>
                <w:szCs w:val="20"/>
                <w:color w:val="auto"/>
              </w:rPr>
            </w:pPr>
            <w:r>
              <w:rPr>
                <w:rFonts w:ascii="Arial" w:cs="Arial" w:eastAsia="Arial" w:hAnsi="Arial"/>
                <w:sz w:val="18"/>
                <w:szCs w:val="18"/>
                <w:color w:val="auto"/>
                <w:w w:val="99"/>
              </w:rPr>
              <w:t>envelope. If you receive a Notice and</w:t>
            </w:r>
          </w:p>
        </w:tc>
      </w:tr>
      <w:tr>
        <w:trPr>
          <w:trHeight w:val="203"/>
        </w:trPr>
        <w:tc>
          <w:tcPr>
            <w:tcW w:w="3300" w:type="dxa"/>
            <w:vAlign w:val="bottom"/>
            <w:tcBorders>
              <w:left w:val="single" w:sz="8" w:color="2B4C9B"/>
              <w:right w:val="single" w:sz="8" w:color="2B4C9B"/>
            </w:tcBorders>
          </w:tcPr>
          <w:p>
            <w:pPr>
              <w:jc w:val="center"/>
              <w:ind w:left="50"/>
              <w:spacing w:after="0" w:line="202" w:lineRule="exact"/>
              <w:rPr>
                <w:sz w:val="20"/>
                <w:szCs w:val="20"/>
                <w:color w:val="auto"/>
              </w:rPr>
            </w:pPr>
            <w:r>
              <w:rPr>
                <w:rFonts w:ascii="Arial" w:cs="Arial" w:eastAsia="Arial" w:hAnsi="Arial"/>
                <w:sz w:val="18"/>
                <w:szCs w:val="18"/>
                <w:b w:val="1"/>
                <w:bCs w:val="1"/>
                <w:color w:val="auto"/>
                <w:w w:val="99"/>
              </w:rPr>
              <w:t>proxy card or Notice of Internet</w:t>
            </w:r>
          </w:p>
        </w:tc>
        <w:tc>
          <w:tcPr>
            <w:tcW w:w="3360" w:type="dxa"/>
            <w:vAlign w:val="bottom"/>
            <w:tcBorders>
              <w:right w:val="single" w:sz="8" w:color="2B4C9B"/>
            </w:tcBorders>
          </w:tcPr>
          <w:p>
            <w:pPr>
              <w:jc w:val="center"/>
              <w:spacing w:after="0" w:line="202" w:lineRule="exact"/>
              <w:rPr>
                <w:sz w:val="20"/>
                <w:szCs w:val="20"/>
                <w:color w:val="auto"/>
              </w:rPr>
            </w:pPr>
            <w:r>
              <w:rPr>
                <w:rFonts w:ascii="Arial" w:cs="Arial" w:eastAsia="Arial" w:hAnsi="Arial"/>
                <w:sz w:val="18"/>
                <w:szCs w:val="18"/>
                <w:color w:val="auto"/>
                <w:w w:val="99"/>
              </w:rPr>
              <w:t>United States, Canada, and</w:t>
            </w:r>
          </w:p>
        </w:tc>
        <w:tc>
          <w:tcPr>
            <w:tcW w:w="3080" w:type="dxa"/>
            <w:vAlign w:val="bottom"/>
            <w:tcBorders>
              <w:right w:val="single" w:sz="8" w:color="2B4C9B"/>
            </w:tcBorders>
          </w:tcPr>
          <w:p>
            <w:pPr>
              <w:jc w:val="center"/>
              <w:spacing w:after="0" w:line="202" w:lineRule="exact"/>
              <w:rPr>
                <w:sz w:val="20"/>
                <w:szCs w:val="20"/>
                <w:color w:val="auto"/>
              </w:rPr>
            </w:pPr>
            <w:r>
              <w:rPr>
                <w:rFonts w:ascii="Arial" w:cs="Arial" w:eastAsia="Arial" w:hAnsi="Arial"/>
                <w:sz w:val="18"/>
                <w:szCs w:val="18"/>
                <w:color w:val="auto"/>
                <w:w w:val="99"/>
              </w:rPr>
              <w:t>would like to vote by mail, please</w:t>
            </w:r>
          </w:p>
        </w:tc>
      </w:tr>
      <w:tr>
        <w:trPr>
          <w:trHeight w:val="203"/>
        </w:trPr>
        <w:tc>
          <w:tcPr>
            <w:tcW w:w="3300" w:type="dxa"/>
            <w:vAlign w:val="bottom"/>
            <w:tcBorders>
              <w:left w:val="single" w:sz="8" w:color="2B4C9B"/>
              <w:right w:val="single" w:sz="8" w:color="2B4C9B"/>
            </w:tcBorders>
          </w:tcPr>
          <w:p>
            <w:pPr>
              <w:jc w:val="center"/>
              <w:ind w:left="50"/>
              <w:spacing w:after="0" w:line="202" w:lineRule="exact"/>
              <w:rPr>
                <w:sz w:val="20"/>
                <w:szCs w:val="20"/>
                <w:color w:val="auto"/>
              </w:rPr>
            </w:pPr>
            <w:r>
              <w:rPr>
                <w:rFonts w:ascii="Arial" w:cs="Arial" w:eastAsia="Arial" w:hAnsi="Arial"/>
                <w:sz w:val="18"/>
                <w:szCs w:val="18"/>
                <w:b w:val="1"/>
                <w:bCs w:val="1"/>
                <w:color w:val="auto"/>
                <w:w w:val="99"/>
              </w:rPr>
              <w:t>Availability (Notice) in hand.</w:t>
            </w:r>
          </w:p>
        </w:tc>
        <w:tc>
          <w:tcPr>
            <w:tcW w:w="3360" w:type="dxa"/>
            <w:vAlign w:val="bottom"/>
            <w:tcBorders>
              <w:right w:val="single" w:sz="8" w:color="2B4C9B"/>
            </w:tcBorders>
          </w:tcPr>
          <w:p>
            <w:pPr>
              <w:jc w:val="center"/>
              <w:spacing w:after="0" w:line="202" w:lineRule="exact"/>
              <w:rPr>
                <w:sz w:val="20"/>
                <w:szCs w:val="20"/>
                <w:color w:val="auto"/>
              </w:rPr>
            </w:pPr>
            <w:r>
              <w:rPr>
                <w:rFonts w:ascii="Arial" w:cs="Arial" w:eastAsia="Arial" w:hAnsi="Arial"/>
                <w:sz w:val="18"/>
                <w:szCs w:val="18"/>
                <w:color w:val="auto"/>
                <w:w w:val="98"/>
              </w:rPr>
              <w:t>Puerto Rico),</w:t>
            </w:r>
          </w:p>
        </w:tc>
        <w:tc>
          <w:tcPr>
            <w:tcW w:w="3080" w:type="dxa"/>
            <w:vAlign w:val="bottom"/>
            <w:tcBorders>
              <w:right w:val="single" w:sz="8" w:color="2B4C9B"/>
            </w:tcBorders>
          </w:tcPr>
          <w:p>
            <w:pPr>
              <w:jc w:val="center"/>
              <w:spacing w:after="0" w:line="202" w:lineRule="exact"/>
              <w:rPr>
                <w:sz w:val="20"/>
                <w:szCs w:val="20"/>
                <w:color w:val="auto"/>
              </w:rPr>
            </w:pPr>
            <w:r>
              <w:rPr>
                <w:rFonts w:ascii="Arial" w:cs="Arial" w:eastAsia="Arial" w:hAnsi="Arial"/>
                <w:sz w:val="18"/>
                <w:szCs w:val="18"/>
                <w:color w:val="auto"/>
              </w:rPr>
              <w:t>follow the instructions in the Notice</w:t>
            </w:r>
          </w:p>
        </w:tc>
      </w:tr>
      <w:tr>
        <w:trPr>
          <w:trHeight w:val="203"/>
        </w:trPr>
        <w:tc>
          <w:tcPr>
            <w:tcW w:w="3300" w:type="dxa"/>
            <w:vAlign w:val="bottom"/>
            <w:tcBorders>
              <w:left w:val="single" w:sz="8" w:color="2B4C9B"/>
              <w:right w:val="single" w:sz="8" w:color="2B4C9B"/>
            </w:tcBorders>
          </w:tcPr>
          <w:p>
            <w:pPr>
              <w:spacing w:after="0"/>
              <w:rPr>
                <w:sz w:val="17"/>
                <w:szCs w:val="17"/>
                <w:color w:val="auto"/>
              </w:rPr>
            </w:pPr>
          </w:p>
        </w:tc>
        <w:tc>
          <w:tcPr>
            <w:tcW w:w="3360" w:type="dxa"/>
            <w:vAlign w:val="bottom"/>
            <w:tcBorders>
              <w:right w:val="single" w:sz="8" w:color="2B4C9B"/>
            </w:tcBorders>
          </w:tcPr>
          <w:p>
            <w:pPr>
              <w:jc w:val="center"/>
              <w:spacing w:after="0" w:line="202" w:lineRule="exact"/>
              <w:rPr>
                <w:sz w:val="20"/>
                <w:szCs w:val="20"/>
                <w:color w:val="auto"/>
              </w:rPr>
            </w:pPr>
            <w:r>
              <w:rPr>
                <w:rFonts w:ascii="Arial" w:cs="Arial" w:eastAsia="Arial" w:hAnsi="Arial"/>
                <w:sz w:val="18"/>
                <w:szCs w:val="18"/>
                <w:color w:val="auto"/>
                <w:w w:val="99"/>
              </w:rPr>
              <w:t>and follow the instructions.</w:t>
            </w:r>
          </w:p>
        </w:tc>
        <w:tc>
          <w:tcPr>
            <w:tcW w:w="3080" w:type="dxa"/>
            <w:vAlign w:val="bottom"/>
            <w:tcBorders>
              <w:right w:val="single" w:sz="8" w:color="2B4C9B"/>
            </w:tcBorders>
          </w:tcPr>
          <w:p>
            <w:pPr>
              <w:jc w:val="center"/>
              <w:spacing w:after="0" w:line="202" w:lineRule="exact"/>
              <w:rPr>
                <w:sz w:val="20"/>
                <w:szCs w:val="20"/>
                <w:color w:val="auto"/>
              </w:rPr>
            </w:pPr>
            <w:r>
              <w:rPr>
                <w:rFonts w:ascii="Arial" w:cs="Arial" w:eastAsia="Arial" w:hAnsi="Arial"/>
                <w:sz w:val="18"/>
                <w:szCs w:val="18"/>
                <w:color w:val="auto"/>
                <w:w w:val="99"/>
              </w:rPr>
              <w:t>to obtain paper proxy materials.</w:t>
            </w:r>
          </w:p>
        </w:tc>
      </w:tr>
      <w:tr>
        <w:trPr>
          <w:trHeight w:val="203"/>
        </w:trPr>
        <w:tc>
          <w:tcPr>
            <w:tcW w:w="3300" w:type="dxa"/>
            <w:vAlign w:val="bottom"/>
            <w:tcBorders>
              <w:left w:val="single" w:sz="8" w:color="2B4C9B"/>
              <w:right w:val="single" w:sz="8" w:color="2B4C9B"/>
            </w:tcBorders>
          </w:tcPr>
          <w:p>
            <w:pPr>
              <w:spacing w:after="0"/>
              <w:rPr>
                <w:sz w:val="17"/>
                <w:szCs w:val="17"/>
                <w:color w:val="auto"/>
              </w:rPr>
            </w:pPr>
          </w:p>
        </w:tc>
        <w:tc>
          <w:tcPr>
            <w:tcW w:w="3360" w:type="dxa"/>
            <w:vAlign w:val="bottom"/>
            <w:tcBorders>
              <w:right w:val="single" w:sz="8" w:color="2B4C9B"/>
            </w:tcBorders>
          </w:tcPr>
          <w:p>
            <w:pPr>
              <w:jc w:val="center"/>
              <w:spacing w:after="0" w:line="202" w:lineRule="exact"/>
              <w:rPr>
                <w:sz w:val="20"/>
                <w:szCs w:val="20"/>
                <w:color w:val="auto"/>
              </w:rPr>
            </w:pPr>
            <w:r>
              <w:rPr>
                <w:rFonts w:ascii="Arial" w:cs="Arial" w:eastAsia="Arial" w:hAnsi="Arial"/>
                <w:sz w:val="18"/>
                <w:szCs w:val="18"/>
                <w:b w:val="1"/>
                <w:bCs w:val="1"/>
                <w:color w:val="auto"/>
                <w:w w:val="98"/>
              </w:rPr>
              <w:t>You will need to have your</w:t>
            </w:r>
          </w:p>
        </w:tc>
        <w:tc>
          <w:tcPr>
            <w:tcW w:w="3080" w:type="dxa"/>
            <w:vAlign w:val="bottom"/>
            <w:tcBorders>
              <w:right w:val="single" w:sz="8" w:color="2B4C9B"/>
            </w:tcBorders>
          </w:tcPr>
          <w:p>
            <w:pPr>
              <w:spacing w:after="0"/>
              <w:rPr>
                <w:sz w:val="17"/>
                <w:szCs w:val="17"/>
                <w:color w:val="auto"/>
              </w:rPr>
            </w:pPr>
          </w:p>
        </w:tc>
      </w:tr>
      <w:tr>
        <w:trPr>
          <w:trHeight w:val="247"/>
        </w:trPr>
        <w:tc>
          <w:tcPr>
            <w:tcW w:w="3300" w:type="dxa"/>
            <w:vAlign w:val="bottom"/>
            <w:tcBorders>
              <w:left w:val="single" w:sz="8" w:color="2B4C9B"/>
              <w:right w:val="single" w:sz="8" w:color="2B4C9B"/>
            </w:tcBorders>
          </w:tcPr>
          <w:p>
            <w:pPr>
              <w:spacing w:after="0"/>
              <w:rPr>
                <w:sz w:val="21"/>
                <w:szCs w:val="21"/>
                <w:color w:val="auto"/>
              </w:rPr>
            </w:pPr>
          </w:p>
        </w:tc>
        <w:tc>
          <w:tcPr>
            <w:tcW w:w="3360" w:type="dxa"/>
            <w:vAlign w:val="bottom"/>
            <w:tcBorders>
              <w:right w:val="single" w:sz="8" w:color="2B4C9B"/>
            </w:tcBorders>
          </w:tcPr>
          <w:p>
            <w:pPr>
              <w:jc w:val="center"/>
              <w:spacing w:after="0"/>
              <w:rPr>
                <w:sz w:val="20"/>
                <w:szCs w:val="20"/>
                <w:color w:val="auto"/>
              </w:rPr>
            </w:pPr>
            <w:r>
              <w:rPr>
                <w:rFonts w:ascii="Arial" w:cs="Arial" w:eastAsia="Arial" w:hAnsi="Arial"/>
                <w:sz w:val="18"/>
                <w:szCs w:val="18"/>
                <w:b w:val="1"/>
                <w:bCs w:val="1"/>
                <w:color w:val="auto"/>
                <w:w w:val="99"/>
              </w:rPr>
              <w:t>proxy card or Notice in hand.</w:t>
            </w:r>
          </w:p>
        </w:tc>
        <w:tc>
          <w:tcPr>
            <w:tcW w:w="3080" w:type="dxa"/>
            <w:vAlign w:val="bottom"/>
            <w:tcBorders>
              <w:right w:val="single" w:sz="8" w:color="2B4C9B"/>
            </w:tcBorders>
          </w:tcPr>
          <w:p>
            <w:pPr>
              <w:spacing w:after="0"/>
              <w:rPr>
                <w:sz w:val="21"/>
                <w:szCs w:val="21"/>
                <w:color w:val="auto"/>
              </w:rPr>
            </w:pPr>
          </w:p>
        </w:tc>
      </w:tr>
      <w:tr>
        <w:trPr>
          <w:trHeight w:val="238"/>
        </w:trPr>
        <w:tc>
          <w:tcPr>
            <w:tcW w:w="3300" w:type="dxa"/>
            <w:vAlign w:val="bottom"/>
            <w:tcBorders>
              <w:left w:val="single" w:sz="8" w:color="2B4C9B"/>
              <w:bottom w:val="single" w:sz="8" w:color="2B4C9B"/>
              <w:right w:val="single" w:sz="8" w:color="2B4C9B"/>
            </w:tcBorders>
          </w:tcPr>
          <w:p>
            <w:pPr>
              <w:spacing w:after="0"/>
              <w:rPr>
                <w:sz w:val="20"/>
                <w:szCs w:val="20"/>
                <w:color w:val="auto"/>
              </w:rPr>
            </w:pPr>
          </w:p>
        </w:tc>
        <w:tc>
          <w:tcPr>
            <w:tcW w:w="3360" w:type="dxa"/>
            <w:vAlign w:val="bottom"/>
            <w:tcBorders>
              <w:bottom w:val="single" w:sz="8" w:color="2B4C9B"/>
              <w:right w:val="single" w:sz="8" w:color="2B4C9B"/>
            </w:tcBorders>
          </w:tcPr>
          <w:p>
            <w:pPr>
              <w:spacing w:after="0"/>
              <w:rPr>
                <w:sz w:val="20"/>
                <w:szCs w:val="20"/>
                <w:color w:val="auto"/>
              </w:rPr>
            </w:pPr>
          </w:p>
        </w:tc>
        <w:tc>
          <w:tcPr>
            <w:tcW w:w="3080" w:type="dxa"/>
            <w:vAlign w:val="bottom"/>
            <w:tcBorders>
              <w:bottom w:val="single" w:sz="8" w:color="2B4C9B"/>
              <w:right w:val="single" w:sz="8" w:color="2B4C9B"/>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-1945005</wp:posOffset>
            </wp:positionV>
            <wp:extent cx="582930" cy="420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2930" cy="42037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-2116455</wp:posOffset>
            </wp:positionV>
            <wp:extent cx="325755" cy="5829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5755" cy="58293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-2005330</wp:posOffset>
            </wp:positionV>
            <wp:extent cx="471805" cy="4800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71805" cy="480060"/>
                    </a:xfrm>
                    <a:prstGeom prst="rect">
                      <a:avLst/>
                    </a:prstGeom>
                    <a:noFill/>
                  </pic:spPr>
                </pic:pic>
              </a:graphicData>
            </a:graphic>
          </wp:anchor>
        </w:drawing>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How Proxies Work</w:t>
      </w:r>
    </w:p>
    <w:p>
      <w:pPr>
        <w:spacing w:after="0" w:line="104" w:lineRule="exact"/>
        <w:rPr>
          <w:sz w:val="20"/>
          <w:szCs w:val="20"/>
          <w:color w:val="auto"/>
        </w:rPr>
      </w:pPr>
    </w:p>
    <w:p>
      <w:pPr>
        <w:ind w:left="760" w:right="600"/>
        <w:spacing w:after="0" w:line="271" w:lineRule="auto"/>
        <w:rPr>
          <w:sz w:val="20"/>
          <w:szCs w:val="20"/>
          <w:color w:val="auto"/>
        </w:rPr>
      </w:pPr>
      <w:r>
        <w:rPr>
          <w:rFonts w:ascii="Arial" w:cs="Arial" w:eastAsia="Arial" w:hAnsi="Arial"/>
          <w:sz w:val="18"/>
          <w:szCs w:val="18"/>
          <w:color w:val="auto"/>
        </w:rPr>
        <w:t>ExxonMobil’s Board of Directors is asking for your proxy. Giving us your proxy means you authorize us to vote your shares at the meeting in the manner you direct on the proxy card from the Board of Directors.</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If you give us your signed proxy but do not specify how to vote, we will vote your shares as follows:</w:t>
      </w:r>
    </w:p>
    <w:p>
      <w:pPr>
        <w:spacing w:after="0" w:line="117" w:lineRule="exact"/>
        <w:rPr>
          <w:sz w:val="20"/>
          <w:szCs w:val="20"/>
          <w:color w:val="auto"/>
        </w:rPr>
      </w:pPr>
    </w:p>
    <w:p>
      <w:pPr>
        <w:ind w:left="1140" w:hanging="376"/>
        <w:spacing w:after="0"/>
        <w:tabs>
          <w:tab w:leader="none" w:pos="11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For the election of all director candidates nominated by the ExxonMobil Board;</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For ratification of the appointment of independent auditors;</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For approval of the compensation of the Named Executive Officers;</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For one year as the frequency of future advisory votes on executive compensation; and</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As recommended by the Board with respect to shareholder proposals.</w:t>
      </w:r>
    </w:p>
    <w:p>
      <w:pPr>
        <w:spacing w:after="0" w:line="224" w:lineRule="exact"/>
        <w:rPr>
          <w:sz w:val="20"/>
          <w:szCs w:val="20"/>
          <w:color w:val="auto"/>
        </w:rPr>
      </w:pPr>
    </w:p>
    <w:p>
      <w:pPr>
        <w:jc w:val="both"/>
        <w:ind w:left="760" w:right="120"/>
        <w:spacing w:after="0" w:line="253" w:lineRule="auto"/>
        <w:rPr>
          <w:sz w:val="20"/>
          <w:szCs w:val="20"/>
          <w:color w:val="auto"/>
        </w:rPr>
      </w:pPr>
      <w:r>
        <w:rPr>
          <w:rFonts w:ascii="Arial" w:cs="Arial" w:eastAsia="Arial" w:hAnsi="Arial"/>
          <w:sz w:val="18"/>
          <w:szCs w:val="18"/>
          <w:color w:val="auto"/>
        </w:rPr>
        <w:t>If you hold shares through someone else, such as a brokerage firm, bank, or intermediary, you will receive materials from that firm asking how you want to vote. Check the voting form used by that firm as most offer online or telephone voting in addition to mail.</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Attendance at the Annual Meeting</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You have received this proxy statement because you are a shareholder as of the record date. Attendance at the</w:t>
      </w:r>
    </w:p>
    <w:p>
      <w:pPr>
        <w:spacing w:after="0" w:line="14" w:lineRule="exact"/>
        <w:rPr>
          <w:sz w:val="20"/>
          <w:szCs w:val="20"/>
          <w:color w:val="auto"/>
        </w:rPr>
      </w:pPr>
    </w:p>
    <w:p>
      <w:pPr>
        <w:ind w:left="760" w:right="60"/>
        <w:spacing w:after="0" w:line="239" w:lineRule="auto"/>
        <w:rPr>
          <w:sz w:val="20"/>
          <w:szCs w:val="20"/>
          <w:color w:val="auto"/>
        </w:rPr>
      </w:pPr>
      <w:r>
        <w:rPr>
          <w:rFonts w:ascii="Arial" w:cs="Arial" w:eastAsia="Arial" w:hAnsi="Arial"/>
          <w:sz w:val="18"/>
          <w:szCs w:val="18"/>
          <w:color w:val="auto"/>
        </w:rPr>
        <w:t xml:space="preserve">annual meeting through the website </w:t>
      </w:r>
      <w:r>
        <w:rPr>
          <w:rFonts w:ascii="Arial" w:cs="Arial" w:eastAsia="Arial" w:hAnsi="Arial"/>
          <w:sz w:val="18"/>
          <w:szCs w:val="18"/>
          <w:i w:val="1"/>
          <w:iCs w:val="1"/>
          <w:color w:val="auto"/>
        </w:rPr>
        <w:t>www.virtualshareholdermeeting.com/XOM2023</w:t>
      </w:r>
      <w:r>
        <w:rPr>
          <w:rFonts w:ascii="Arial" w:cs="Arial" w:eastAsia="Arial" w:hAnsi="Arial"/>
          <w:sz w:val="18"/>
          <w:szCs w:val="18"/>
          <w:color w:val="auto"/>
        </w:rPr>
        <w:t xml:space="preserve"> or any adjournment or postponement thereof will be limited to shareholders of the Company as of the close of business on the record date and to guests. You will not be able to attend the annual meeting in person at a physical location. </w:t>
      </w:r>
      <w:r>
        <w:rPr>
          <w:rFonts w:ascii="Arial" w:cs="Arial" w:eastAsia="Arial" w:hAnsi="Arial"/>
          <w:sz w:val="18"/>
          <w:szCs w:val="18"/>
          <w:b w:val="1"/>
          <w:bCs w:val="1"/>
          <w:color w:val="auto"/>
        </w:rPr>
        <w:t>Separate instructions for how to attend</w:t>
      </w:r>
      <w:r>
        <w:rPr>
          <w:rFonts w:ascii="Arial" w:cs="Arial" w:eastAsia="Arial" w:hAnsi="Arial"/>
          <w:sz w:val="18"/>
          <w:szCs w:val="18"/>
          <w:color w:val="auto"/>
        </w:rPr>
        <w:t xml:space="preserve"> </w:t>
      </w:r>
      <w:r>
        <w:rPr>
          <w:rFonts w:ascii="Arial" w:cs="Arial" w:eastAsia="Arial" w:hAnsi="Arial"/>
          <w:sz w:val="18"/>
          <w:szCs w:val="18"/>
          <w:b w:val="1"/>
          <w:bCs w:val="1"/>
          <w:color w:val="auto"/>
        </w:rPr>
        <w:t>the annual meeting as a shareholder and have the ability to vote and/or submit a comment or question during the annual meeting are provided below for Registered Shareholders (those who hold shares through our transfer agent, Computershare, or participate in the Savings Plan) and Beneficial Shareholders (generally, those who hold shares through a bank or brokerage account).</w:t>
      </w:r>
    </w:p>
    <w:p>
      <w:pPr>
        <w:spacing w:after="0" w:line="85" w:lineRule="exact"/>
        <w:rPr>
          <w:sz w:val="20"/>
          <w:szCs w:val="20"/>
          <w:color w:val="auto"/>
        </w:rPr>
      </w:pPr>
    </w:p>
    <w:p>
      <w:pPr>
        <w:ind w:left="780"/>
        <w:spacing w:after="0"/>
        <w:tabs>
          <w:tab w:leader="none" w:pos="1378" w:val="left"/>
        </w:tabs>
        <w:rPr>
          <w:sz w:val="20"/>
          <w:szCs w:val="20"/>
          <w:color w:val="auto"/>
        </w:rPr>
      </w:pPr>
      <w:r>
        <w:rPr>
          <w:rFonts w:ascii="Arial" w:cs="Arial" w:eastAsia="Arial" w:hAnsi="Arial"/>
          <w:sz w:val="18"/>
          <w:szCs w:val="18"/>
          <w:color w:val="auto"/>
        </w:rPr>
        <w:t>4</w:t>
      </w:r>
      <w:r>
        <w:rPr>
          <w:sz w:val="20"/>
          <w:szCs w:val="20"/>
          <w:color w:val="auto"/>
        </w:rPr>
        <w:tab/>
      </w:r>
      <w:r>
        <w:rPr>
          <w:sz w:val="1"/>
          <w:szCs w:val="1"/>
          <w:color w:val="auto"/>
        </w:rPr>
        <w:drawing>
          <wp:inline distT="0" distB="0" distL="0" distR="0">
            <wp:extent cx="737235" cy="14541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2023 Proxy Statement</w:t>
      </w:r>
    </w:p>
    <w:p>
      <w:pPr>
        <w:sectPr>
          <w:pgSz w:w="11900" w:h="16838" w:orient="portrait"/>
          <w:cols w:equalWidth="0" w:num="1">
            <w:col w:w="10500"/>
          </w:cols>
          <w:pgMar w:left="320" w:top="482" w:right="10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Registered Shareholders must pre-register by 4:00 p.m. Central Time on May 24, 2023.</w:t>
      </w:r>
    </w:p>
    <w:p>
      <w:pPr>
        <w:spacing w:after="0" w:line="104" w:lineRule="exact"/>
        <w:rPr>
          <w:sz w:val="20"/>
          <w:szCs w:val="20"/>
          <w:color w:val="auto"/>
        </w:rPr>
      </w:pPr>
    </w:p>
    <w:p>
      <w:pPr>
        <w:jc w:val="both"/>
        <w:ind w:left="760" w:right="260"/>
        <w:spacing w:after="0" w:line="253" w:lineRule="auto"/>
        <w:rPr>
          <w:sz w:val="20"/>
          <w:szCs w:val="20"/>
          <w:color w:val="auto"/>
        </w:rPr>
      </w:pPr>
      <w:r>
        <w:rPr>
          <w:rFonts w:ascii="Arial" w:cs="Arial" w:eastAsia="Arial" w:hAnsi="Arial"/>
          <w:sz w:val="18"/>
          <w:szCs w:val="18"/>
          <w:color w:val="auto"/>
        </w:rPr>
        <w:t>For Registered Shareholders who hold shares through our transfer agent, Computershare, or participate in the Savings Plan, you must request a 16-digit virtual meeting access (VMA) control number no later than 4:00 p.m. Central Time on Wednesday, May 24, 2023.</w:t>
      </w:r>
    </w:p>
    <w:p>
      <w:pPr>
        <w:spacing w:after="0" w:line="169" w:lineRule="exact"/>
        <w:rPr>
          <w:sz w:val="20"/>
          <w:szCs w:val="20"/>
          <w:color w:val="auto"/>
        </w:rPr>
      </w:pPr>
    </w:p>
    <w:p>
      <w:pPr>
        <w:ind w:left="760" w:right="20"/>
        <w:spacing w:after="0"/>
        <w:rPr>
          <w:sz w:val="20"/>
          <w:szCs w:val="20"/>
          <w:color w:val="auto"/>
        </w:rPr>
      </w:pPr>
      <w:r>
        <w:rPr>
          <w:rFonts w:ascii="Arial" w:cs="Arial" w:eastAsia="Arial" w:hAnsi="Arial"/>
          <w:sz w:val="18"/>
          <w:szCs w:val="18"/>
          <w:color w:val="auto"/>
        </w:rPr>
        <w:t>To request a VMA control number, please email Computershare at legalproxy@computershare.com with “VMA Request” in the subject line. Include your full name exactly as it appears on your account, and include a copy of your proxy card or Notice. Alternatively, if you received your voting instructions via email, you may forward or attach that email. The 15-digit voter control number on your proxy card, Notice, or email allows you to vote your shares prior to and during the meeting but does not provide access to the virtual meeting as a shareholder. You will receive an email response from Computershare within seven days of your request. The email response will include your VMA control number and instructions to attend the virtual meeting. Please check that you have received a response in advance of the meeting, as it may be possible that the email may be in your spam or junk folder.</w:t>
      </w:r>
    </w:p>
    <w:p>
      <w:pPr>
        <w:spacing w:after="0" w:line="180" w:lineRule="exact"/>
        <w:rPr>
          <w:sz w:val="20"/>
          <w:szCs w:val="20"/>
          <w:color w:val="auto"/>
        </w:rPr>
      </w:pPr>
    </w:p>
    <w:p>
      <w:pPr>
        <w:ind w:left="760" w:right="60"/>
        <w:spacing w:after="0" w:line="271" w:lineRule="auto"/>
        <w:rPr>
          <w:sz w:val="20"/>
          <w:szCs w:val="20"/>
          <w:color w:val="auto"/>
        </w:rPr>
      </w:pPr>
      <w:r>
        <w:rPr>
          <w:rFonts w:ascii="Arial" w:cs="Arial" w:eastAsia="Arial" w:hAnsi="Arial"/>
          <w:sz w:val="18"/>
          <w:szCs w:val="18"/>
          <w:color w:val="auto"/>
        </w:rPr>
        <w:t>As a reminder, requests for VMA control numbers must be received at legalproxy@computershare.com no later than 4:00 p.m. Central Time on May 24, 2023.</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Beneficial Shareholders</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Beneficial Shareholders who hold their shares through an intermediary, such as a bank or brokerage firm, the 16-digit control number can be found on the Notice of Internet Availability (Notice), voting instruction form, or other instructions you receive from your bank, brokerage firm, or other intermediary. Beneficial Shareholders can use their 16-digit control number to log in to attend the meeting, submit questions, and vote during the meeting. Beneficial Shareholders who did not receive a 16-digit control number from their bank or brokerage firm who wish to attend the meeting should follow the instructions from their bank or brokerage firm, including any requirement to obtain a legal proxy. Most brokerage firms or banks allow a shareholder to obtain a legal proxy either online or by mail.</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Attending as a Guest</w:t>
      </w:r>
    </w:p>
    <w:p>
      <w:pPr>
        <w:spacing w:after="0" w:line="104" w:lineRule="exact"/>
        <w:rPr>
          <w:sz w:val="20"/>
          <w:szCs w:val="20"/>
          <w:color w:val="auto"/>
        </w:rPr>
      </w:pPr>
    </w:p>
    <w:p>
      <w:pPr>
        <w:ind w:left="760" w:right="100"/>
        <w:spacing w:after="0" w:line="247" w:lineRule="auto"/>
        <w:rPr>
          <w:sz w:val="20"/>
          <w:szCs w:val="20"/>
          <w:color w:val="auto"/>
        </w:rPr>
      </w:pPr>
      <w:r>
        <w:rPr>
          <w:rFonts w:ascii="Arial" w:cs="Arial" w:eastAsia="Arial" w:hAnsi="Arial"/>
          <w:sz w:val="18"/>
          <w:szCs w:val="18"/>
          <w:color w:val="auto"/>
        </w:rPr>
        <w:t xml:space="preserve">Shareholders who do not pre-register for the virtual annual meeting (as specified above) or who do not have their 16-digit control number may still attend the meeting virtually as a guest by accessing the annual meeting website, </w:t>
      </w:r>
      <w:r>
        <w:rPr>
          <w:rFonts w:ascii="Arial" w:cs="Arial" w:eastAsia="Arial" w:hAnsi="Arial"/>
          <w:sz w:val="18"/>
          <w:szCs w:val="18"/>
          <w:i w:val="1"/>
          <w:iCs w:val="1"/>
          <w:color w:val="auto"/>
        </w:rPr>
        <w:t>www.virtualshareholdermeeting.com/XOM2023</w:t>
      </w:r>
      <w:r>
        <w:rPr>
          <w:rFonts w:ascii="Arial" w:cs="Arial" w:eastAsia="Arial" w:hAnsi="Arial"/>
          <w:sz w:val="18"/>
          <w:szCs w:val="18"/>
          <w:color w:val="auto"/>
        </w:rPr>
        <w:t>, beginning 15-minutes prior to the annual meeting’s scheduled start time</w:t>
      </w:r>
      <w:r>
        <w:rPr>
          <w:rFonts w:ascii="Arial" w:cs="Arial" w:eastAsia="Arial" w:hAnsi="Arial"/>
          <w:sz w:val="18"/>
          <w:szCs w:val="18"/>
          <w:i w:val="1"/>
          <w:iCs w:val="1"/>
          <w:color w:val="auto"/>
        </w:rPr>
        <w:t xml:space="preserve"> </w:t>
      </w:r>
      <w:r>
        <w:rPr>
          <w:rFonts w:ascii="Arial" w:cs="Arial" w:eastAsia="Arial" w:hAnsi="Arial"/>
          <w:sz w:val="18"/>
          <w:szCs w:val="18"/>
          <w:color w:val="auto"/>
        </w:rPr>
        <w:t>and following the instructions provided to attend as a guest.</w:t>
      </w:r>
    </w:p>
    <w:p>
      <w:pPr>
        <w:spacing w:after="0" w:line="174" w:lineRule="exact"/>
        <w:rPr>
          <w:sz w:val="20"/>
          <w:szCs w:val="20"/>
          <w:color w:val="auto"/>
        </w:rPr>
      </w:pPr>
    </w:p>
    <w:p>
      <w:pPr>
        <w:ind w:left="760" w:right="80"/>
        <w:spacing w:after="0" w:line="271" w:lineRule="auto"/>
        <w:rPr>
          <w:sz w:val="20"/>
          <w:szCs w:val="20"/>
          <w:color w:val="auto"/>
        </w:rPr>
      </w:pPr>
      <w:r>
        <w:rPr>
          <w:rFonts w:ascii="Arial" w:cs="Arial" w:eastAsia="Arial" w:hAnsi="Arial"/>
          <w:sz w:val="18"/>
          <w:szCs w:val="18"/>
          <w:color w:val="auto"/>
        </w:rPr>
        <w:t>Guests at the virtual annual meeting will be able to listen to the meeting but will not be able to vote nor submit a comment or question during the annual meeting.</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Submitting Questions and Voting at the Annual Meeting</w:t>
      </w:r>
    </w:p>
    <w:p>
      <w:pPr>
        <w:spacing w:after="0" w:line="104" w:lineRule="exact"/>
        <w:rPr>
          <w:sz w:val="20"/>
          <w:szCs w:val="20"/>
          <w:color w:val="auto"/>
        </w:rPr>
      </w:pPr>
    </w:p>
    <w:p>
      <w:pPr>
        <w:ind w:left="760" w:right="100"/>
        <w:spacing w:after="0" w:line="244" w:lineRule="auto"/>
        <w:rPr>
          <w:sz w:val="20"/>
          <w:szCs w:val="20"/>
          <w:color w:val="auto"/>
        </w:rPr>
      </w:pPr>
      <w:r>
        <w:rPr>
          <w:rFonts w:ascii="Arial" w:cs="Arial" w:eastAsia="Arial" w:hAnsi="Arial"/>
          <w:sz w:val="18"/>
          <w:szCs w:val="18"/>
          <w:color w:val="auto"/>
        </w:rPr>
        <w:t xml:space="preserve">Other than shareholders who attend as guests, all shareholders may submit questions and vote at the annual meeting by following the instructions that will be available on the annual meeting website. Even if you plan to attend the annual meeting, the Company recommends that you vote your shares in advance, so that your vote will be counted if you later decide not to attend the annual meeting. Please note the additional information below for </w:t>
      </w:r>
      <w:r>
        <w:rPr>
          <w:rFonts w:ascii="Arial" w:cs="Arial" w:eastAsia="Arial" w:hAnsi="Arial"/>
          <w:sz w:val="18"/>
          <w:szCs w:val="18"/>
          <w:b w:val="1"/>
          <w:bCs w:val="1"/>
          <w:color w:val="auto"/>
        </w:rPr>
        <w:t>Registered Shareholders</w:t>
      </w:r>
      <w:r>
        <w:rPr>
          <w:rFonts w:ascii="Arial" w:cs="Arial" w:eastAsia="Arial" w:hAnsi="Arial"/>
          <w:sz w:val="18"/>
          <w:szCs w:val="18"/>
          <w:color w:val="auto"/>
        </w:rPr>
        <w:t xml:space="preserve"> on voting during the annual meeting.</w:t>
      </w:r>
    </w:p>
    <w:p>
      <w:pPr>
        <w:spacing w:after="0" w:line="176" w:lineRule="exact"/>
        <w:rPr>
          <w:sz w:val="20"/>
          <w:szCs w:val="20"/>
          <w:color w:val="auto"/>
        </w:rPr>
      </w:pPr>
    </w:p>
    <w:p>
      <w:pPr>
        <w:ind w:left="760" w:right="20"/>
        <w:spacing w:after="0" w:line="244" w:lineRule="auto"/>
        <w:rPr>
          <w:sz w:val="20"/>
          <w:szCs w:val="20"/>
          <w:color w:val="auto"/>
        </w:rPr>
      </w:pPr>
      <w:r>
        <w:rPr>
          <w:rFonts w:ascii="Arial" w:cs="Arial" w:eastAsia="Arial" w:hAnsi="Arial"/>
          <w:sz w:val="18"/>
          <w:szCs w:val="18"/>
          <w:b w:val="1"/>
          <w:bCs w:val="1"/>
          <w:color w:val="auto"/>
        </w:rPr>
        <w:t xml:space="preserve">Registered Shareholders </w:t>
      </w:r>
      <w:r>
        <w:rPr>
          <w:rFonts w:ascii="Arial" w:cs="Arial" w:eastAsia="Arial" w:hAnsi="Arial"/>
          <w:sz w:val="18"/>
          <w:szCs w:val="18"/>
          <w:color w:val="auto"/>
        </w:rPr>
        <w:t>can continue to vote their shares during the annual meeting by following the instructions that</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available on the annual meeting website and using the 15-digit voter control number displayed on your proxy card, Notice, or meeting materials email for the annual meeting. The 15-digit voter control number will not provide you access to the virtual annual meeting. For instructions on attending the annual meeting, please reference the section above titled “Attendance at the Annual Meeting.”</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Submitting a Question Prior to the Annual Meeting</w:t>
      </w:r>
    </w:p>
    <w:p>
      <w:pPr>
        <w:spacing w:after="0" w:line="104" w:lineRule="exact"/>
        <w:rPr>
          <w:sz w:val="20"/>
          <w:szCs w:val="20"/>
          <w:color w:val="auto"/>
        </w:rPr>
      </w:pPr>
    </w:p>
    <w:p>
      <w:pPr>
        <w:ind w:left="760" w:right="540"/>
        <w:spacing w:after="0" w:line="271" w:lineRule="auto"/>
        <w:rPr>
          <w:sz w:val="20"/>
          <w:szCs w:val="20"/>
          <w:color w:val="auto"/>
        </w:rPr>
      </w:pPr>
      <w:r>
        <w:rPr>
          <w:rFonts w:ascii="Arial" w:cs="Arial" w:eastAsia="Arial" w:hAnsi="Arial"/>
          <w:sz w:val="18"/>
          <w:szCs w:val="18"/>
          <w:color w:val="auto"/>
        </w:rPr>
        <w:t xml:space="preserve">Shareholders may submit a comment or question prior to the annual meeting, beginning on May 1, 2023, by visiting </w:t>
      </w:r>
      <w:r>
        <w:rPr>
          <w:rFonts w:ascii="Arial" w:cs="Arial" w:eastAsia="Arial" w:hAnsi="Arial"/>
          <w:sz w:val="18"/>
          <w:szCs w:val="18"/>
          <w:i w:val="1"/>
          <w:iCs w:val="1"/>
          <w:color w:val="auto"/>
        </w:rPr>
        <w:t xml:space="preserve">exxonmobil.com/investor </w:t>
      </w:r>
      <w:r>
        <w:rPr>
          <w:rFonts w:ascii="Arial" w:cs="Arial" w:eastAsia="Arial" w:hAnsi="Arial"/>
          <w:sz w:val="18"/>
          <w:szCs w:val="18"/>
          <w:color w:val="auto"/>
        </w:rPr>
        <w:t>and following the instructions on the website.</w:t>
      </w:r>
    </w:p>
    <w:p>
      <w:pPr>
        <w:spacing w:after="0" w:line="154" w:lineRule="exact"/>
        <w:rPr>
          <w:sz w:val="20"/>
          <w:szCs w:val="20"/>
          <w:color w:val="auto"/>
        </w:rPr>
      </w:pPr>
    </w:p>
    <w:p>
      <w:pPr>
        <w:ind w:left="760" w:right="100"/>
        <w:spacing w:after="0" w:line="266" w:lineRule="auto"/>
        <w:rPr>
          <w:sz w:val="20"/>
          <w:szCs w:val="20"/>
          <w:color w:val="auto"/>
        </w:rPr>
      </w:pPr>
      <w:r>
        <w:rPr>
          <w:rFonts w:ascii="Arial" w:cs="Arial" w:eastAsia="Arial" w:hAnsi="Arial"/>
          <w:sz w:val="17"/>
          <w:szCs w:val="17"/>
          <w:color w:val="auto"/>
        </w:rPr>
        <w:t>Questions received prior to or during the annual meeting will be answered as allotted time permits. In order to address as many topics as time permits, similar questions may be combined. In light of the number of business items on this year’s agenda and the need to conclude the annual meeting within a reasonable period of time, we cannot ensure that every shareholder who wishes to have a question or comment addressed during the annual meeting will be able to do so.</w:t>
      </w:r>
    </w:p>
    <w:p>
      <w:pPr>
        <w:spacing w:after="0" w:line="90" w:lineRule="exact"/>
        <w:rPr>
          <w:sz w:val="20"/>
          <w:szCs w:val="20"/>
          <w:color w:val="auto"/>
        </w:rPr>
      </w:pPr>
    </w:p>
    <w:tbl>
      <w:tblPr>
        <w:tblLayout w:type="fixed"/>
        <w:tblInd w:w="68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-139065</wp:posOffset>
            </wp:positionV>
            <wp:extent cx="737235"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480"/>
          </w:cols>
          <w:pgMar w:left="320" w:top="482" w:right="10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Virtual Meeting Technical Assistance</w:t>
      </w:r>
    </w:p>
    <w:p>
      <w:pPr>
        <w:spacing w:after="0" w:line="104" w:lineRule="exact"/>
        <w:rPr>
          <w:sz w:val="20"/>
          <w:szCs w:val="20"/>
          <w:color w:val="auto"/>
        </w:rPr>
      </w:pPr>
    </w:p>
    <w:p>
      <w:pPr>
        <w:ind w:left="760" w:right="60"/>
        <w:spacing w:after="0" w:line="253" w:lineRule="auto"/>
        <w:rPr>
          <w:sz w:val="20"/>
          <w:szCs w:val="20"/>
          <w:color w:val="auto"/>
        </w:rPr>
      </w:pPr>
      <w:r>
        <w:rPr>
          <w:rFonts w:ascii="Arial" w:cs="Arial" w:eastAsia="Arial" w:hAnsi="Arial"/>
          <w:sz w:val="18"/>
          <w:szCs w:val="18"/>
          <w:color w:val="auto"/>
        </w:rPr>
        <w:t>If you encounter technical difficulties accessing the virtual annual meeting, the meeting login page will include technical support line contact information. Technical support will be available beginning at 9:15 a.m. Central Time on May 31, 2023, and will remain available until the annual meeting has ended.</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Important Notice Regarding the Availability of Proxy Materials for the Shareholders Meeting to be held on</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May 31, 2023:</w:t>
      </w:r>
    </w:p>
    <w:p>
      <w:pPr>
        <w:spacing w:after="0" w:line="8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The 2023 Proxy Statement and 2022 Annual Report are available at </w:t>
      </w:r>
      <w:r>
        <w:rPr>
          <w:rFonts w:ascii="Arial" w:cs="Arial" w:eastAsia="Arial" w:hAnsi="Arial"/>
          <w:sz w:val="18"/>
          <w:szCs w:val="18"/>
          <w:b w:val="1"/>
          <w:bCs w:val="1"/>
          <w:i w:val="1"/>
          <w:iCs w:val="1"/>
          <w:color w:val="auto"/>
        </w:rPr>
        <w:t>www.edocumentview.com/xom.</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Notice and Access</w:t>
      </w:r>
    </w:p>
    <w:p>
      <w:pPr>
        <w:spacing w:after="0" w:line="104" w:lineRule="exact"/>
        <w:rPr>
          <w:sz w:val="20"/>
          <w:szCs w:val="20"/>
          <w:color w:val="auto"/>
        </w:rPr>
      </w:pPr>
    </w:p>
    <w:p>
      <w:pPr>
        <w:ind w:left="760"/>
        <w:spacing w:after="0" w:line="244" w:lineRule="auto"/>
        <w:rPr>
          <w:sz w:val="20"/>
          <w:szCs w:val="20"/>
          <w:color w:val="auto"/>
        </w:rPr>
      </w:pPr>
      <w:r>
        <w:rPr>
          <w:rFonts w:ascii="Arial" w:cs="Arial" w:eastAsia="Arial" w:hAnsi="Arial"/>
          <w:sz w:val="18"/>
          <w:szCs w:val="18"/>
          <w:color w:val="auto"/>
        </w:rPr>
        <w:t>We distribute proxy materials to many shareholders via the Internet under the Securities and Exchange Commission’s (SEC) “Notice and Access” rules, thereby capturing cost and environmental benefits. On or about April 13, 2023, we mailed a Notice of Internet Availability of Proxy Materials (Notice) that contains information about our 2023 annual meeting of shareholders and instructions on how to view all proxy materials on the Internet. Also included are instructions on how to vote and how to request a paper or e-mail copy of the proxy materials.</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Electronic Delivery of Proxy Statement and Annual Report Documents</w:t>
      </w:r>
    </w:p>
    <w:p>
      <w:pPr>
        <w:spacing w:after="0" w:line="104" w:lineRule="exact"/>
        <w:rPr>
          <w:sz w:val="20"/>
          <w:szCs w:val="20"/>
          <w:color w:val="auto"/>
        </w:rPr>
      </w:pPr>
    </w:p>
    <w:p>
      <w:pPr>
        <w:ind w:left="760" w:right="520"/>
        <w:spacing w:after="0" w:line="253" w:lineRule="auto"/>
        <w:rPr>
          <w:sz w:val="20"/>
          <w:szCs w:val="20"/>
          <w:color w:val="auto"/>
        </w:rPr>
      </w:pPr>
      <w:r>
        <w:rPr>
          <w:rFonts w:ascii="Arial" w:cs="Arial" w:eastAsia="Arial" w:hAnsi="Arial"/>
          <w:sz w:val="18"/>
          <w:szCs w:val="18"/>
          <w:color w:val="auto"/>
        </w:rPr>
        <w:t>For shareholders receiving proxy materials by mail, you can elect to receive an e-mail in the future that will provide electronic links to these documents. Opting to receive your proxy materials online will save the Company the cost of producing and mailing documents to you, and will also give you an electronic link to vote your proxy.</w:t>
      </w:r>
    </w:p>
    <w:p>
      <w:pPr>
        <w:spacing w:after="0" w:line="74" w:lineRule="exact"/>
        <w:rPr>
          <w:sz w:val="20"/>
          <w:szCs w:val="20"/>
          <w:color w:val="auto"/>
        </w:rPr>
      </w:pPr>
    </w:p>
    <w:p>
      <w:pPr>
        <w:ind w:left="1140" w:right="780" w:hanging="376"/>
        <w:spacing w:after="0" w:line="300" w:lineRule="auto"/>
        <w:tabs>
          <w:tab w:leader="none" w:pos="114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Registered Shareholders: </w:t>
      </w:r>
      <w:r>
        <w:rPr>
          <w:rFonts w:ascii="Arial" w:cs="Arial" w:eastAsia="Arial" w:hAnsi="Arial"/>
          <w:sz w:val="17"/>
          <w:szCs w:val="17"/>
          <w:color w:val="auto"/>
        </w:rPr>
        <w:t>You may enroll in the electronic proxy delivery service at any time by going to</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computershare.com/exxonmobil</w:t>
      </w:r>
      <w:r>
        <w:rPr>
          <w:rFonts w:ascii="Arial" w:cs="Arial" w:eastAsia="Arial" w:hAnsi="Arial"/>
          <w:sz w:val="17"/>
          <w:szCs w:val="17"/>
          <w:color w:val="auto"/>
        </w:rPr>
        <w:t>. You may also revoke an electronic delivery election at this site at any time.</w:t>
      </w:r>
    </w:p>
    <w:p>
      <w:pPr>
        <w:spacing w:after="0" w:line="36" w:lineRule="exact"/>
        <w:rPr>
          <w:rFonts w:ascii="Times New Roman" w:cs="Times New Roman" w:eastAsia="Times New Roman" w:hAnsi="Times New Roman"/>
          <w:sz w:val="17"/>
          <w:szCs w:val="17"/>
          <w:color w:val="auto"/>
        </w:rPr>
      </w:pPr>
    </w:p>
    <w:p>
      <w:pPr>
        <w:ind w:left="1140" w:right="80" w:hanging="376"/>
        <w:spacing w:after="0" w:line="252" w:lineRule="auto"/>
        <w:tabs>
          <w:tab w:leader="none" w:pos="11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Beneficial Shareholders: </w:t>
      </w:r>
      <w:r>
        <w:rPr>
          <w:rFonts w:ascii="Arial" w:cs="Arial" w:eastAsia="Arial" w:hAnsi="Arial"/>
          <w:sz w:val="18"/>
          <w:szCs w:val="18"/>
          <w:color w:val="auto"/>
        </w:rPr>
        <w:t>If you hold your shares in a brokerage firm or bank account, you may also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opportunity to receive copies of the proxy materials electronically. Please check the information provided in the proxy materials mailed to you by your bank, brokerage firm, or intermediary regarding the availability of this service.</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Voting Shares in the ExxonMobil Savings Plan</w:t>
      </w:r>
    </w:p>
    <w:p>
      <w:pPr>
        <w:spacing w:after="0" w:line="104" w:lineRule="exact"/>
        <w:rPr>
          <w:sz w:val="20"/>
          <w:szCs w:val="20"/>
          <w:color w:val="auto"/>
        </w:rPr>
      </w:pPr>
    </w:p>
    <w:p>
      <w:pPr>
        <w:ind w:left="760" w:right="80"/>
        <w:spacing w:after="0" w:line="301" w:lineRule="auto"/>
        <w:rPr>
          <w:sz w:val="20"/>
          <w:szCs w:val="20"/>
          <w:color w:val="auto"/>
        </w:rPr>
      </w:pPr>
      <w:r>
        <w:rPr>
          <w:rFonts w:ascii="Arial" w:cs="Arial" w:eastAsia="Arial" w:hAnsi="Arial"/>
          <w:sz w:val="17"/>
          <w:szCs w:val="17"/>
          <w:color w:val="auto"/>
        </w:rPr>
        <w:t>The Trustee of the ExxonMobil Savings Plan will vote Plan shares as participants direct. If participants do not give instructions, the Trustee will vote shares as it thinks best. The proxy card serves to give voting instructions to the Trustee.</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Revoking a Proxy for Registered Shareholders</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You may revoke your proxy before it is voted at the meeting by:</w:t>
      </w:r>
    </w:p>
    <w:p>
      <w:pPr>
        <w:spacing w:after="0" w:line="117" w:lineRule="exact"/>
        <w:rPr>
          <w:sz w:val="20"/>
          <w:szCs w:val="20"/>
          <w:color w:val="auto"/>
        </w:rPr>
      </w:pPr>
    </w:p>
    <w:p>
      <w:pPr>
        <w:ind w:left="1140" w:hanging="376"/>
        <w:spacing w:after="0"/>
        <w:tabs>
          <w:tab w:leader="none" w:pos="11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Submitting a new proxy with a later date via a proxy card, online, by telephone, or by mail;</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Notifying ExxonMobil’s Secretary in writing before the meeting; or</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Voting during the meeting.</w:t>
      </w:r>
    </w:p>
    <w:p>
      <w:pPr>
        <w:spacing w:after="0" w:line="22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Confidential Voting</w:t>
      </w:r>
    </w:p>
    <w:p>
      <w:pPr>
        <w:spacing w:after="0" w:line="104" w:lineRule="exact"/>
        <w:rPr>
          <w:sz w:val="20"/>
          <w:szCs w:val="20"/>
          <w:color w:val="auto"/>
        </w:rPr>
      </w:pPr>
    </w:p>
    <w:p>
      <w:pPr>
        <w:ind w:left="760" w:right="80"/>
        <w:spacing w:after="0" w:line="301" w:lineRule="auto"/>
        <w:rPr>
          <w:sz w:val="20"/>
          <w:szCs w:val="20"/>
          <w:color w:val="auto"/>
        </w:rPr>
      </w:pPr>
      <w:r>
        <w:rPr>
          <w:rFonts w:ascii="Arial" w:cs="Arial" w:eastAsia="Arial" w:hAnsi="Arial"/>
          <w:sz w:val="17"/>
          <w:szCs w:val="17"/>
          <w:color w:val="auto"/>
        </w:rPr>
        <w:t>Independent inspectors count the votes. Your individual vote is kept confidential from us unless otherwise required by law or special circumstances exist. For example, a copy of your proxy card is sent to us if you write comments on the card.</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Quorum</w:t>
      </w:r>
    </w:p>
    <w:p>
      <w:pPr>
        <w:spacing w:after="0" w:line="104" w:lineRule="exact"/>
        <w:rPr>
          <w:sz w:val="20"/>
          <w:szCs w:val="20"/>
          <w:color w:val="auto"/>
        </w:rPr>
      </w:pPr>
    </w:p>
    <w:p>
      <w:pPr>
        <w:ind w:left="760" w:right="380"/>
        <w:spacing w:after="0" w:line="253" w:lineRule="auto"/>
        <w:rPr>
          <w:sz w:val="20"/>
          <w:szCs w:val="20"/>
          <w:color w:val="auto"/>
        </w:rPr>
      </w:pPr>
      <w:r>
        <w:rPr>
          <w:rFonts w:ascii="Arial" w:cs="Arial" w:eastAsia="Arial" w:hAnsi="Arial"/>
          <w:sz w:val="18"/>
          <w:szCs w:val="18"/>
          <w:color w:val="auto"/>
        </w:rPr>
        <w:t>In order to carry on the business of the meeting, we must have a quorum. This means at least a majority of the outstanding shares eligible to vote must be represented at the meeting, either by proxy or in person. Treasury shares, which are shares owned by ExxonMobil itself, are not voted and do not count for this purpose.</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Votes Required</w:t>
      </w:r>
    </w:p>
    <w:p>
      <w:pPr>
        <w:spacing w:after="0" w:line="117" w:lineRule="exact"/>
        <w:rPr>
          <w:sz w:val="20"/>
          <w:szCs w:val="20"/>
          <w:color w:val="auto"/>
        </w:rPr>
      </w:pPr>
    </w:p>
    <w:p>
      <w:pPr>
        <w:ind w:left="1140" w:right="120" w:hanging="376"/>
        <w:spacing w:after="0" w:line="243" w:lineRule="auto"/>
        <w:tabs>
          <w:tab w:leader="none" w:pos="11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Election of Directors Proposal: </w:t>
      </w:r>
      <w:r>
        <w:rPr>
          <w:rFonts w:ascii="Arial" w:cs="Arial" w:eastAsia="Arial" w:hAnsi="Arial"/>
          <w:sz w:val="18"/>
          <w:szCs w:val="18"/>
          <w:color w:val="auto"/>
        </w:rPr>
        <w:t>Under ExxonMobil’s by-laws, in a non-contested election, a director nominee must</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a majority of votes cast in order to be elected to the Board of Directors. In a contested election (in which the number of nominees exceeds the number of directors to be elected), the plurality vote standard under New Jersey law applies. Under plurality voting, the director nominee with the most votes for a particular seat is elected for that seat. Abstentions and broker non-votes are not counted for purposes of the election of directors.</w:t>
      </w:r>
    </w:p>
    <w:p>
      <w:pPr>
        <w:spacing w:after="0" w:line="92" w:lineRule="exact"/>
        <w:rPr>
          <w:sz w:val="20"/>
          <w:szCs w:val="20"/>
          <w:color w:val="auto"/>
        </w:rPr>
      </w:pPr>
    </w:p>
    <w:p>
      <w:pPr>
        <w:ind w:left="780"/>
        <w:spacing w:after="0"/>
        <w:tabs>
          <w:tab w:leader="none" w:pos="1378" w:val="left"/>
        </w:tabs>
        <w:rPr>
          <w:sz w:val="20"/>
          <w:szCs w:val="20"/>
          <w:color w:val="auto"/>
        </w:rPr>
      </w:pPr>
      <w:r>
        <w:rPr>
          <w:rFonts w:ascii="Arial" w:cs="Arial" w:eastAsia="Arial" w:hAnsi="Arial"/>
          <w:sz w:val="18"/>
          <w:szCs w:val="18"/>
          <w:color w:val="auto"/>
        </w:rPr>
        <w:t>6</w:t>
      </w:r>
      <w:r>
        <w:rPr>
          <w:sz w:val="20"/>
          <w:szCs w:val="20"/>
          <w:color w:val="auto"/>
        </w:rPr>
        <w:tab/>
      </w:r>
      <w:r>
        <w:rPr>
          <w:sz w:val="1"/>
          <w:szCs w:val="1"/>
          <w:color w:val="auto"/>
        </w:rPr>
        <w:drawing>
          <wp:inline distT="0" distB="0" distL="0" distR="0">
            <wp:extent cx="737235" cy="14605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2023 Proxy Statement</w:t>
      </w:r>
    </w:p>
    <w:p>
      <w:pPr>
        <w:sectPr>
          <w:pgSz w:w="11900" w:h="16838" w:orient="portrait"/>
          <w:cols w:equalWidth="0" w:num="1">
            <w:col w:w="10480"/>
          </w:cols>
          <w:pgMar w:left="320" w:top="482" w:right="10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140" w:right="20"/>
        <w:spacing w:after="0" w:line="241" w:lineRule="auto"/>
        <w:rPr>
          <w:sz w:val="20"/>
          <w:szCs w:val="20"/>
          <w:color w:val="auto"/>
        </w:rPr>
      </w:pPr>
      <w:r>
        <w:rPr>
          <w:rFonts w:ascii="Arial" w:cs="Arial" w:eastAsia="Arial" w:hAnsi="Arial"/>
          <w:sz w:val="18"/>
          <w:szCs w:val="18"/>
          <w:color w:val="auto"/>
        </w:rPr>
        <w:t xml:space="preserve">A broker non-vote occurs when a bank, broker, or other holder of record that is holding shares for a beneficial owner does not vote on a particular proposal because the record holder does not have discretionary voting power and has not received instructions from the beneficial owner. </w:t>
      </w:r>
      <w:r>
        <w:rPr>
          <w:rFonts w:ascii="Arial" w:cs="Arial" w:eastAsia="Arial" w:hAnsi="Arial"/>
          <w:sz w:val="18"/>
          <w:szCs w:val="18"/>
          <w:b w:val="1"/>
          <w:bCs w:val="1"/>
          <w:color w:val="auto"/>
        </w:rPr>
        <w:t>If you own shares through a brokerage firm, bank, or</w:t>
      </w:r>
      <w:r>
        <w:rPr>
          <w:rFonts w:ascii="Arial" w:cs="Arial" w:eastAsia="Arial" w:hAnsi="Arial"/>
          <w:sz w:val="18"/>
          <w:szCs w:val="18"/>
          <w:color w:val="auto"/>
        </w:rPr>
        <w:t xml:space="preserve"> </w:t>
      </w:r>
      <w:r>
        <w:rPr>
          <w:rFonts w:ascii="Arial" w:cs="Arial" w:eastAsia="Arial" w:hAnsi="Arial"/>
          <w:sz w:val="18"/>
          <w:szCs w:val="18"/>
          <w:b w:val="1"/>
          <w:bCs w:val="1"/>
          <w:color w:val="auto"/>
        </w:rPr>
        <w:t>intermediary, you must give the brokerage firm, bank, or intermediary instructions to vote your shares in the election of directors. You provide those instructions to your brokerage firm, bank, or intermediary by voting according to the directions on your proxy card or Notice by mail, online, or telephone. If you do not give your brokerage firm, bank, or intermediary instructions on voting your shares, then your shares will not be voted for this proposal.</w:t>
      </w:r>
    </w:p>
    <w:p>
      <w:pPr>
        <w:spacing w:after="0" w:line="173" w:lineRule="exact"/>
        <w:rPr>
          <w:sz w:val="20"/>
          <w:szCs w:val="20"/>
          <w:color w:val="auto"/>
        </w:rPr>
      </w:pPr>
    </w:p>
    <w:p>
      <w:pPr>
        <w:ind w:left="1160"/>
        <w:spacing w:after="0" w:line="239" w:lineRule="auto"/>
        <w:rPr>
          <w:sz w:val="20"/>
          <w:szCs w:val="20"/>
          <w:color w:val="auto"/>
        </w:rPr>
      </w:pPr>
      <w:r>
        <w:rPr>
          <w:rFonts w:ascii="Arial" w:cs="Arial" w:eastAsia="Arial" w:hAnsi="Arial"/>
          <w:sz w:val="18"/>
          <w:szCs w:val="18"/>
          <w:color w:val="auto"/>
        </w:rPr>
        <w:t xml:space="preserve">Our Corporate Governance Guidelines, which can be found in the Corporate Governance section of our website at </w:t>
      </w:r>
      <w:r>
        <w:rPr>
          <w:rFonts w:ascii="Arial" w:cs="Arial" w:eastAsia="Arial" w:hAnsi="Arial"/>
          <w:sz w:val="18"/>
          <w:szCs w:val="18"/>
          <w:i w:val="1"/>
          <w:iCs w:val="1"/>
          <w:color w:val="auto"/>
        </w:rPr>
        <w:t xml:space="preserve">exxonmobil.com/governance, </w:t>
      </w:r>
      <w:r>
        <w:rPr>
          <w:rFonts w:ascii="Arial" w:cs="Arial" w:eastAsia="Arial" w:hAnsi="Arial"/>
          <w:sz w:val="18"/>
          <w:szCs w:val="18"/>
          <w:color w:val="auto"/>
        </w:rPr>
        <w:t>state that all directors will stand for election at the annual meeting of shareholders. In a</w:t>
      </w:r>
      <w:r>
        <w:rPr>
          <w:rFonts w:ascii="Arial" w:cs="Arial" w:eastAsia="Arial" w:hAnsi="Arial"/>
          <w:sz w:val="18"/>
          <w:szCs w:val="18"/>
          <w:i w:val="1"/>
          <w:iCs w:val="1"/>
          <w:color w:val="auto"/>
        </w:rPr>
        <w:t xml:space="preserve"> </w:t>
      </w:r>
      <w:r>
        <w:rPr>
          <w:rFonts w:ascii="Arial" w:cs="Arial" w:eastAsia="Arial" w:hAnsi="Arial"/>
          <w:sz w:val="18"/>
          <w:szCs w:val="18"/>
          <w:color w:val="auto"/>
        </w:rPr>
        <w:t>non-contested election of directors, any director nominee who receives a greater number of votes AGAINST his or her election than votes FOR such election shall tender his or her resignation. Within 90 days after certification of the election results, the Board of Directors will decide, through a process managed by the Nominating and Governance Committee and excluding the nominee in question, whether to accept the resignation. Absent a compelling reason for the director to remain on the Board, the Board shall accept the resignation. The Board will promptly disclose its decision and, if applicable, the reasons for rejecting the tendered resignation on Form 8-K filed with the Securities and Exchange Commission.</w:t>
      </w:r>
    </w:p>
    <w:p>
      <w:pPr>
        <w:spacing w:after="0" w:line="89" w:lineRule="exact"/>
        <w:rPr>
          <w:sz w:val="20"/>
          <w:szCs w:val="20"/>
          <w:color w:val="auto"/>
        </w:rPr>
      </w:pPr>
    </w:p>
    <w:p>
      <w:pPr>
        <w:ind w:left="1140" w:right="380" w:hanging="376"/>
        <w:spacing w:after="0" w:line="252" w:lineRule="auto"/>
        <w:tabs>
          <w:tab w:leader="none" w:pos="11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Other Proposals: </w:t>
      </w:r>
      <w:r>
        <w:rPr>
          <w:rFonts w:ascii="Arial" w:cs="Arial" w:eastAsia="Arial" w:hAnsi="Arial"/>
          <w:sz w:val="18"/>
          <w:szCs w:val="18"/>
          <w:color w:val="auto"/>
        </w:rPr>
        <w:t>Approval of the ratification of the appointment of independent auditors, the advisory vote to</w:t>
      </w:r>
      <w:r>
        <w:rPr>
          <w:rFonts w:ascii="Arial" w:cs="Arial" w:eastAsia="Arial" w:hAnsi="Arial"/>
          <w:sz w:val="18"/>
          <w:szCs w:val="18"/>
          <w:b w:val="1"/>
          <w:bCs w:val="1"/>
          <w:color w:val="auto"/>
        </w:rPr>
        <w:t xml:space="preserve"> </w:t>
      </w:r>
      <w:r>
        <w:rPr>
          <w:rFonts w:ascii="Arial" w:cs="Arial" w:eastAsia="Arial" w:hAnsi="Arial"/>
          <w:sz w:val="18"/>
          <w:szCs w:val="18"/>
          <w:color w:val="auto"/>
        </w:rPr>
        <w:t>approve executive compensation, and the shareholder proposals require the favorable vote of a majority of votes cast. Only votes FOR or AGAINST these proposals count.</w:t>
      </w:r>
    </w:p>
    <w:p>
      <w:pPr>
        <w:spacing w:after="0" w:line="170" w:lineRule="exact"/>
        <w:rPr>
          <w:rFonts w:ascii="Times New Roman" w:cs="Times New Roman" w:eastAsia="Times New Roman" w:hAnsi="Times New Roman"/>
          <w:sz w:val="18"/>
          <w:szCs w:val="18"/>
          <w:color w:val="auto"/>
        </w:rPr>
      </w:pPr>
    </w:p>
    <w:p>
      <w:pPr>
        <w:ind w:left="1160" w:right="20"/>
        <w:spacing w:after="0" w:line="253" w:lineRule="auto"/>
        <w:rPr>
          <w:rFonts w:ascii="Times New Roman" w:cs="Times New Roman" w:eastAsia="Times New Roman" w:hAnsi="Times New Roman"/>
          <w:sz w:val="18"/>
          <w:szCs w:val="18"/>
          <w:color w:val="auto"/>
        </w:rPr>
      </w:pPr>
      <w:r>
        <w:rPr>
          <w:rFonts w:ascii="Arial" w:cs="Arial" w:eastAsia="Arial" w:hAnsi="Arial"/>
          <w:sz w:val="18"/>
          <w:szCs w:val="18"/>
          <w:color w:val="auto"/>
        </w:rPr>
        <w:t>Approval of the frequency of the advisory vote on executive compensation requires the favorable vote of a majority of votes cast unless none of the frequency choices receives a majority, in which case the choice that receives the plurality of votes cast will be considered approved.</w:t>
      </w:r>
    </w:p>
    <w:p>
      <w:pPr>
        <w:spacing w:after="0" w:line="169" w:lineRule="exact"/>
        <w:rPr>
          <w:sz w:val="20"/>
          <w:szCs w:val="20"/>
          <w:color w:val="auto"/>
        </w:rPr>
      </w:pPr>
    </w:p>
    <w:p>
      <w:pPr>
        <w:ind w:left="1160" w:right="260"/>
        <w:spacing w:after="0" w:line="271" w:lineRule="auto"/>
        <w:rPr>
          <w:sz w:val="20"/>
          <w:szCs w:val="20"/>
          <w:color w:val="auto"/>
        </w:rPr>
      </w:pPr>
      <w:r>
        <w:rPr>
          <w:rFonts w:ascii="Arial" w:cs="Arial" w:eastAsia="Arial" w:hAnsi="Arial"/>
          <w:sz w:val="18"/>
          <w:szCs w:val="18"/>
          <w:color w:val="auto"/>
        </w:rPr>
        <w:t>Abstentions count for quorum purposes, but not for voting. Broker non-votes count as votes FOR the ratification of the appointment of independent auditors but do not count for voting on any of the other proposals.</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Conduct of the Meeting</w:t>
      </w:r>
    </w:p>
    <w:p>
      <w:pPr>
        <w:spacing w:after="0" w:line="104" w:lineRule="exact"/>
        <w:rPr>
          <w:sz w:val="20"/>
          <w:szCs w:val="20"/>
          <w:color w:val="auto"/>
        </w:rPr>
      </w:pPr>
    </w:p>
    <w:p>
      <w:pPr>
        <w:ind w:left="760" w:right="40"/>
        <w:spacing w:after="0"/>
        <w:rPr>
          <w:sz w:val="20"/>
          <w:szCs w:val="20"/>
          <w:color w:val="auto"/>
        </w:rPr>
      </w:pPr>
      <w:r>
        <w:rPr>
          <w:rFonts w:ascii="Arial" w:cs="Arial" w:eastAsia="Arial" w:hAnsi="Arial"/>
          <w:sz w:val="18"/>
          <w:szCs w:val="18"/>
          <w:color w:val="auto"/>
        </w:rPr>
        <w:t>The Chairman has broad responsibility and legal authority to conduct the annual meeting in an orderly and timely manner. This authority includes establishing rules for shareholders who wish to address the virtual meeting. Only shareholders or their valid proxy holders may address the meeting. A copy of these rules will be available at the virtual meeting. The Chairman may also exercise discretion in recognizing shareholders’ comments or questions and in determining the extent of discussion on each item of business. In light of the number of business items on this year’s agenda and the need to conclude the meeting within a reasonable period of time, we cannot ensure that every shareholder who wishes to have a question or comment addressed during the meeting will be able to do so.</w:t>
      </w:r>
    </w:p>
    <w:p>
      <w:pPr>
        <w:spacing w:after="0" w:line="185" w:lineRule="exact"/>
        <w:rPr>
          <w:sz w:val="20"/>
          <w:szCs w:val="20"/>
          <w:color w:val="auto"/>
        </w:rPr>
      </w:pPr>
    </w:p>
    <w:p>
      <w:pPr>
        <w:ind w:left="760" w:right="140"/>
        <w:spacing w:after="0" w:line="242" w:lineRule="auto"/>
        <w:rPr>
          <w:sz w:val="20"/>
          <w:szCs w:val="20"/>
          <w:color w:val="auto"/>
        </w:rPr>
      </w:pPr>
      <w:r>
        <w:rPr>
          <w:rFonts w:ascii="Arial" w:cs="Arial" w:eastAsia="Arial" w:hAnsi="Arial"/>
          <w:sz w:val="18"/>
          <w:szCs w:val="18"/>
          <w:color w:val="auto"/>
        </w:rPr>
        <w:t xml:space="preserve">Dialogue can also be facilitated with interested parties outside the meeting and, for this purpose, we have provided a method on our website at </w:t>
      </w:r>
      <w:r>
        <w:rPr>
          <w:rFonts w:ascii="Arial" w:cs="Arial" w:eastAsia="Arial" w:hAnsi="Arial"/>
          <w:sz w:val="18"/>
          <w:szCs w:val="18"/>
          <w:i w:val="1"/>
          <w:iCs w:val="1"/>
          <w:color w:val="auto"/>
        </w:rPr>
        <w:t>exxonmobil.com/directors</w:t>
      </w:r>
      <w:r>
        <w:rPr>
          <w:rFonts w:ascii="Arial" w:cs="Arial" w:eastAsia="Arial" w:hAnsi="Arial"/>
          <w:sz w:val="18"/>
          <w:szCs w:val="18"/>
          <w:color w:val="auto"/>
        </w:rPr>
        <w:t xml:space="preserve"> for raising issues and contacting the non-employee directors in writing either by mail or electronically. The Chairman may also rely on applicable law regarding disruptions or disorderly conduct to ensure that the meeting is conducted in a manner that is fair to all shareholders. Shareholders who wish to make comments during the meeting should do so in writing. Shareholders may send their comments prior to the meeting in writing to the Secretary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142875</wp:posOffset>
            </wp:positionV>
            <wp:extent cx="6180455" cy="16370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80455" cy="1637030"/>
                    </a:xfrm>
                    <a:prstGeom prst="rect">
                      <a:avLst/>
                    </a:prstGeom>
                    <a:noFill/>
                  </pic:spPr>
                </pic:pic>
              </a:graphicData>
            </a:graphic>
          </wp:anchor>
        </w:drawing>
      </w:r>
    </w:p>
    <w:p>
      <w:pPr>
        <w:spacing w:after="0" w:line="28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Contact Information</w:t>
      </w:r>
    </w:p>
    <w:p>
      <w:pPr>
        <w:spacing w:after="0" w:line="117" w:lineRule="exact"/>
        <w:rPr>
          <w:sz w:val="20"/>
          <w:szCs w:val="20"/>
          <w:color w:val="auto"/>
        </w:rPr>
      </w:pPr>
    </w:p>
    <w:p>
      <w:pPr>
        <w:ind w:left="920" w:right="460"/>
        <w:spacing w:after="0" w:line="253" w:lineRule="auto"/>
        <w:rPr>
          <w:sz w:val="20"/>
          <w:szCs w:val="20"/>
          <w:color w:val="auto"/>
        </w:rPr>
      </w:pPr>
      <w:r>
        <w:rPr>
          <w:rFonts w:ascii="Arial" w:cs="Arial" w:eastAsia="Arial" w:hAnsi="Arial"/>
          <w:sz w:val="18"/>
          <w:szCs w:val="18"/>
          <w:color w:val="auto"/>
        </w:rPr>
        <w:t>If you have questions or need more information about the annual meeting, write to Mr. Craig S. Morford, Secretary, Exxon Mobil Corporation, 22777 Springwoods Village Parkway, Spring, TX 77389. Alternatively, send an email to shareholderrelations@exxonmobil.com.</w:t>
      </w:r>
    </w:p>
    <w:p>
      <w:pPr>
        <w:spacing w:after="0" w:line="196" w:lineRule="exact"/>
        <w:rPr>
          <w:sz w:val="20"/>
          <w:szCs w:val="20"/>
          <w:color w:val="auto"/>
        </w:rPr>
      </w:pPr>
    </w:p>
    <w:p>
      <w:pPr>
        <w:ind w:left="920" w:right="40"/>
        <w:spacing w:after="0" w:line="242" w:lineRule="auto"/>
        <w:rPr>
          <w:sz w:val="20"/>
          <w:szCs w:val="20"/>
          <w:color w:val="auto"/>
        </w:rPr>
      </w:pPr>
      <w:r>
        <w:rPr>
          <w:rFonts w:ascii="Arial" w:cs="Arial" w:eastAsia="Arial" w:hAnsi="Arial"/>
          <w:sz w:val="18"/>
          <w:szCs w:val="18"/>
          <w:color w:val="auto"/>
        </w:rPr>
        <w:t xml:space="preserve">For information about shares registered in your name or your Computershare Investment Plan account, call ExxonMobil Shareholder Services at 1-800-252-1800 or 1-781-575-2058 (outside the United States, Canada, and Puerto Rico), or access your account via the website at </w:t>
      </w:r>
      <w:r>
        <w:rPr>
          <w:rFonts w:ascii="Arial" w:cs="Arial" w:eastAsia="Arial" w:hAnsi="Arial"/>
          <w:sz w:val="18"/>
          <w:szCs w:val="18"/>
          <w:i w:val="1"/>
          <w:iCs w:val="1"/>
          <w:color w:val="auto"/>
        </w:rPr>
        <w:t>computershare.com/exxonmobil.</w:t>
      </w:r>
      <w:r>
        <w:rPr>
          <w:rFonts w:ascii="Arial" w:cs="Arial" w:eastAsia="Arial" w:hAnsi="Arial"/>
          <w:sz w:val="18"/>
          <w:szCs w:val="18"/>
          <w:color w:val="auto"/>
        </w:rPr>
        <w:t xml:space="preserve"> We also invite you to visit ExxonMobil’s website, where investor information can be found at </w:t>
      </w:r>
      <w:r>
        <w:rPr>
          <w:rFonts w:ascii="Arial" w:cs="Arial" w:eastAsia="Arial" w:hAnsi="Arial"/>
          <w:sz w:val="18"/>
          <w:szCs w:val="18"/>
          <w:i w:val="1"/>
          <w:iCs w:val="1"/>
          <w:color w:val="auto"/>
        </w:rPr>
        <w:t>exxonmobil.com/investor.</w:t>
      </w:r>
      <w:r>
        <w:rPr>
          <w:rFonts w:ascii="Arial" w:cs="Arial" w:eastAsia="Arial" w:hAnsi="Arial"/>
          <w:sz w:val="18"/>
          <w:szCs w:val="18"/>
          <w:color w:val="auto"/>
        </w:rPr>
        <w:t xml:space="preserve"> Shareholders may submit a comment or question in advance of the annual meeting beginning on May 1, 2023, by following the instructions on the website. Website materials are not part of this proxy solicitation.</w:t>
      </w:r>
    </w:p>
    <w:p>
      <w:pPr>
        <w:spacing w:after="0" w:line="204" w:lineRule="exact"/>
        <w:rPr>
          <w:sz w:val="20"/>
          <w:szCs w:val="20"/>
          <w:color w:val="auto"/>
        </w:rPr>
      </w:pPr>
    </w:p>
    <w:tbl>
      <w:tblPr>
        <w:tblLayout w:type="fixed"/>
        <w:tblInd w:w="68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-139065</wp:posOffset>
            </wp:positionV>
            <wp:extent cx="737235"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480"/>
          </w:cols>
          <w:pgMar w:left="320" w:top="482" w:right="10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2B4C9B"/>
        </w:rPr>
        <w:t>BOARD OF DIRECTORS</w:t>
      </w:r>
    </w:p>
    <w:p>
      <w:pPr>
        <w:spacing w:after="0" w:line="123"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Item 1 – Election of Directors</w:t>
      </w:r>
    </w:p>
    <w:p>
      <w:pPr>
        <w:spacing w:after="0" w:line="207" w:lineRule="exact"/>
        <w:rPr>
          <w:sz w:val="20"/>
          <w:szCs w:val="20"/>
          <w:color w:val="auto"/>
        </w:rPr>
      </w:pPr>
    </w:p>
    <w:p>
      <w:pPr>
        <w:ind w:left="760" w:right="40"/>
        <w:spacing w:after="0" w:line="246" w:lineRule="auto"/>
        <w:rPr>
          <w:sz w:val="20"/>
          <w:szCs w:val="20"/>
          <w:color w:val="auto"/>
        </w:rPr>
      </w:pPr>
      <w:r>
        <w:rPr>
          <w:rFonts w:ascii="Arial" w:cs="Arial" w:eastAsia="Arial" w:hAnsi="Arial"/>
          <w:sz w:val="18"/>
          <w:szCs w:val="18"/>
          <w:color w:val="auto"/>
        </w:rPr>
        <w:t xml:space="preserve">Our Board of Directors has general oversight responsibility for ExxonMobil’s affairs pursuant to New Jersey’s General Corporation Law and ExxonMobil’s Restated Certificate of Incorporation and by-laws. In exercising its fiduciary duties, the Board represents and acts on behalf of ExxonMobil’s shareholders and is committed to strong corporate governance, as reflected through its policies and practices. The Board of Directors has nominated the director candidates named on the following pages. </w:t>
      </w:r>
      <w:r>
        <w:rPr>
          <w:rFonts w:ascii="Arial" w:cs="Arial" w:eastAsia="Arial" w:hAnsi="Arial"/>
          <w:sz w:val="18"/>
          <w:szCs w:val="18"/>
          <w:b w:val="1"/>
          <w:bCs w:val="1"/>
          <w:color w:val="auto"/>
        </w:rPr>
        <w:t>All of our nominees currently serve as ExxonMobil directors.</w:t>
      </w:r>
    </w:p>
    <w:p>
      <w:pPr>
        <w:spacing w:after="0" w:line="168" w:lineRule="exact"/>
        <w:rPr>
          <w:sz w:val="20"/>
          <w:szCs w:val="20"/>
          <w:color w:val="auto"/>
        </w:rPr>
      </w:pPr>
    </w:p>
    <w:p>
      <w:pPr>
        <w:ind w:left="760" w:right="60"/>
        <w:spacing w:after="0" w:line="247" w:lineRule="auto"/>
        <w:rPr>
          <w:sz w:val="20"/>
          <w:szCs w:val="20"/>
          <w:color w:val="auto"/>
        </w:rPr>
      </w:pPr>
      <w:r>
        <w:rPr>
          <w:rFonts w:ascii="Arial" w:cs="Arial" w:eastAsia="Arial" w:hAnsi="Arial"/>
          <w:sz w:val="18"/>
          <w:szCs w:val="18"/>
          <w:color w:val="auto"/>
        </w:rPr>
        <w:t>All director nominees have stated they are willing to serve if elected and have consented to be named in this proxy statement. If a nominee becomes unavailable before the election, your proxy authorizes the people named as proxies to vote for a replacement nominee if the Board names one. In any event, the Board size at the time of the meeting will equal the number of nominees nominated by the Board, and there will be no vacancy at the time of the meeting.</w:t>
      </w:r>
    </w:p>
    <w:p>
      <w:pPr>
        <w:spacing w:after="0" w:line="174"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2B4C9B"/>
        </w:rPr>
        <w:t>The Board unanimously recommends you vote FOR each of the following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163195</wp:posOffset>
            </wp:positionV>
            <wp:extent cx="6189345" cy="58381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89345" cy="5838190"/>
                    </a:xfrm>
                    <a:prstGeom prst="rect">
                      <a:avLst/>
                    </a:prstGeom>
                    <a:noFill/>
                  </pic:spPr>
                </pic:pic>
              </a:graphicData>
            </a:graphic>
          </wp:anchor>
        </w:drawing>
      </w:r>
    </w:p>
    <w:p>
      <w:pPr>
        <w:spacing w:after="0" w:line="263"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2B4C9B"/>
        </w:rPr>
        <w:t>Michael J. Angelakis</w:t>
      </w:r>
    </w:p>
    <w:p>
      <w:pPr>
        <w:sectPr>
          <w:pgSz w:w="11900" w:h="16838" w:orient="portrait"/>
          <w:cols w:equalWidth="0" w:num="1">
            <w:col w:w="10460"/>
          </w:cols>
          <w:pgMar w:left="320" w:top="482"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Independent director</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Director since 2021</w:t>
      </w:r>
    </w:p>
    <w:p>
      <w:pPr>
        <w:ind w:left="1020"/>
        <w:spacing w:after="0"/>
        <w:rPr>
          <w:sz w:val="20"/>
          <w:szCs w:val="20"/>
          <w:color w:val="auto"/>
        </w:rPr>
      </w:pPr>
      <w:r>
        <w:rPr>
          <w:rFonts w:ascii="Arial" w:cs="Arial" w:eastAsia="Arial" w:hAnsi="Arial"/>
          <w:sz w:val="18"/>
          <w:szCs w:val="18"/>
          <w:color w:val="auto"/>
        </w:rPr>
        <w:t>Age 58</w:t>
      </w:r>
    </w:p>
    <w:p>
      <w:pPr>
        <w:spacing w:after="0" w:line="99"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Committees:</w:t>
      </w:r>
    </w:p>
    <w:p>
      <w:pPr>
        <w:spacing w:after="0" w:line="14" w:lineRule="exact"/>
        <w:rPr>
          <w:sz w:val="20"/>
          <w:szCs w:val="20"/>
          <w:color w:val="auto"/>
        </w:rPr>
      </w:pPr>
    </w:p>
    <w:p>
      <w:pPr>
        <w:ind w:left="1020" w:right="860" w:hanging="9"/>
        <w:spacing w:after="0" w:line="250" w:lineRule="auto"/>
        <w:rPr>
          <w:sz w:val="20"/>
          <w:szCs w:val="20"/>
          <w:color w:val="auto"/>
        </w:rPr>
      </w:pPr>
      <w:r>
        <w:rPr>
          <w:rFonts w:ascii="Arial" w:cs="Arial" w:eastAsia="Arial" w:hAnsi="Arial"/>
          <w:sz w:val="18"/>
          <w:szCs w:val="18"/>
          <w:color w:val="auto"/>
        </w:rPr>
        <w:t>Audit; Executive; Finance (Chair)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Attributes and Skills:</w:t>
      </w:r>
    </w:p>
    <w:p>
      <w:pPr>
        <w:spacing w:after="0" w:line="86" w:lineRule="exact"/>
        <w:rPr>
          <w:sz w:val="20"/>
          <w:szCs w:val="20"/>
          <w:color w:val="auto"/>
        </w:rPr>
      </w:pPr>
    </w:p>
    <w:p>
      <w:pPr>
        <w:ind w:left="1300" w:right="560"/>
        <w:spacing w:after="0" w:line="285" w:lineRule="auto"/>
        <w:rPr>
          <w:sz w:val="20"/>
          <w:szCs w:val="20"/>
          <w:color w:val="auto"/>
        </w:rPr>
      </w:pPr>
      <w:r>
        <w:rPr>
          <w:rFonts w:ascii="Arial" w:cs="Arial" w:eastAsia="Arial" w:hAnsi="Arial"/>
          <w:sz w:val="14"/>
          <w:szCs w:val="14"/>
          <w:color w:val="auto"/>
        </w:rPr>
        <w:t>Financial expertise and portfolio management</w:t>
      </w:r>
    </w:p>
    <w:p>
      <w:pPr>
        <w:spacing w:after="0" w:line="77"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Public policy / regulatory experience</w:t>
      </w:r>
    </w:p>
    <w:p>
      <w:pPr>
        <w:spacing w:after="0" w:line="123" w:lineRule="exact"/>
        <w:rPr>
          <w:sz w:val="20"/>
          <w:szCs w:val="20"/>
          <w:color w:val="auto"/>
        </w:rPr>
      </w:pPr>
    </w:p>
    <w:p>
      <w:pPr>
        <w:ind w:left="1300" w:right="620"/>
        <w:spacing w:after="0" w:line="285" w:lineRule="auto"/>
        <w:rPr>
          <w:sz w:val="20"/>
          <w:szCs w:val="20"/>
          <w:color w:val="auto"/>
        </w:rPr>
      </w:pPr>
      <w:r>
        <w:rPr>
          <w:rFonts w:ascii="Arial" w:cs="Arial" w:eastAsia="Arial" w:hAnsi="Arial"/>
          <w:sz w:val="14"/>
          <w:szCs w:val="14"/>
          <w:color w:val="auto"/>
        </w:rPr>
        <w:t>Risk management / investment stewardship experience</w:t>
      </w:r>
    </w:p>
    <w:p>
      <w:pPr>
        <w:spacing w:after="0" w:line="23" w:lineRule="exact"/>
        <w:rPr>
          <w:sz w:val="20"/>
          <w:szCs w:val="20"/>
          <w:color w:val="auto"/>
        </w:rPr>
      </w:pPr>
    </w:p>
    <w:p>
      <w:pPr>
        <w:ind w:left="1300" w:right="380"/>
        <w:spacing w:after="0" w:line="285" w:lineRule="auto"/>
        <w:rPr>
          <w:sz w:val="20"/>
          <w:szCs w:val="20"/>
          <w:color w:val="auto"/>
        </w:rPr>
      </w:pPr>
      <w:r>
        <w:rPr>
          <w:rFonts w:ascii="Arial" w:cs="Arial" w:eastAsia="Arial" w:hAnsi="Arial"/>
          <w:sz w:val="14"/>
          <w:szCs w:val="14"/>
          <w:color w:val="auto"/>
        </w:rPr>
        <w:t>Public company board governance experience</w:t>
      </w:r>
    </w:p>
    <w:p>
      <w:pPr>
        <w:spacing w:after="0" w:line="50" w:lineRule="exact"/>
        <w:rPr>
          <w:sz w:val="20"/>
          <w:szCs w:val="20"/>
          <w:color w:val="auto"/>
        </w:rPr>
      </w:pPr>
    </w:p>
    <w:p>
      <w:pPr>
        <w:ind w:left="1300"/>
        <w:spacing w:after="0" w:line="285" w:lineRule="auto"/>
        <w:rPr>
          <w:sz w:val="20"/>
          <w:szCs w:val="20"/>
          <w:color w:val="auto"/>
        </w:rPr>
      </w:pPr>
      <w:r>
        <w:rPr>
          <w:rFonts w:ascii="Arial" w:cs="Arial" w:eastAsia="Arial" w:hAnsi="Arial"/>
          <w:sz w:val="14"/>
          <w:szCs w:val="14"/>
          <w:color w:val="auto"/>
        </w:rPr>
        <w:t>Operation experience in capital-intensive industry</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Global business experience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Expertise provided to the Board:</w:t>
      </w:r>
    </w:p>
    <w:p>
      <w:pPr>
        <w:spacing w:after="0" w:line="117"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Mr. Angelakis’ financial experience, highlighted by his executive leadership position (CFO) transforming Comcast while navigating the financial crisis of 2008, helps the Board to better understand financial risk and opportunities facing ExxonMobil. In addition to his extensive business career, Mr. Angelakis’ experience as Chairman of the Federal Reserve Bank of Philadelphia provides a vital perspective to the challenges ExxonMobil faces related to policy risk.</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Qualifications: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Atairos Group </w:t>
      </w:r>
      <w:r>
        <w:rPr>
          <w:sz w:val="1"/>
          <w:szCs w:val="1"/>
          <w:color w:val="auto"/>
        </w:rPr>
        <w:drawing>
          <wp:inline distT="0" distB="0" distL="0" distR="0">
            <wp:extent cx="154305" cy="1543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drawing>
          <wp:inline distT="0" distB="0" distL="0" distR="0">
            <wp:extent cx="128905" cy="18034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80340"/>
                    </a:xfrm>
                    <a:prstGeom prst="rect">
                      <a:avLst/>
                    </a:prstGeom>
                    <a:noFill/>
                    <a:ln>
                      <a:noFill/>
                    </a:ln>
                  </pic:spPr>
                </pic:pic>
              </a:graphicData>
            </a:graphic>
          </wp:inline>
        </w:drawing>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Chair &amp; CEO (2015 to present)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Comcast Corporation </w:t>
      </w:r>
      <w:r>
        <w:rPr>
          <w:sz w:val="1"/>
          <w:szCs w:val="1"/>
          <w:color w:val="auto"/>
        </w:rPr>
        <w:drawing>
          <wp:inline distT="0" distB="0" distL="0" distR="0">
            <wp:extent cx="154305" cy="1543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drawing>
          <wp:inline distT="0" distB="0" distL="0" distR="0">
            <wp:extent cx="128905" cy="1797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79705"/>
                    </a:xfrm>
                    <a:prstGeom prst="rect">
                      <a:avLst/>
                    </a:prstGeom>
                    <a:noFill/>
                    <a:ln>
                      <a:noFill/>
                    </a:ln>
                  </pic:spPr>
                </pic:pic>
              </a:graphicData>
            </a:graphic>
          </wp:inline>
        </w:drawing>
        <w:drawing>
          <wp:inline distT="0" distB="0" distL="0" distR="0">
            <wp:extent cx="162560" cy="16319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drawing>
          <wp:inline distT="0" distB="0" distL="0" distR="0">
            <wp:extent cx="137160" cy="14605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 cy="146050"/>
                    </a:xfrm>
                    <a:prstGeom prst="rect">
                      <a:avLst/>
                    </a:prstGeom>
                    <a:noFill/>
                    <a:ln>
                      <a:noFill/>
                    </a:ln>
                  </pic:spPr>
                </pic:pic>
              </a:graphicData>
            </a:graphic>
          </wp:inline>
        </w:drawing>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Vice Chairman &amp; CFO (2011 to 2015)</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Executive Vice President &amp; CFO (2007 to 2011)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Providence Equity Partners </w:t>
      </w:r>
      <w:r>
        <w:rPr>
          <w:sz w:val="1"/>
          <w:szCs w:val="1"/>
          <w:color w:val="auto"/>
        </w:rPr>
        <w:drawing>
          <wp:inline distT="0" distB="0" distL="0" distR="0">
            <wp:extent cx="154305" cy="1543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drawing>
          <wp:inline distT="0" distB="0" distL="0" distR="0">
            <wp:extent cx="128905" cy="17970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79705"/>
                    </a:xfrm>
                    <a:prstGeom prst="rect">
                      <a:avLst/>
                    </a:prstGeom>
                    <a:noFill/>
                    <a:ln>
                      <a:noFill/>
                    </a:ln>
                  </pic:spPr>
                </pic:pic>
              </a:graphicData>
            </a:graphic>
          </wp:inline>
        </w:drawing>
      </w:r>
    </w:p>
    <w:p>
      <w:pPr>
        <w:spacing w:after="0" w:line="105" w:lineRule="exact"/>
        <w:rPr>
          <w:sz w:val="20"/>
          <w:szCs w:val="20"/>
          <w:color w:val="auto"/>
        </w:rPr>
      </w:pPr>
    </w:p>
    <w:p>
      <w:pPr>
        <w:ind w:left="320" w:right="680" w:hanging="305"/>
        <w:spacing w:after="0" w:line="285" w:lineRule="auto"/>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Managing Director and member of the Management and Investment</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Committees (1999 to 2007)</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Current public company directorships: </w:t>
      </w:r>
      <w:r>
        <w:rPr>
          <w:sz w:val="1"/>
          <w:szCs w:val="1"/>
          <w:color w:val="auto"/>
        </w:rPr>
        <w:drawing>
          <wp:inline distT="0" distB="0" distL="0" distR="0">
            <wp:extent cx="179705" cy="17970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9705" cy="179705"/>
                    </a:xfrm>
                    <a:prstGeom prst="rect">
                      <a:avLst/>
                    </a:prstGeom>
                    <a:noFill/>
                    <a:ln>
                      <a:noFill/>
                    </a:ln>
                  </pic:spPr>
                </pic:pic>
              </a:graphicData>
            </a:graphic>
          </wp:inline>
        </w:drawing>
      </w:r>
    </w:p>
    <w:p>
      <w:pPr>
        <w:spacing w:after="0" w:line="105"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Bowlero Corporation (December 2021 to present; Chair of the Nominating and Corporate Governance Committee)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Clarivate Plc (December 2021 to present)</w:t>
      </w:r>
    </w:p>
    <w:p>
      <w:pPr>
        <w:spacing w:after="0" w:line="117"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TriNet Group, Inc. (February 2017 to present; member of the Nominating and Corporate Governance and Compensation committees)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Previous public company directorships in last five years: </w:t>
      </w:r>
      <w:r>
        <w:rPr>
          <w:sz w:val="1"/>
          <w:szCs w:val="1"/>
          <w:color w:val="auto"/>
        </w:rPr>
        <w:drawing>
          <wp:inline distT="0" distB="0" distL="0" distR="0">
            <wp:extent cx="179705" cy="1797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9705" cy="179705"/>
                    </a:xfrm>
                    <a:prstGeom prst="rect">
                      <a:avLst/>
                    </a:prstGeom>
                    <a:noFill/>
                    <a:ln>
                      <a:noFill/>
                    </a:ln>
                  </pic:spPr>
                </pic:pic>
              </a:graphicData>
            </a:graphic>
          </wp:inline>
        </w:drawing>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Groupon, Inc. (April 2016 to May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Hewlett Packard Enterprise Company (November 2015 to April 2020)</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Other board experience: </w:t>
      </w:r>
      <w:r>
        <w:rPr>
          <w:sz w:val="1"/>
          <w:szCs w:val="1"/>
          <w:color w:val="auto"/>
        </w:rPr>
        <w:drawing>
          <wp:inline distT="0" distB="0" distL="0" distR="0">
            <wp:extent cx="188595" cy="18859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8595" cy="188595"/>
                    </a:xfrm>
                    <a:prstGeom prst="rect">
                      <a:avLst/>
                    </a:prstGeom>
                    <a:noFill/>
                    <a:ln>
                      <a:noFill/>
                    </a:ln>
                  </pic:spPr>
                </pic:pic>
              </a:graphicData>
            </a:graphic>
          </wp:inline>
        </w:drawing>
      </w:r>
    </w:p>
    <w:p>
      <w:pPr>
        <w:spacing w:after="0" w:line="105"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Chairman of The Federal Reserve Bank of Philadelphia (2016 to 2018) and Deputy Chairman and board member (2012 to 2016)</w:t>
      </w:r>
    </w:p>
    <w:p>
      <w:pPr>
        <w:spacing w:after="0" w:line="93" w:lineRule="exact"/>
        <w:rPr>
          <w:sz w:val="20"/>
          <w:szCs w:val="20"/>
          <w:color w:val="auto"/>
        </w:rPr>
      </w:pPr>
    </w:p>
    <w:p>
      <w:pPr>
        <w:sectPr>
          <w:pgSz w:w="11900" w:h="16838" w:orient="portrait"/>
          <w:cols w:equalWidth="0" w:num="2">
            <w:col w:w="3900" w:space="140"/>
            <w:col w:w="6420"/>
          </w:cols>
          <w:pgMar w:left="320" w:top="482" w:right="1119" w:bottom="1440" w:gutter="0" w:footer="0" w:header="0"/>
          <w:type w:val="continuous"/>
        </w:sectPr>
      </w:pPr>
    </w:p>
    <w:p>
      <w:pPr>
        <w:ind w:left="780"/>
        <w:spacing w:after="0"/>
        <w:tabs>
          <w:tab w:leader="none" w:pos="1378" w:val="left"/>
        </w:tabs>
        <w:rPr>
          <w:sz w:val="20"/>
          <w:szCs w:val="20"/>
          <w:color w:val="auto"/>
        </w:rPr>
      </w:pPr>
      <w:r>
        <w:rPr>
          <w:rFonts w:ascii="Arial" w:cs="Arial" w:eastAsia="Arial" w:hAnsi="Arial"/>
          <w:sz w:val="18"/>
          <w:szCs w:val="18"/>
          <w:color w:val="auto"/>
        </w:rPr>
        <w:t>8</w:t>
      </w:r>
      <w:r>
        <w:rPr>
          <w:sz w:val="20"/>
          <w:szCs w:val="20"/>
          <w:color w:val="auto"/>
        </w:rPr>
        <w:tab/>
      </w:r>
      <w:r>
        <w:rPr>
          <w:sz w:val="1"/>
          <w:szCs w:val="1"/>
          <w:color w:val="auto"/>
        </w:rPr>
        <w:drawing>
          <wp:inline distT="0" distB="0" distL="0" distR="0">
            <wp:extent cx="737235" cy="14541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2023 Proxy Statement</w:t>
      </w:r>
    </w:p>
    <w:p>
      <w:pPr>
        <w:sectPr>
          <w:pgSz w:w="11900" w:h="16838" w:orient="portrait"/>
          <w:cols w:equalWidth="0" w:num="1">
            <w:col w:w="10460"/>
          </w:cols>
          <w:pgMar w:left="320" w:top="482" w:right="111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208280</wp:posOffset>
            </wp:positionV>
            <wp:extent cx="6189345" cy="61810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89345" cy="6181090"/>
                    </a:xfrm>
                    <a:prstGeom prst="rect">
                      <a:avLst/>
                    </a:prstGeom>
                    <a:noFill/>
                  </pic:spPr>
                </pic:pic>
              </a:graphicData>
            </a:graphic>
          </wp:anchor>
        </w:drawing>
      </w:r>
    </w:p>
    <w:p>
      <w:pPr>
        <w:spacing w:after="0" w:line="333" w:lineRule="exact"/>
        <w:rPr>
          <w:sz w:val="20"/>
          <w:szCs w:val="20"/>
          <w:color w:val="auto"/>
        </w:rPr>
      </w:pPr>
    </w:p>
    <w:p>
      <w:pPr>
        <w:jc w:val="right"/>
        <w:ind w:right="7960"/>
        <w:spacing w:after="0"/>
        <w:rPr>
          <w:sz w:val="20"/>
          <w:szCs w:val="20"/>
          <w:color w:val="auto"/>
        </w:rPr>
      </w:pPr>
      <w:r>
        <w:rPr>
          <w:rFonts w:ascii="Arial" w:cs="Arial" w:eastAsia="Arial" w:hAnsi="Arial"/>
          <w:sz w:val="22"/>
          <w:szCs w:val="22"/>
          <w:b w:val="1"/>
          <w:bCs w:val="1"/>
          <w:color w:val="2B4C9B"/>
        </w:rPr>
        <w:t>Susan K. Avery</w:t>
      </w:r>
    </w:p>
    <w:p>
      <w:pPr>
        <w:sectPr>
          <w:pgSz w:w="11900" w:h="16838" w:orient="portrait"/>
          <w:cols w:equalWidth="0" w:num="1">
            <w:col w:w="10460"/>
          </w:cols>
          <w:pgMar w:left="320" w:top="482"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Independent director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 since 2017</w:t>
      </w:r>
    </w:p>
    <w:p>
      <w:pPr>
        <w:ind w:left="920"/>
        <w:spacing w:after="0"/>
        <w:rPr>
          <w:sz w:val="20"/>
          <w:szCs w:val="20"/>
          <w:color w:val="auto"/>
        </w:rPr>
      </w:pPr>
      <w:r>
        <w:rPr>
          <w:rFonts w:ascii="Arial" w:cs="Arial" w:eastAsia="Arial" w:hAnsi="Arial"/>
          <w:sz w:val="18"/>
          <w:szCs w:val="18"/>
          <w:color w:val="auto"/>
        </w:rPr>
        <w:t>Age 73</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Committees:</w:t>
      </w:r>
    </w:p>
    <w:p>
      <w:pPr>
        <w:spacing w:after="0" w:line="14" w:lineRule="exact"/>
        <w:rPr>
          <w:sz w:val="20"/>
          <w:szCs w:val="20"/>
          <w:color w:val="auto"/>
        </w:rPr>
      </w:pPr>
    </w:p>
    <w:p>
      <w:pPr>
        <w:ind w:left="920" w:right="460"/>
        <w:spacing w:after="0" w:line="242" w:lineRule="auto"/>
        <w:rPr>
          <w:sz w:val="20"/>
          <w:szCs w:val="20"/>
          <w:color w:val="auto"/>
        </w:rPr>
      </w:pPr>
      <w:r>
        <w:rPr>
          <w:rFonts w:ascii="Arial" w:cs="Arial" w:eastAsia="Arial" w:hAnsi="Arial"/>
          <w:sz w:val="18"/>
          <w:szCs w:val="18"/>
          <w:color w:val="auto"/>
        </w:rPr>
        <w:t>Environment, Safety and Public Policy (Chair); Nominating and Governance</w:t>
      </w:r>
    </w:p>
    <w:p>
      <w:pPr>
        <w:spacing w:after="0" w:line="200" w:lineRule="exact"/>
        <w:rPr>
          <w:sz w:val="20"/>
          <w:szCs w:val="20"/>
          <w:color w:val="auto"/>
        </w:rPr>
      </w:pPr>
    </w:p>
    <w:p>
      <w:pPr>
        <w:spacing w:after="0" w:line="27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Attributes and Skills:</w:t>
      </w:r>
    </w:p>
    <w:p>
      <w:pPr>
        <w:spacing w:after="0" w:line="40"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Public policy / regulatory experience</w:t>
      </w:r>
    </w:p>
    <w:p>
      <w:pPr>
        <w:spacing w:after="0" w:line="223" w:lineRule="exact"/>
        <w:rPr>
          <w:sz w:val="20"/>
          <w:szCs w:val="20"/>
          <w:color w:val="auto"/>
        </w:rPr>
      </w:pPr>
    </w:p>
    <w:p>
      <w:pPr>
        <w:ind w:left="1300" w:right="400"/>
        <w:spacing w:after="0" w:line="285" w:lineRule="auto"/>
        <w:rPr>
          <w:sz w:val="20"/>
          <w:szCs w:val="20"/>
          <w:color w:val="auto"/>
        </w:rPr>
      </w:pPr>
      <w:r>
        <w:rPr>
          <w:rFonts w:ascii="Arial" w:cs="Arial" w:eastAsia="Arial" w:hAnsi="Arial"/>
          <w:sz w:val="14"/>
          <w:szCs w:val="14"/>
          <w:color w:val="auto"/>
        </w:rPr>
        <w:t>Relevant scientific / technology experience</w:t>
      </w:r>
    </w:p>
    <w:p>
      <w:pPr>
        <w:spacing w:after="0" w:line="50" w:lineRule="exact"/>
        <w:rPr>
          <w:sz w:val="20"/>
          <w:szCs w:val="20"/>
          <w:color w:val="auto"/>
        </w:rPr>
      </w:pPr>
    </w:p>
    <w:p>
      <w:pPr>
        <w:ind w:left="1300"/>
        <w:spacing w:after="0" w:line="285" w:lineRule="auto"/>
        <w:rPr>
          <w:sz w:val="20"/>
          <w:szCs w:val="20"/>
          <w:color w:val="auto"/>
        </w:rPr>
      </w:pPr>
      <w:r>
        <w:rPr>
          <w:rFonts w:ascii="Arial" w:cs="Arial" w:eastAsia="Arial" w:hAnsi="Arial"/>
          <w:sz w:val="14"/>
          <w:szCs w:val="14"/>
          <w:color w:val="auto"/>
        </w:rPr>
        <w:t>Low carbon solutions technology and safety experience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Expertise provided to the Board</w:t>
      </w:r>
      <w:r>
        <w:rPr>
          <w:rFonts w:ascii="Arial" w:cs="Arial" w:eastAsia="Arial" w:hAnsi="Arial"/>
          <w:sz w:val="18"/>
          <w:szCs w:val="18"/>
          <w:b w:val="1"/>
          <w:bCs w:val="1"/>
          <w:color w:val="auto"/>
        </w:rPr>
        <w:t>:</w:t>
      </w:r>
    </w:p>
    <w:p>
      <w:pPr>
        <w:spacing w:after="0" w:line="117" w:lineRule="exact"/>
        <w:rPr>
          <w:sz w:val="20"/>
          <w:szCs w:val="20"/>
          <w:color w:val="auto"/>
        </w:rPr>
      </w:pPr>
    </w:p>
    <w:p>
      <w:pPr>
        <w:ind w:right="40"/>
        <w:spacing w:after="0"/>
        <w:rPr>
          <w:sz w:val="20"/>
          <w:szCs w:val="20"/>
          <w:color w:val="auto"/>
        </w:rPr>
      </w:pPr>
      <w:r>
        <w:rPr>
          <w:rFonts w:ascii="Arial" w:cs="Arial" w:eastAsia="Arial" w:hAnsi="Arial"/>
          <w:sz w:val="18"/>
          <w:szCs w:val="18"/>
          <w:color w:val="auto"/>
        </w:rPr>
        <w:t>Dr. Avery brings extensive experience as an atmospheric scientist and engineer. Her work at the University of Colorado-Boulder and Woods Hole Oceanographic Institution puts her at the leading edge of climate research, including the evolving field of earth system science. This unique perspective helps the Board better understand the technological opportunities available in low carbon solutions as well as providing effective oversight to the climate-related risks facing ExxonMobil.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Qualifications</w:t>
      </w:r>
      <w:r>
        <w:rPr>
          <w:rFonts w:ascii="Arial" w:cs="Arial" w:eastAsia="Arial" w:hAnsi="Arial"/>
          <w:sz w:val="18"/>
          <w:szCs w:val="18"/>
          <w:b w:val="1"/>
          <w:bCs w:val="1"/>
          <w:color w:val="auto"/>
        </w:rPr>
        <w:t>:</w:t>
      </w:r>
    </w:p>
    <w:p>
      <w:pPr>
        <w:spacing w:after="0" w:line="136" w:lineRule="exact"/>
        <w:rPr>
          <w:sz w:val="20"/>
          <w:szCs w:val="20"/>
          <w:color w:val="auto"/>
        </w:rPr>
      </w:pPr>
    </w:p>
    <w:p>
      <w:pPr>
        <w:ind w:right="2720"/>
        <w:spacing w:after="0" w:line="346" w:lineRule="auto"/>
        <w:rPr>
          <w:sz w:val="20"/>
          <w:szCs w:val="20"/>
          <w:color w:val="auto"/>
        </w:rPr>
      </w:pPr>
      <w:r>
        <w:rPr>
          <w:rFonts w:ascii="Arial" w:cs="Arial" w:eastAsia="Arial" w:hAnsi="Arial"/>
          <w:sz w:val="18"/>
          <w:szCs w:val="18"/>
          <w:color w:val="auto"/>
        </w:rPr>
        <w:t xml:space="preserve">Woods Hole Oceanographic Institution </w:t>
      </w:r>
      <w:r>
        <w:rPr>
          <w:sz w:val="1"/>
          <w:szCs w:val="1"/>
          <w:color w:val="auto"/>
        </w:rPr>
        <w:drawing>
          <wp:inline distT="0" distB="0" distL="0" distR="0">
            <wp:extent cx="171450" cy="21463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1450" cy="214630"/>
                    </a:xfrm>
                    <a:prstGeom prst="rect">
                      <a:avLst/>
                    </a:prstGeom>
                    <a:noFill/>
                    <a:ln>
                      <a:noFill/>
                    </a:ln>
                  </pic:spPr>
                </pic:pic>
              </a:graphicData>
            </a:graphic>
          </wp:inline>
        </w:drawing>
        <w:drawing>
          <wp:inline distT="0" distB="0" distL="0" distR="0">
            <wp:extent cx="162560" cy="15430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2560" cy="15430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 xml:space="preserve">    President &amp; Director (2008 to 2015)</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University of Colorado-Boulder</w:t>
      </w:r>
    </w:p>
    <w:p>
      <w:pPr>
        <w:spacing w:after="0" w:line="2" w:lineRule="exact"/>
        <w:rPr>
          <w:sz w:val="20"/>
          <w:szCs w:val="20"/>
          <w:color w:val="auto"/>
        </w:rPr>
      </w:pPr>
    </w:p>
    <w:p>
      <w:pPr>
        <w:ind w:left="320" w:right="20" w:hanging="305"/>
        <w:spacing w:after="0" w:line="285" w:lineRule="auto"/>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Interim dean of the graduate school and vice chancellor for research, interim</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provost, and executive vice chancellor for academic affairs (2004 to 2008)</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Current public company directorships</w:t>
      </w:r>
      <w:r>
        <w:rPr>
          <w:rFonts w:ascii="Arial" w:cs="Arial" w:eastAsia="Arial" w:hAnsi="Arial"/>
          <w:sz w:val="18"/>
          <w:szCs w:val="18"/>
          <w:b w:val="1"/>
          <w:bCs w:val="1"/>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Previous public company directorships in last five years</w:t>
      </w:r>
      <w:r>
        <w:rPr>
          <w:rFonts w:ascii="Arial" w:cs="Arial" w:eastAsia="Arial" w:hAnsi="Arial"/>
          <w:sz w:val="18"/>
          <w:szCs w:val="18"/>
          <w:b w:val="1"/>
          <w:bCs w:val="1"/>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Government / scientific research experience</w:t>
      </w:r>
      <w:r>
        <w:rPr>
          <w:rFonts w:ascii="Arial" w:cs="Arial" w:eastAsia="Arial" w:hAnsi="Arial"/>
          <w:sz w:val="18"/>
          <w:szCs w:val="18"/>
          <w:b w:val="1"/>
          <w:bCs w:val="1"/>
          <w:color w:val="auto"/>
        </w:rPr>
        <w:t xml:space="preserve">: </w:t>
      </w:r>
      <w:r>
        <w:rPr>
          <w:sz w:val="1"/>
          <w:szCs w:val="1"/>
          <w:color w:val="auto"/>
        </w:rPr>
        <w:drawing>
          <wp:inline distT="0" distB="0" distL="0" distR="0">
            <wp:extent cx="188595" cy="18859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8595" cy="188595"/>
                    </a:xfrm>
                    <a:prstGeom prst="rect">
                      <a:avLst/>
                    </a:prstGeom>
                    <a:noFill/>
                    <a:ln>
                      <a:noFill/>
                    </a:ln>
                  </pic:spPr>
                </pic:pic>
              </a:graphicData>
            </a:graphic>
          </wp:inline>
        </w:drawing>
      </w:r>
    </w:p>
    <w:p>
      <w:pPr>
        <w:spacing w:after="0" w:line="105" w:lineRule="exact"/>
        <w:rPr>
          <w:sz w:val="20"/>
          <w:szCs w:val="20"/>
          <w:color w:val="auto"/>
        </w:rPr>
      </w:pPr>
    </w:p>
    <w:p>
      <w:pPr>
        <w:ind w:right="220"/>
        <w:spacing w:after="0" w:line="301" w:lineRule="auto"/>
        <w:rPr>
          <w:sz w:val="20"/>
          <w:szCs w:val="20"/>
          <w:color w:val="auto"/>
        </w:rPr>
      </w:pPr>
      <w:r>
        <w:rPr>
          <w:rFonts w:ascii="Arial" w:cs="Arial" w:eastAsia="Arial" w:hAnsi="Arial"/>
          <w:sz w:val="17"/>
          <w:szCs w:val="17"/>
          <w:color w:val="auto"/>
        </w:rPr>
        <w:t>Past member of the United Nations Scientific Advisory Board and the National Research Council Global Change Research Program Advisory Committee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Science, engineering, and research</w:t>
      </w:r>
      <w:r>
        <w:rPr>
          <w:rFonts w:ascii="Arial" w:cs="Arial" w:eastAsia="Arial" w:hAnsi="Arial"/>
          <w:sz w:val="18"/>
          <w:szCs w:val="18"/>
          <w:b w:val="1"/>
          <w:bCs w:val="1"/>
          <w:color w:val="auto"/>
        </w:rPr>
        <w:t xml:space="preserve">: </w:t>
      </w:r>
      <w:r>
        <w:rPr>
          <w:sz w:val="1"/>
          <w:szCs w:val="1"/>
          <w:color w:val="auto"/>
        </w:rPr>
        <w:drawing>
          <wp:inline distT="0" distB="0" distL="0" distR="0">
            <wp:extent cx="171450" cy="21399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1450" cy="213995"/>
                    </a:xfrm>
                    <a:prstGeom prst="rect">
                      <a:avLst/>
                    </a:prstGeom>
                    <a:noFill/>
                    <a:ln>
                      <a:noFill/>
                    </a:ln>
                  </pic:spPr>
                </pic:pic>
              </a:graphicData>
            </a:graphic>
          </wp:inline>
        </w:drawing>
        <w:drawing>
          <wp:inline distT="0" distB="0" distL="0" distR="0">
            <wp:extent cx="163195" cy="15430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63195" cy="154305"/>
                    </a:xfrm>
                    <a:prstGeom prst="rect">
                      <a:avLst/>
                    </a:prstGeom>
                    <a:noFill/>
                    <a:ln>
                      <a:noFill/>
                    </a:ln>
                  </pic:spPr>
                </pic:pic>
              </a:graphicData>
            </a:graphic>
          </wp:inline>
        </w:drawing>
      </w:r>
    </w:p>
    <w:p>
      <w:pPr>
        <w:spacing w:after="0" w:line="105"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Advisory committee memberships held or recently held include the American Institute of Physics Board (Treasurer); NASA; NOAA; National Science Foundation; Lawrence Berkeley National Laboratory; National Park System; Independent Advisory Committee on Applied Climate Risk; Center for Southern Hemisphere Ocean Research; and Japan Agency for Marine-Earth Science and Technology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Scientific and environment affiliations</w:t>
      </w:r>
      <w:r>
        <w:rPr>
          <w:rFonts w:ascii="Arial" w:cs="Arial" w:eastAsia="Arial" w:hAnsi="Arial"/>
          <w:sz w:val="18"/>
          <w:szCs w:val="18"/>
          <w:b w:val="1"/>
          <w:bCs w:val="1"/>
          <w:color w:val="auto"/>
        </w:rPr>
        <w:t xml:space="preserve">: </w:t>
      </w:r>
      <w:r>
        <w:rPr>
          <w:sz w:val="1"/>
          <w:szCs w:val="1"/>
          <w:color w:val="auto"/>
        </w:rPr>
        <w:drawing>
          <wp:inline distT="0" distB="0" distL="0" distR="0">
            <wp:extent cx="171450" cy="21463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1450" cy="214630"/>
                    </a:xfrm>
                    <a:prstGeom prst="rect">
                      <a:avLst/>
                    </a:prstGeom>
                    <a:noFill/>
                    <a:ln>
                      <a:noFill/>
                    </a:ln>
                  </pic:spPr>
                </pic:pic>
              </a:graphicData>
            </a:graphic>
          </wp:inline>
        </w:drawing>
        <w:drawing>
          <wp:inline distT="0" distB="0" distL="0" distR="0">
            <wp:extent cx="162560" cy="15430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62560" cy="154305"/>
                    </a:xfrm>
                    <a:prstGeom prst="rect">
                      <a:avLst/>
                    </a:prstGeom>
                    <a:noFill/>
                    <a:ln>
                      <a:noFill/>
                    </a:ln>
                  </pic:spPr>
                </pic:pic>
              </a:graphicData>
            </a:graphic>
          </wp:inline>
        </w:drawing>
      </w:r>
    </w:p>
    <w:p>
      <w:pPr>
        <w:spacing w:after="0" w:line="10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University Corporation for Atmospheric Research (Chair); American Geophysical Union; American Meteorological Society (fellow); American Association for the Advancement of Science (fellow); and IEEE (fellow)</w:t>
      </w:r>
    </w:p>
    <w:p>
      <w:pPr>
        <w:spacing w:after="0" w:line="127" w:lineRule="exact"/>
        <w:rPr>
          <w:sz w:val="20"/>
          <w:szCs w:val="20"/>
          <w:color w:val="auto"/>
        </w:rPr>
      </w:pPr>
    </w:p>
    <w:p>
      <w:pPr>
        <w:sectPr>
          <w:pgSz w:w="11900" w:h="16838" w:orient="portrait"/>
          <w:cols w:equalWidth="0" w:num="2">
            <w:col w:w="3680" w:space="360"/>
            <w:col w:w="6420"/>
          </w:cols>
          <w:pgMar w:left="320" w:top="482" w:right="1119" w:bottom="1440" w:gutter="0" w:footer="0" w:header="0"/>
          <w:type w:val="continuous"/>
        </w:sectPr>
      </w:pPr>
    </w:p>
    <w:tbl>
      <w:tblPr>
        <w:tblLayout w:type="fixed"/>
        <w:tblInd w:w="68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-139065</wp:posOffset>
            </wp:positionV>
            <wp:extent cx="737235"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460"/>
          </w:cols>
          <w:pgMar w:left="320" w:top="482" w:right="111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208280</wp:posOffset>
            </wp:positionV>
            <wp:extent cx="6189345" cy="56578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89345" cy="5657850"/>
                    </a:xfrm>
                    <a:prstGeom prst="rect">
                      <a:avLst/>
                    </a:prstGeom>
                    <a:noFill/>
                  </pic:spPr>
                </pic:pic>
              </a:graphicData>
            </a:graphic>
          </wp:anchor>
        </w:drawing>
      </w:r>
    </w:p>
    <w:p>
      <w:pPr>
        <w:spacing w:after="0" w:line="333" w:lineRule="exact"/>
        <w:rPr>
          <w:sz w:val="20"/>
          <w:szCs w:val="20"/>
          <w:color w:val="auto"/>
        </w:rPr>
      </w:pPr>
    </w:p>
    <w:p>
      <w:pPr>
        <w:jc w:val="right"/>
        <w:ind w:right="7880"/>
        <w:spacing w:after="0"/>
        <w:rPr>
          <w:sz w:val="20"/>
          <w:szCs w:val="20"/>
          <w:color w:val="auto"/>
        </w:rPr>
      </w:pPr>
      <w:r>
        <w:rPr>
          <w:rFonts w:ascii="Arial" w:cs="Arial" w:eastAsia="Arial" w:hAnsi="Arial"/>
          <w:sz w:val="22"/>
          <w:szCs w:val="22"/>
          <w:b w:val="1"/>
          <w:bCs w:val="1"/>
          <w:color w:val="2B4C9B"/>
        </w:rPr>
        <w:t>Angela F. Braly</w:t>
      </w:r>
    </w:p>
    <w:p>
      <w:pPr>
        <w:sectPr>
          <w:pgSz w:w="11900" w:h="16838" w:orient="portrait"/>
          <w:cols w:equalWidth="0" w:num="1">
            <w:col w:w="10340"/>
          </w:cols>
          <w:pgMar w:left="320" w:top="482"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Independent director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 since 2016</w:t>
      </w:r>
    </w:p>
    <w:p>
      <w:pPr>
        <w:ind w:left="920"/>
        <w:spacing w:after="0"/>
        <w:rPr>
          <w:sz w:val="20"/>
          <w:szCs w:val="20"/>
          <w:color w:val="auto"/>
        </w:rPr>
      </w:pPr>
      <w:r>
        <w:rPr>
          <w:rFonts w:ascii="Arial" w:cs="Arial" w:eastAsia="Arial" w:hAnsi="Arial"/>
          <w:sz w:val="18"/>
          <w:szCs w:val="18"/>
          <w:color w:val="auto"/>
        </w:rPr>
        <w:t>Age 61</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Committees:</w:t>
      </w:r>
    </w:p>
    <w:p>
      <w:pPr>
        <w:spacing w:after="0" w:line="14" w:lineRule="exact"/>
        <w:rPr>
          <w:sz w:val="20"/>
          <w:szCs w:val="20"/>
          <w:color w:val="auto"/>
        </w:rPr>
      </w:pPr>
    </w:p>
    <w:p>
      <w:pPr>
        <w:ind w:left="920" w:right="160"/>
        <w:spacing w:after="0" w:line="242" w:lineRule="auto"/>
        <w:rPr>
          <w:sz w:val="20"/>
          <w:szCs w:val="20"/>
          <w:color w:val="auto"/>
        </w:rPr>
      </w:pPr>
      <w:r>
        <w:rPr>
          <w:rFonts w:ascii="Arial" w:cs="Arial" w:eastAsia="Arial" w:hAnsi="Arial"/>
          <w:sz w:val="18"/>
          <w:szCs w:val="18"/>
          <w:color w:val="auto"/>
        </w:rPr>
        <w:t>Compensation (Chair); Environment, Safety and Public Policy</w:t>
      </w:r>
    </w:p>
    <w:p>
      <w:pPr>
        <w:spacing w:after="0" w:line="200" w:lineRule="exact"/>
        <w:rPr>
          <w:sz w:val="20"/>
          <w:szCs w:val="20"/>
          <w:color w:val="auto"/>
        </w:rPr>
      </w:pPr>
    </w:p>
    <w:p>
      <w:pPr>
        <w:spacing w:after="0" w:line="27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Attributes and Skills:</w:t>
      </w:r>
    </w:p>
    <w:p>
      <w:pPr>
        <w:spacing w:after="0" w:line="3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Public policy / regulatory experience</w:t>
      </w:r>
    </w:p>
    <w:p>
      <w:pPr>
        <w:spacing w:after="0" w:line="217" w:lineRule="exact"/>
        <w:rPr>
          <w:sz w:val="20"/>
          <w:szCs w:val="20"/>
          <w:color w:val="auto"/>
        </w:rPr>
      </w:pPr>
    </w:p>
    <w:p>
      <w:pPr>
        <w:ind w:left="1300" w:right="80"/>
        <w:spacing w:after="0" w:line="281" w:lineRule="auto"/>
        <w:rPr>
          <w:sz w:val="20"/>
          <w:szCs w:val="20"/>
          <w:color w:val="auto"/>
        </w:rPr>
      </w:pPr>
      <w:r>
        <w:rPr>
          <w:rFonts w:ascii="Arial" w:cs="Arial" w:eastAsia="Arial" w:hAnsi="Arial"/>
          <w:sz w:val="14"/>
          <w:szCs w:val="14"/>
          <w:color w:val="auto"/>
        </w:rPr>
        <w:t>Public company board governance experience</w:t>
      </w:r>
    </w:p>
    <w:p>
      <w:pPr>
        <w:spacing w:after="0" w:line="1" w:lineRule="exact"/>
        <w:rPr>
          <w:sz w:val="20"/>
          <w:szCs w:val="20"/>
          <w:color w:val="auto"/>
        </w:rPr>
      </w:pPr>
    </w:p>
    <w:p>
      <w:pPr>
        <w:ind w:left="1300"/>
        <w:spacing w:after="0" w:line="251" w:lineRule="auto"/>
        <w:rPr>
          <w:sz w:val="20"/>
          <w:szCs w:val="20"/>
          <w:color w:val="auto"/>
        </w:rPr>
      </w:pPr>
      <w:r>
        <w:rPr>
          <w:rFonts w:ascii="Arial" w:cs="Arial" w:eastAsia="Arial" w:hAnsi="Arial"/>
          <w:sz w:val="14"/>
          <w:szCs w:val="14"/>
          <w:color w:val="auto"/>
        </w:rPr>
        <w:t>Current / former CEO of large public company</w:t>
      </w:r>
    </w:p>
    <w:p>
      <w:pPr>
        <w:spacing w:after="0" w:line="1" w:lineRule="exact"/>
        <w:rPr>
          <w:sz w:val="20"/>
          <w:szCs w:val="20"/>
          <w:color w:val="auto"/>
        </w:rPr>
      </w:pPr>
    </w:p>
    <w:p>
      <w:pPr>
        <w:ind w:left="1300" w:right="260"/>
        <w:spacing w:after="0" w:line="251" w:lineRule="auto"/>
        <w:rPr>
          <w:sz w:val="20"/>
          <w:szCs w:val="20"/>
          <w:color w:val="auto"/>
        </w:rPr>
      </w:pPr>
      <w:r>
        <w:rPr>
          <w:rFonts w:ascii="Arial" w:cs="Arial" w:eastAsia="Arial" w:hAnsi="Arial"/>
          <w:sz w:val="14"/>
          <w:szCs w:val="14"/>
          <w:color w:val="auto"/>
        </w:rPr>
        <w:t>Financial expertise and portfolio management</w:t>
      </w:r>
    </w:p>
    <w:p>
      <w:pPr>
        <w:spacing w:after="0" w:line="1" w:lineRule="exact"/>
        <w:rPr>
          <w:sz w:val="20"/>
          <w:szCs w:val="20"/>
          <w:color w:val="auto"/>
        </w:rPr>
      </w:pPr>
    </w:p>
    <w:p>
      <w:pPr>
        <w:ind w:left="1300" w:right="320"/>
        <w:spacing w:after="0" w:line="264" w:lineRule="auto"/>
        <w:rPr>
          <w:sz w:val="20"/>
          <w:szCs w:val="20"/>
          <w:color w:val="auto"/>
        </w:rPr>
      </w:pPr>
      <w:r>
        <w:rPr>
          <w:rFonts w:ascii="Arial" w:cs="Arial" w:eastAsia="Arial" w:hAnsi="Arial"/>
          <w:sz w:val="14"/>
          <w:szCs w:val="14"/>
          <w:color w:val="auto"/>
        </w:rPr>
        <w:t>Risk management / investment stewardship experience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Expertise provided to the Board</w:t>
      </w:r>
      <w:r>
        <w:rPr>
          <w:rFonts w:ascii="Arial" w:cs="Arial" w:eastAsia="Arial" w:hAnsi="Arial"/>
          <w:sz w:val="18"/>
          <w:szCs w:val="18"/>
          <w:b w:val="1"/>
          <w:bCs w:val="1"/>
          <w:color w:val="auto"/>
        </w:rPr>
        <w:t>:</w:t>
      </w:r>
    </w:p>
    <w:p>
      <w:pPr>
        <w:spacing w:after="0" w:line="117"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Ms. Braly’s experience successfully leading WellPoint through the regulatory changes stemming from the Affordable Care Act helps the Board to better understand the risks and opportunities in industries that are challenged by government-led transformation. Her continued work in public policy and governance experience on the Board of Procter &amp; Gamble, a 100,000+ employee company, further helps the Board navigate public policy issues that arise at a global public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Qualifications</w:t>
      </w:r>
      <w:r>
        <w:rPr>
          <w:rFonts w:ascii="Arial" w:cs="Arial" w:eastAsia="Arial" w:hAnsi="Arial"/>
          <w:sz w:val="18"/>
          <w:szCs w:val="18"/>
          <w:b w:val="1"/>
          <w:bCs w:val="1"/>
          <w:color w:val="auto"/>
        </w:rPr>
        <w:t>:</w:t>
      </w:r>
    </w:p>
    <w:p>
      <w:pPr>
        <w:spacing w:after="0" w:line="1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WellPoint, Inc. (formerly known as Anthem, Inc. and now known as Elevance Health, Inc.) </w:t>
      </w:r>
      <w:r>
        <w:rPr>
          <w:sz w:val="1"/>
          <w:szCs w:val="1"/>
          <w:color w:val="auto"/>
        </w:rPr>
        <w:drawing>
          <wp:inline distT="0" distB="0" distL="0" distR="0">
            <wp:extent cx="188595" cy="12890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8595" cy="128905"/>
                    </a:xfrm>
                    <a:prstGeom prst="rect">
                      <a:avLst/>
                    </a:prstGeom>
                    <a:noFill/>
                    <a:ln>
                      <a:noFill/>
                    </a:ln>
                  </pic:spPr>
                </pic:pic>
              </a:graphicData>
            </a:graphic>
          </wp:inline>
        </w:drawing>
        <w:drawing>
          <wp:inline distT="0" distB="0" distL="0" distR="0">
            <wp:extent cx="188595" cy="18859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8595" cy="188595"/>
                    </a:xfrm>
                    <a:prstGeom prst="rect">
                      <a:avLst/>
                    </a:prstGeom>
                    <a:noFill/>
                    <a:ln>
                      <a:noFill/>
                    </a:ln>
                  </pic:spPr>
                </pic:pic>
              </a:graphicData>
            </a:graphic>
          </wp:inline>
        </w:drawing>
        <w:drawing>
          <wp:inline distT="0" distB="0" distL="0" distR="0">
            <wp:extent cx="154305" cy="15430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drawing>
          <wp:inline distT="0" distB="0" distL="0" distR="0">
            <wp:extent cx="128905" cy="18034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8905" cy="180340"/>
                    </a:xfrm>
                    <a:prstGeom prst="rect">
                      <a:avLst/>
                    </a:prstGeom>
                    <a:noFill/>
                    <a:ln>
                      <a:noFill/>
                    </a:ln>
                  </pic:spPr>
                </pic:pic>
              </a:graphicData>
            </a:graphic>
          </wp:inline>
        </w:drawing>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Chair (2010 to 2012)</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President, CEO (2007 to 2012)</w:t>
      </w:r>
    </w:p>
    <w:p>
      <w:pPr>
        <w:spacing w:after="0" w:line="130" w:lineRule="exact"/>
        <w:rPr>
          <w:sz w:val="20"/>
          <w:szCs w:val="20"/>
          <w:color w:val="auto"/>
        </w:rPr>
      </w:pPr>
    </w:p>
    <w:p>
      <w:pPr>
        <w:ind w:left="320" w:hanging="305"/>
        <w:spacing w:after="0" w:line="285" w:lineRule="auto"/>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Executive Vice President, General Counsel, and Chief Public Affairs Officer</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(2005 to 2007)</w:t>
      </w:r>
    </w:p>
    <w:p>
      <w:pPr>
        <w:spacing w:after="0" w:line="65" w:lineRule="exact"/>
        <w:rPr>
          <w:sz w:val="20"/>
          <w:szCs w:val="20"/>
          <w:color w:val="auto"/>
        </w:rPr>
      </w:pPr>
    </w:p>
    <w:p>
      <w:pPr>
        <w:ind w:right="2640"/>
        <w:spacing w:after="0" w:line="265" w:lineRule="auto"/>
        <w:rPr>
          <w:sz w:val="20"/>
          <w:szCs w:val="20"/>
          <w:color w:val="auto"/>
        </w:rPr>
      </w:pPr>
      <w:r>
        <w:rPr>
          <w:rFonts w:ascii="Arial" w:cs="Arial" w:eastAsia="Arial" w:hAnsi="Arial"/>
          <w:sz w:val="18"/>
          <w:szCs w:val="18"/>
          <w:color w:val="auto"/>
        </w:rPr>
        <w:t xml:space="preserve">Blue Cross Blue Shield of Missouri </w:t>
      </w:r>
      <w:r>
        <w:rPr>
          <w:sz w:val="1"/>
          <w:szCs w:val="1"/>
          <w:color w:val="auto"/>
        </w:rPr>
        <w:drawing>
          <wp:inline distT="0" distB="0" distL="0" distR="0">
            <wp:extent cx="188595" cy="18859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8595" cy="188595"/>
                    </a:xfrm>
                    <a:prstGeom prst="rect">
                      <a:avLst/>
                    </a:prstGeom>
                    <a:noFill/>
                    <a:ln>
                      <a:noFill/>
                    </a:ln>
                  </pic:spPr>
                </pic:pic>
              </a:graphicData>
            </a:graphic>
          </wp:inline>
        </w:drawing>
        <w:drawing>
          <wp:inline distT="0" distB="0" distL="0" distR="0">
            <wp:extent cx="154305" cy="15430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drawing>
          <wp:inline distT="0" distB="0" distL="0" distR="0">
            <wp:extent cx="128905" cy="17970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8905" cy="17970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 xml:space="preserve">    CEO (2003 to 2005)</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Current public company directorships</w:t>
      </w:r>
      <w:r>
        <w:rPr>
          <w:rFonts w:ascii="Arial" w:cs="Arial" w:eastAsia="Arial" w:hAnsi="Arial"/>
          <w:sz w:val="18"/>
          <w:szCs w:val="18"/>
          <w:u w:val="single" w:color="auto"/>
          <w:color w:val="auto"/>
        </w:rPr>
        <w:t xml:space="preserve">: </w:t>
      </w:r>
      <w:r>
        <w:rPr>
          <w:sz w:val="1"/>
          <w:szCs w:val="1"/>
          <w:color w:val="auto"/>
        </w:rPr>
        <w:drawing>
          <wp:inline distT="0" distB="0" distL="0" distR="0">
            <wp:extent cx="180340" cy="17970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0340" cy="179705"/>
                    </a:xfrm>
                    <a:prstGeom prst="rect">
                      <a:avLst/>
                    </a:prstGeom>
                    <a:noFill/>
                    <a:ln>
                      <a:noFill/>
                    </a:ln>
                  </pic:spPr>
                </pic:pic>
              </a:graphicData>
            </a:graphic>
          </wp:inline>
        </w:drawing>
        <w:drawing>
          <wp:inline distT="0" distB="0" distL="0" distR="0">
            <wp:extent cx="154305" cy="15430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r>
    </w:p>
    <w:p>
      <w:pPr>
        <w:spacing w:after="0" w:line="105"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Brookfield Asset Management Inc. (now Brookfield Corporation) (May 2015 to present; Audit Committee member)</w:t>
      </w:r>
    </w:p>
    <w:p>
      <w:pPr>
        <w:spacing w:after="0" w:line="5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Procter &amp; Gamble Company (December 2009 to present; Chair of the Governance &amp; Public Responsibility Committee and Audit Committee member)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Previous public company directorships in last five years</w:t>
      </w:r>
      <w:r>
        <w:rPr>
          <w:rFonts w:ascii="Arial" w:cs="Arial" w:eastAsia="Arial" w:hAnsi="Arial"/>
          <w:sz w:val="18"/>
          <w:szCs w:val="18"/>
          <w:b w:val="1"/>
          <w:bCs w:val="1"/>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Lowe’s Companies, Inc. (November 2013 to July 2021)</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and public policy affiliations</w:t>
      </w:r>
      <w:r>
        <w:rPr>
          <w:rFonts w:ascii="Arial" w:cs="Arial" w:eastAsia="Arial" w:hAnsi="Arial"/>
          <w:sz w:val="18"/>
          <w:szCs w:val="18"/>
          <w:b w:val="1"/>
          <w:bCs w:val="1"/>
          <w:color w:val="auto"/>
        </w:rPr>
        <w:t xml:space="preserve">: </w:t>
      </w:r>
      <w:r>
        <w:rPr>
          <w:sz w:val="1"/>
          <w:szCs w:val="1"/>
          <w:color w:val="auto"/>
        </w:rPr>
        <w:drawing>
          <wp:inline distT="0" distB="0" distL="0" distR="0">
            <wp:extent cx="188595" cy="18859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8595" cy="188595"/>
                    </a:xfrm>
                    <a:prstGeom prst="rect">
                      <a:avLst/>
                    </a:prstGeom>
                    <a:noFill/>
                    <a:ln>
                      <a:noFill/>
                    </a:ln>
                  </pic:spPr>
                </pic:pic>
              </a:graphicData>
            </a:graphic>
          </wp:inline>
        </w:drawing>
      </w:r>
    </w:p>
    <w:p>
      <w:pPr>
        <w:spacing w:after="0" w:line="10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Blue Cross Blue Shield Association (former Director); Business Council (former member); Business Roundtable (former member); Harvard Advisory Council on Health Care Policy (former member); Indiana Economic Development Corporation (former Director); and The Policy Circle (Co-Founder, Director, and Secretary)</w:t>
      </w:r>
    </w:p>
    <w:p>
      <w:pPr>
        <w:spacing w:after="0" w:line="129" w:lineRule="exact"/>
        <w:rPr>
          <w:sz w:val="20"/>
          <w:szCs w:val="20"/>
          <w:color w:val="auto"/>
        </w:rPr>
      </w:pPr>
    </w:p>
    <w:p>
      <w:pPr>
        <w:sectPr>
          <w:pgSz w:w="11900" w:h="16838" w:orient="portrait"/>
          <w:cols w:equalWidth="0" w:num="2">
            <w:col w:w="3600" w:space="440"/>
            <w:col w:w="6300"/>
          </w:cols>
          <w:pgMar w:left="320" w:top="482" w:right="1239" w:bottom="1440" w:gutter="0" w:footer="0" w:header="0"/>
          <w:type w:val="continuous"/>
        </w:sectPr>
      </w:pPr>
    </w:p>
    <w:p>
      <w:pPr>
        <w:ind w:left="780"/>
        <w:spacing w:after="0"/>
        <w:tabs>
          <w:tab w:leader="none" w:pos="1486" w:val="left"/>
        </w:tabs>
        <w:rPr>
          <w:sz w:val="20"/>
          <w:szCs w:val="20"/>
          <w:color w:val="auto"/>
        </w:rPr>
      </w:pPr>
      <w:r>
        <w:rPr>
          <w:rFonts w:ascii="Arial" w:cs="Arial" w:eastAsia="Arial" w:hAnsi="Arial"/>
          <w:sz w:val="18"/>
          <w:szCs w:val="18"/>
          <w:color w:val="auto"/>
        </w:rPr>
        <w:t>10</w:t>
      </w:r>
      <w:r>
        <w:rPr>
          <w:sz w:val="20"/>
          <w:szCs w:val="20"/>
          <w:color w:val="auto"/>
        </w:rPr>
        <w:tab/>
      </w:r>
      <w:r>
        <w:rPr>
          <w:sz w:val="1"/>
          <w:szCs w:val="1"/>
          <w:color w:val="auto"/>
        </w:rPr>
        <w:drawing>
          <wp:inline distT="0" distB="0" distL="0" distR="0">
            <wp:extent cx="737235" cy="14605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2023 Proxy Statement</w:t>
      </w:r>
    </w:p>
    <w:p>
      <w:pPr>
        <w:sectPr>
          <w:pgSz w:w="11900" w:h="16838" w:orient="portrait"/>
          <w:cols w:equalWidth="0" w:num="1">
            <w:col w:w="10340"/>
          </w:cols>
          <w:pgMar w:left="320" w:top="482" w:right="12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208280</wp:posOffset>
            </wp:positionV>
            <wp:extent cx="6189345" cy="61207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189345" cy="6120765"/>
                    </a:xfrm>
                    <a:prstGeom prst="rect">
                      <a:avLst/>
                    </a:prstGeom>
                    <a:noFill/>
                  </pic:spPr>
                </pic:pic>
              </a:graphicData>
            </a:graphic>
          </wp:anchor>
        </w:drawing>
      </w:r>
    </w:p>
    <w:p>
      <w:pPr>
        <w:spacing w:after="0" w:line="333" w:lineRule="exact"/>
        <w:rPr>
          <w:sz w:val="20"/>
          <w:szCs w:val="20"/>
          <w:color w:val="auto"/>
        </w:rPr>
      </w:pPr>
    </w:p>
    <w:p>
      <w:pPr>
        <w:jc w:val="right"/>
        <w:ind w:right="7940"/>
        <w:spacing w:after="0"/>
        <w:rPr>
          <w:sz w:val="20"/>
          <w:szCs w:val="20"/>
          <w:color w:val="auto"/>
        </w:rPr>
      </w:pPr>
      <w:r>
        <w:rPr>
          <w:rFonts w:ascii="Arial" w:cs="Arial" w:eastAsia="Arial" w:hAnsi="Arial"/>
          <w:sz w:val="22"/>
          <w:szCs w:val="22"/>
          <w:b w:val="1"/>
          <w:bCs w:val="1"/>
          <w:color w:val="2B4C9B"/>
        </w:rPr>
        <w:t>Gregory J. Goff</w:t>
      </w:r>
    </w:p>
    <w:p>
      <w:pPr>
        <w:sectPr>
          <w:pgSz w:w="11900" w:h="16838" w:orient="portrait"/>
          <w:cols w:equalWidth="0" w:num="1">
            <w:col w:w="10440"/>
          </w:cols>
          <w:pgMar w:left="320" w:top="482"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Independent director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 since 2021</w:t>
      </w:r>
    </w:p>
    <w:p>
      <w:pPr>
        <w:ind w:left="920"/>
        <w:spacing w:after="0"/>
        <w:rPr>
          <w:sz w:val="20"/>
          <w:szCs w:val="20"/>
          <w:color w:val="auto"/>
        </w:rPr>
      </w:pPr>
      <w:r>
        <w:rPr>
          <w:rFonts w:ascii="Arial" w:cs="Arial" w:eastAsia="Arial" w:hAnsi="Arial"/>
          <w:sz w:val="18"/>
          <w:szCs w:val="18"/>
          <w:color w:val="auto"/>
        </w:rPr>
        <w:t>Age 66</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Committees:</w:t>
      </w:r>
    </w:p>
    <w:p>
      <w:pPr>
        <w:spacing w:after="0" w:line="1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Audit; Executive; Finance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Attributes and Skills:</w:t>
      </w:r>
    </w:p>
    <w:p>
      <w:pPr>
        <w:spacing w:after="0" w:line="59" w:lineRule="exact"/>
        <w:rPr>
          <w:sz w:val="20"/>
          <w:szCs w:val="20"/>
          <w:color w:val="auto"/>
        </w:rPr>
      </w:pPr>
    </w:p>
    <w:p>
      <w:pPr>
        <w:ind w:left="1300" w:right="240"/>
        <w:spacing w:after="0" w:line="285" w:lineRule="auto"/>
        <w:rPr>
          <w:sz w:val="20"/>
          <w:szCs w:val="20"/>
          <w:color w:val="auto"/>
        </w:rPr>
      </w:pPr>
      <w:r>
        <w:rPr>
          <w:rFonts w:ascii="Arial" w:cs="Arial" w:eastAsia="Arial" w:hAnsi="Arial"/>
          <w:sz w:val="14"/>
          <w:szCs w:val="14"/>
          <w:color w:val="auto"/>
        </w:rPr>
        <w:t>Leadership experience in large-scale energy / commodity business</w:t>
      </w:r>
    </w:p>
    <w:p>
      <w:pPr>
        <w:spacing w:after="0" w:line="63" w:lineRule="exact"/>
        <w:rPr>
          <w:sz w:val="20"/>
          <w:szCs w:val="20"/>
          <w:color w:val="auto"/>
        </w:rPr>
      </w:pPr>
    </w:p>
    <w:p>
      <w:pPr>
        <w:ind w:left="1300" w:right="380"/>
        <w:spacing w:after="0" w:line="285" w:lineRule="auto"/>
        <w:rPr>
          <w:sz w:val="20"/>
          <w:szCs w:val="20"/>
          <w:color w:val="auto"/>
        </w:rPr>
      </w:pPr>
      <w:r>
        <w:rPr>
          <w:rFonts w:ascii="Arial" w:cs="Arial" w:eastAsia="Arial" w:hAnsi="Arial"/>
          <w:sz w:val="14"/>
          <w:szCs w:val="14"/>
          <w:color w:val="auto"/>
        </w:rPr>
        <w:t>Public company board governance experience</w:t>
      </w:r>
    </w:p>
    <w:p>
      <w:pPr>
        <w:spacing w:after="0" w:line="63" w:lineRule="exact"/>
        <w:rPr>
          <w:sz w:val="20"/>
          <w:szCs w:val="20"/>
          <w:color w:val="auto"/>
        </w:rPr>
      </w:pPr>
    </w:p>
    <w:p>
      <w:pPr>
        <w:ind w:left="1300" w:right="300"/>
        <w:spacing w:after="0" w:line="285" w:lineRule="auto"/>
        <w:rPr>
          <w:sz w:val="20"/>
          <w:szCs w:val="20"/>
          <w:color w:val="auto"/>
        </w:rPr>
      </w:pPr>
      <w:r>
        <w:rPr>
          <w:rFonts w:ascii="Arial" w:cs="Arial" w:eastAsia="Arial" w:hAnsi="Arial"/>
          <w:sz w:val="14"/>
          <w:szCs w:val="14"/>
          <w:color w:val="auto"/>
        </w:rPr>
        <w:t>Current / former CEO of large public company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Global business experience</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Public policy / regulatory experience</w:t>
      </w:r>
    </w:p>
    <w:p>
      <w:pPr>
        <w:spacing w:after="0" w:line="312" w:lineRule="exact"/>
        <w:rPr>
          <w:sz w:val="20"/>
          <w:szCs w:val="20"/>
          <w:color w:val="auto"/>
        </w:rPr>
      </w:pPr>
    </w:p>
    <w:p>
      <w:pPr>
        <w:ind w:left="1300" w:right="220"/>
        <w:spacing w:after="0" w:line="285" w:lineRule="auto"/>
        <w:rPr>
          <w:sz w:val="20"/>
          <w:szCs w:val="20"/>
          <w:color w:val="auto"/>
        </w:rPr>
      </w:pPr>
      <w:r>
        <w:rPr>
          <w:rFonts w:ascii="Arial" w:cs="Arial" w:eastAsia="Arial" w:hAnsi="Arial"/>
          <w:sz w:val="14"/>
          <w:szCs w:val="14"/>
          <w:color w:val="auto"/>
        </w:rPr>
        <w:t>Low carbon solutions technology and safety experience</w:t>
      </w:r>
    </w:p>
    <w:p>
      <w:pPr>
        <w:spacing w:after="0" w:line="23" w:lineRule="exact"/>
        <w:rPr>
          <w:sz w:val="20"/>
          <w:szCs w:val="20"/>
          <w:color w:val="auto"/>
        </w:rPr>
      </w:pPr>
    </w:p>
    <w:p>
      <w:pPr>
        <w:ind w:left="1300" w:right="560"/>
        <w:spacing w:after="0" w:line="285" w:lineRule="auto"/>
        <w:rPr>
          <w:sz w:val="20"/>
          <w:szCs w:val="20"/>
          <w:color w:val="auto"/>
        </w:rPr>
      </w:pPr>
      <w:r>
        <w:rPr>
          <w:rFonts w:ascii="Arial" w:cs="Arial" w:eastAsia="Arial" w:hAnsi="Arial"/>
          <w:sz w:val="14"/>
          <w:szCs w:val="14"/>
          <w:color w:val="auto"/>
        </w:rPr>
        <w:t>Financial expertise and portfolio management</w:t>
      </w:r>
    </w:p>
    <w:p>
      <w:pPr>
        <w:spacing w:after="0" w:line="23" w:lineRule="exact"/>
        <w:rPr>
          <w:sz w:val="20"/>
          <w:szCs w:val="20"/>
          <w:color w:val="auto"/>
        </w:rPr>
      </w:pPr>
    </w:p>
    <w:p>
      <w:pPr>
        <w:ind w:left="1300"/>
        <w:spacing w:after="0" w:line="285" w:lineRule="auto"/>
        <w:rPr>
          <w:sz w:val="20"/>
          <w:szCs w:val="20"/>
          <w:color w:val="auto"/>
        </w:rPr>
      </w:pPr>
      <w:r>
        <w:rPr>
          <w:rFonts w:ascii="Arial" w:cs="Arial" w:eastAsia="Arial" w:hAnsi="Arial"/>
          <w:sz w:val="14"/>
          <w:szCs w:val="14"/>
          <w:color w:val="auto"/>
        </w:rPr>
        <w:t>Operation experience in capital-intensive industry</w:t>
      </w:r>
    </w:p>
    <w:p>
      <w:pPr>
        <w:spacing w:after="0" w:line="36" w:lineRule="exact"/>
        <w:rPr>
          <w:sz w:val="20"/>
          <w:szCs w:val="20"/>
          <w:color w:val="auto"/>
        </w:rPr>
      </w:pPr>
    </w:p>
    <w:p>
      <w:pPr>
        <w:ind w:left="1300" w:right="620"/>
        <w:spacing w:after="0" w:line="285" w:lineRule="auto"/>
        <w:rPr>
          <w:sz w:val="20"/>
          <w:szCs w:val="20"/>
          <w:color w:val="auto"/>
        </w:rPr>
      </w:pPr>
      <w:r>
        <w:rPr>
          <w:rFonts w:ascii="Arial" w:cs="Arial" w:eastAsia="Arial" w:hAnsi="Arial"/>
          <w:sz w:val="14"/>
          <w:szCs w:val="14"/>
          <w:color w:val="auto"/>
        </w:rPr>
        <w:t>Risk management / investment stewardship experience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Expertise provided to the Board: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Mr. Goff brings significant industry experience in the areas of exploration and production, marketing and logistics, refining, trading, and lower carbon solutions, including renewable fuels, from his leadership roles at ConocoPhillips and Andeavor. This deep understanding of operational processes at scale helps the Board refine its long-term strategies while providing effective oversight of management. Mr. Goff’s extensive transaction experience, in addition to his unique understanding of the regulatory risks related to the industry, provides a vital perspective to the ExxonMobil Board.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Qualifications:</w:t>
      </w:r>
    </w:p>
    <w:p>
      <w:pPr>
        <w:spacing w:after="0" w:line="136" w:lineRule="exact"/>
        <w:rPr>
          <w:sz w:val="20"/>
          <w:szCs w:val="20"/>
          <w:color w:val="auto"/>
        </w:rPr>
      </w:pPr>
    </w:p>
    <w:p>
      <w:pPr>
        <w:ind w:right="1640"/>
        <w:spacing w:after="0" w:line="409" w:lineRule="auto"/>
        <w:rPr>
          <w:sz w:val="20"/>
          <w:szCs w:val="20"/>
          <w:color w:val="auto"/>
        </w:rPr>
      </w:pPr>
      <w:r>
        <w:rPr>
          <w:rFonts w:ascii="Arial" w:cs="Arial" w:eastAsia="Arial" w:hAnsi="Arial"/>
          <w:sz w:val="18"/>
          <w:szCs w:val="18"/>
          <w:color w:val="auto"/>
        </w:rPr>
        <w:t xml:space="preserve">Marathon Petroleum Corporation </w:t>
      </w:r>
      <w:r>
        <w:rPr>
          <w:sz w:val="1"/>
          <w:szCs w:val="1"/>
          <w:color w:val="auto"/>
        </w:rPr>
        <w:drawing>
          <wp:inline distT="0" distB="0" distL="0" distR="0">
            <wp:extent cx="188595" cy="12890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8595" cy="128905"/>
                    </a:xfrm>
                    <a:prstGeom prst="rect">
                      <a:avLst/>
                    </a:prstGeom>
                    <a:noFill/>
                    <a:ln>
                      <a:noFill/>
                    </a:ln>
                  </pic:spPr>
                </pic:pic>
              </a:graphicData>
            </a:graphic>
          </wp:inline>
        </w:drawing>
        <w:drawing>
          <wp:inline distT="0" distB="0" distL="0" distR="0">
            <wp:extent cx="154305" cy="17145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4305" cy="171450"/>
                    </a:xfrm>
                    <a:prstGeom prst="rect">
                      <a:avLst/>
                    </a:prstGeom>
                    <a:noFill/>
                    <a:ln>
                      <a:noFill/>
                    </a:ln>
                  </pic:spPr>
                </pic:pic>
              </a:graphicData>
            </a:graphic>
          </wp:inline>
        </w:drawing>
        <w:drawing>
          <wp:inline distT="0" distB="0" distL="0" distR="0">
            <wp:extent cx="188595" cy="18859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8595" cy="188595"/>
                    </a:xfrm>
                    <a:prstGeom prst="rect">
                      <a:avLst/>
                    </a:prstGeom>
                    <a:noFill/>
                    <a:ln>
                      <a:noFill/>
                    </a:ln>
                  </pic:spPr>
                </pic:pic>
              </a:graphicData>
            </a:graphic>
          </wp:inline>
        </w:drawing>
        <w:drawing>
          <wp:inline distT="0" distB="0" distL="0" distR="0">
            <wp:extent cx="163195" cy="15430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63195" cy="154305"/>
                    </a:xfrm>
                    <a:prstGeom prst="rect">
                      <a:avLst/>
                    </a:prstGeom>
                    <a:noFill/>
                    <a:ln>
                      <a:noFill/>
                    </a:ln>
                  </pic:spPr>
                </pic:pic>
              </a:graphicData>
            </a:graphic>
          </wp:inline>
        </w:drawing>
        <w:drawing>
          <wp:inline distT="0" distB="0" distL="0" distR="0">
            <wp:extent cx="154305" cy="15430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drawing>
          <wp:inline distT="0" distB="0" distL="0" distR="0">
            <wp:extent cx="128905" cy="17970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8905" cy="179705"/>
                    </a:xfrm>
                    <a:prstGeom prst="rect">
                      <a:avLst/>
                    </a:prstGeom>
                    <a:noFill/>
                    <a:ln>
                      <a:noFill/>
                    </a:ln>
                  </pic:spPr>
                </pic:pic>
              </a:graphicData>
            </a:graphic>
          </wp:inline>
        </w:drawing>
        <w:drawing>
          <wp:inline distT="0" distB="0" distL="0" distR="0">
            <wp:extent cx="162560" cy="16256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62560" cy="1625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 xml:space="preserve">    Executive Vice Chairman (2018 to 2019)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Andeavor </w:t>
      </w:r>
      <w:r>
        <w:rPr>
          <w:sz w:val="1"/>
          <w:szCs w:val="1"/>
          <w:color w:val="auto"/>
        </w:rPr>
        <w:drawing>
          <wp:inline distT="0" distB="0" distL="0" distR="0">
            <wp:extent cx="188595" cy="12890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8595" cy="128905"/>
                    </a:xfrm>
                    <a:prstGeom prst="rect">
                      <a:avLst/>
                    </a:prstGeom>
                    <a:noFill/>
                    <a:ln>
                      <a:noFill/>
                    </a:ln>
                  </pic:spPr>
                </pic:pic>
              </a:graphicData>
            </a:graphic>
          </wp:inline>
        </w:drawing>
        <w:drawing>
          <wp:inline distT="0" distB="0" distL="0" distR="0">
            <wp:extent cx="154305" cy="17145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4305" cy="171450"/>
                    </a:xfrm>
                    <a:prstGeom prst="rect">
                      <a:avLst/>
                    </a:prstGeom>
                    <a:noFill/>
                    <a:ln>
                      <a:noFill/>
                    </a:ln>
                  </pic:spPr>
                </pic:pic>
              </a:graphicData>
            </a:graphic>
          </wp:inline>
        </w:drawing>
        <w:drawing>
          <wp:inline distT="0" distB="0" distL="0" distR="0">
            <wp:extent cx="188595" cy="18859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8595" cy="188595"/>
                    </a:xfrm>
                    <a:prstGeom prst="rect">
                      <a:avLst/>
                    </a:prstGeom>
                    <a:noFill/>
                    <a:ln>
                      <a:noFill/>
                    </a:ln>
                  </pic:spPr>
                </pic:pic>
              </a:graphicData>
            </a:graphic>
          </wp:inline>
        </w:drawing>
        <w:drawing>
          <wp:inline distT="0" distB="0" distL="0" distR="0">
            <wp:extent cx="163195" cy="15430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63195" cy="154305"/>
                    </a:xfrm>
                    <a:prstGeom prst="rect">
                      <a:avLst/>
                    </a:prstGeom>
                    <a:noFill/>
                    <a:ln>
                      <a:noFill/>
                    </a:ln>
                  </pic:spPr>
                </pic:pic>
              </a:graphicData>
            </a:graphic>
          </wp:inline>
        </w:drawing>
        <w:drawing>
          <wp:inline distT="0" distB="0" distL="0" distR="0">
            <wp:extent cx="154305" cy="15430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drawing>
          <wp:inline distT="0" distB="0" distL="0" distR="0">
            <wp:extent cx="128905" cy="17970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8905" cy="179705"/>
                    </a:xfrm>
                    <a:prstGeom prst="rect">
                      <a:avLst/>
                    </a:prstGeom>
                    <a:noFill/>
                    <a:ln>
                      <a:noFill/>
                    </a:ln>
                  </pic:spPr>
                </pic:pic>
              </a:graphicData>
            </a:graphic>
          </wp:inline>
        </w:drawing>
        <w:drawing>
          <wp:inline distT="0" distB="0" distL="0" distR="0">
            <wp:extent cx="163195" cy="16319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63195" cy="163195"/>
                    </a:xfrm>
                    <a:prstGeom prst="rect">
                      <a:avLst/>
                    </a:prstGeom>
                    <a:noFill/>
                    <a:ln>
                      <a:noFill/>
                    </a:ln>
                  </pic:spPr>
                </pic:pic>
              </a:graphicData>
            </a:graphic>
          </wp:inline>
        </w:drawing>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Chair (2014 to 2018)</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President &amp; CEO (2010 to 2018)</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ConocoPhillips </w:t>
      </w:r>
      <w:r>
        <w:rPr>
          <w:sz w:val="1"/>
          <w:szCs w:val="1"/>
          <w:color w:val="auto"/>
        </w:rPr>
        <w:drawing>
          <wp:inline distT="0" distB="0" distL="0" distR="0">
            <wp:extent cx="137160" cy="14541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7160" cy="145415"/>
                    </a:xfrm>
                    <a:prstGeom prst="rect">
                      <a:avLst/>
                    </a:prstGeom>
                    <a:noFill/>
                    <a:ln>
                      <a:noFill/>
                    </a:ln>
                  </pic:spPr>
                </pic:pic>
              </a:graphicData>
            </a:graphic>
          </wp:inline>
        </w:drawing>
        <w:drawing>
          <wp:inline distT="0" distB="0" distL="0" distR="0">
            <wp:extent cx="154305" cy="17145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4305" cy="171450"/>
                    </a:xfrm>
                    <a:prstGeom prst="rect">
                      <a:avLst/>
                    </a:prstGeom>
                    <a:noFill/>
                    <a:ln>
                      <a:noFill/>
                    </a:ln>
                  </pic:spPr>
                </pic:pic>
              </a:graphicData>
            </a:graphic>
          </wp:inline>
        </w:drawing>
        <w:drawing>
          <wp:inline distT="0" distB="0" distL="0" distR="0">
            <wp:extent cx="162560" cy="15430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62560" cy="154305"/>
                    </a:xfrm>
                    <a:prstGeom prst="rect">
                      <a:avLst/>
                    </a:prstGeom>
                    <a:noFill/>
                    <a:ln>
                      <a:noFill/>
                    </a:ln>
                  </pic:spPr>
                </pic:pic>
              </a:graphicData>
            </a:graphic>
          </wp:inline>
        </w:drawing>
        <w:drawing>
          <wp:inline distT="0" distB="0" distL="0" distR="0">
            <wp:extent cx="163195" cy="16319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63195" cy="163195"/>
                    </a:xfrm>
                    <a:prstGeom prst="rect">
                      <a:avLst/>
                    </a:prstGeom>
                    <a:noFill/>
                    <a:ln>
                      <a:noFill/>
                    </a:ln>
                  </pic:spPr>
                </pic:pic>
              </a:graphicData>
            </a:graphic>
          </wp:inline>
        </w:drawing>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Over his 30-year career at ConocoPhillips, Mr. Goff held multiple roles in the</w:t>
      </w:r>
    </w:p>
    <w:p>
      <w:pPr>
        <w:spacing w:after="0" w:line="26" w:lineRule="exact"/>
        <w:rPr>
          <w:sz w:val="20"/>
          <w:szCs w:val="20"/>
          <w:color w:val="auto"/>
        </w:rPr>
      </w:pPr>
    </w:p>
    <w:p>
      <w:pPr>
        <w:ind w:left="320" w:right="320"/>
        <w:spacing w:after="0" w:line="250" w:lineRule="auto"/>
        <w:rPr>
          <w:sz w:val="20"/>
          <w:szCs w:val="20"/>
          <w:color w:val="auto"/>
        </w:rPr>
      </w:pPr>
      <w:r>
        <w:rPr>
          <w:rFonts w:ascii="Arial" w:cs="Arial" w:eastAsia="Arial" w:hAnsi="Arial"/>
          <w:sz w:val="18"/>
          <w:szCs w:val="18"/>
          <w:color w:val="auto"/>
        </w:rPr>
        <w:t>areas of Exploration and Production, Downstream, and served as Senior Vice President of Commercial from 2008 to 2010.</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Current public company directorships: </w:t>
      </w:r>
      <w:r>
        <w:rPr>
          <w:sz w:val="1"/>
          <w:szCs w:val="1"/>
          <w:color w:val="auto"/>
        </w:rPr>
        <w:drawing>
          <wp:inline distT="0" distB="0" distL="0" distR="0">
            <wp:extent cx="179705" cy="179705"/>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9705" cy="179705"/>
                    </a:xfrm>
                    <a:prstGeom prst="rect">
                      <a:avLst/>
                    </a:prstGeom>
                    <a:noFill/>
                    <a:ln>
                      <a:noFill/>
                    </a:ln>
                  </pic:spPr>
                </pic:pic>
              </a:graphicData>
            </a:graphic>
          </wp:inline>
        </w:drawing>
      </w:r>
    </w:p>
    <w:p>
      <w:pPr>
        <w:spacing w:after="0" w:line="10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Avient Corporation (October 2011 to present; Chair of the Environmental, Health and Safety Committee, Governance Committee member)</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Previous public company directorships in last five years: </w:t>
      </w:r>
      <w:r>
        <w:rPr>
          <w:sz w:val="1"/>
          <w:szCs w:val="1"/>
          <w:color w:val="auto"/>
        </w:rPr>
        <w:drawing>
          <wp:inline distT="0" distB="0" distL="0" distR="0">
            <wp:extent cx="179705" cy="17970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9705" cy="179705"/>
                    </a:xfrm>
                    <a:prstGeom prst="rect">
                      <a:avLst/>
                    </a:prstGeom>
                    <a:noFill/>
                    <a:ln>
                      <a:noFill/>
                    </a:ln>
                  </pic:spPr>
                </pic:pic>
              </a:graphicData>
            </a:graphic>
          </wp:inline>
        </w:drawing>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Andeavor (May 2010 to October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Andeavor Logistics LP (April 2011 to October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Marathon Petroleum Corporation (October 2018 to December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MPLX LP (October 2018 to December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Enbridge Inc. (February 2020 to June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board experience: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American Fuel &amp; Petrochemical Manufacturers (Chair 2015 to 2017)</w:t>
      </w:r>
    </w:p>
    <w:p>
      <w:pPr>
        <w:spacing w:after="0" w:line="170" w:lineRule="exact"/>
        <w:rPr>
          <w:sz w:val="20"/>
          <w:szCs w:val="20"/>
          <w:color w:val="auto"/>
        </w:rPr>
      </w:pPr>
    </w:p>
    <w:tbl>
      <w:tblPr>
        <w:tblLayout w:type="fixed"/>
        <w:tblInd w:w="274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-139065</wp:posOffset>
            </wp:positionV>
            <wp:extent cx="737235"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2">
            <w:col w:w="3900" w:space="140"/>
            <w:col w:w="6400"/>
          </w:cols>
          <w:pgMar w:left="320" w:top="482" w:right="11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208280</wp:posOffset>
            </wp:positionV>
            <wp:extent cx="6189345" cy="52546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189345" cy="5254625"/>
                    </a:xfrm>
                    <a:prstGeom prst="rect">
                      <a:avLst/>
                    </a:prstGeom>
                    <a:noFill/>
                  </pic:spPr>
                </pic:pic>
              </a:graphicData>
            </a:graphic>
          </wp:anchor>
        </w:drawing>
      </w:r>
    </w:p>
    <w:p>
      <w:pPr>
        <w:spacing w:after="0" w:line="333" w:lineRule="exact"/>
        <w:rPr>
          <w:sz w:val="20"/>
          <w:szCs w:val="20"/>
          <w:color w:val="auto"/>
        </w:rPr>
      </w:pPr>
    </w:p>
    <w:p>
      <w:pPr>
        <w:jc w:val="right"/>
        <w:ind w:right="7820"/>
        <w:spacing w:after="0"/>
        <w:rPr>
          <w:sz w:val="20"/>
          <w:szCs w:val="20"/>
          <w:color w:val="auto"/>
        </w:rPr>
      </w:pPr>
      <w:r>
        <w:rPr>
          <w:rFonts w:ascii="Arial" w:cs="Arial" w:eastAsia="Arial" w:hAnsi="Arial"/>
          <w:sz w:val="22"/>
          <w:szCs w:val="22"/>
          <w:b w:val="1"/>
          <w:bCs w:val="1"/>
          <w:color w:val="2B4C9B"/>
        </w:rPr>
        <w:t>John D. Harris II</w:t>
      </w:r>
    </w:p>
    <w:p>
      <w:pPr>
        <w:sectPr>
          <w:pgSz w:w="11900" w:h="16838" w:orient="portrait"/>
          <w:cols w:equalWidth="0" w:num="1">
            <w:col w:w="10400"/>
          </w:cols>
          <w:pgMar w:left="320" w:top="482"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Independent director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 since 2023</w:t>
      </w:r>
    </w:p>
    <w:p>
      <w:pPr>
        <w:ind w:left="920"/>
        <w:spacing w:after="0"/>
        <w:rPr>
          <w:sz w:val="20"/>
          <w:szCs w:val="20"/>
          <w:color w:val="auto"/>
        </w:rPr>
      </w:pPr>
      <w:r>
        <w:rPr>
          <w:rFonts w:ascii="Arial" w:cs="Arial" w:eastAsia="Arial" w:hAnsi="Arial"/>
          <w:sz w:val="18"/>
          <w:szCs w:val="18"/>
          <w:color w:val="auto"/>
        </w:rPr>
        <w:t>Age 61</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Committees:</w:t>
      </w:r>
    </w:p>
    <w:p>
      <w:pPr>
        <w:spacing w:after="0" w:line="1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Audit; Compensation</w:t>
      </w:r>
    </w:p>
    <w:p>
      <w:pPr>
        <w:spacing w:after="0" w:line="200" w:lineRule="exact"/>
        <w:rPr>
          <w:sz w:val="20"/>
          <w:szCs w:val="20"/>
          <w:color w:val="auto"/>
        </w:rPr>
      </w:pPr>
    </w:p>
    <w:p>
      <w:pPr>
        <w:spacing w:after="0" w:line="34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Attributes and Skills:</w:t>
      </w:r>
    </w:p>
    <w:p>
      <w:pPr>
        <w:spacing w:after="0" w:line="46"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Public policy / regulatory experience</w:t>
      </w:r>
    </w:p>
    <w:p>
      <w:pPr>
        <w:spacing w:after="0" w:line="298"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Global business experience</w:t>
      </w:r>
    </w:p>
    <w:p>
      <w:pPr>
        <w:spacing w:after="0" w:line="217" w:lineRule="exact"/>
        <w:rPr>
          <w:sz w:val="20"/>
          <w:szCs w:val="20"/>
          <w:color w:val="auto"/>
        </w:rPr>
      </w:pPr>
    </w:p>
    <w:p>
      <w:pPr>
        <w:ind w:left="1300"/>
        <w:spacing w:after="0" w:line="285" w:lineRule="auto"/>
        <w:rPr>
          <w:sz w:val="20"/>
          <w:szCs w:val="20"/>
          <w:color w:val="auto"/>
        </w:rPr>
      </w:pPr>
      <w:r>
        <w:rPr>
          <w:rFonts w:ascii="Arial" w:cs="Arial" w:eastAsia="Arial" w:hAnsi="Arial"/>
          <w:sz w:val="14"/>
          <w:szCs w:val="14"/>
          <w:color w:val="auto"/>
        </w:rPr>
        <w:t>Operation experience in capital-intensive industry</w:t>
      </w:r>
    </w:p>
    <w:p>
      <w:pPr>
        <w:spacing w:after="0" w:line="23" w:lineRule="exact"/>
        <w:rPr>
          <w:sz w:val="20"/>
          <w:szCs w:val="20"/>
          <w:color w:val="auto"/>
        </w:rPr>
      </w:pPr>
    </w:p>
    <w:p>
      <w:pPr>
        <w:ind w:left="1300" w:right="620"/>
        <w:spacing w:after="0" w:line="285" w:lineRule="auto"/>
        <w:rPr>
          <w:sz w:val="20"/>
          <w:szCs w:val="20"/>
          <w:color w:val="auto"/>
        </w:rPr>
      </w:pPr>
      <w:r>
        <w:rPr>
          <w:rFonts w:ascii="Arial" w:cs="Arial" w:eastAsia="Arial" w:hAnsi="Arial"/>
          <w:sz w:val="14"/>
          <w:szCs w:val="14"/>
          <w:color w:val="auto"/>
        </w:rPr>
        <w:t>Relevant scientific / technology experience</w:t>
      </w:r>
    </w:p>
    <w:p>
      <w:pPr>
        <w:spacing w:after="0" w:line="117" w:lineRule="exact"/>
        <w:rPr>
          <w:sz w:val="20"/>
          <w:szCs w:val="20"/>
          <w:color w:val="auto"/>
        </w:rPr>
      </w:pPr>
    </w:p>
    <w:p>
      <w:pPr>
        <w:ind w:left="1300" w:right="620"/>
        <w:spacing w:after="0" w:line="285" w:lineRule="auto"/>
        <w:rPr>
          <w:sz w:val="20"/>
          <w:szCs w:val="20"/>
          <w:color w:val="auto"/>
        </w:rPr>
      </w:pPr>
      <w:r>
        <w:rPr>
          <w:rFonts w:ascii="Arial" w:cs="Arial" w:eastAsia="Arial" w:hAnsi="Arial"/>
          <w:sz w:val="14"/>
          <w:szCs w:val="14"/>
          <w:color w:val="auto"/>
        </w:rPr>
        <w:t>Risk management / investment stewardship experience</w:t>
      </w:r>
    </w:p>
    <w:p>
      <w:pPr>
        <w:spacing w:after="0" w:line="50" w:lineRule="exact"/>
        <w:rPr>
          <w:sz w:val="20"/>
          <w:szCs w:val="20"/>
          <w:color w:val="auto"/>
        </w:rPr>
      </w:pPr>
    </w:p>
    <w:p>
      <w:pPr>
        <w:ind w:left="1300" w:right="560"/>
        <w:spacing w:after="0" w:line="285" w:lineRule="auto"/>
        <w:rPr>
          <w:sz w:val="20"/>
          <w:szCs w:val="20"/>
          <w:color w:val="auto"/>
        </w:rPr>
      </w:pPr>
      <w:r>
        <w:rPr>
          <w:rFonts w:ascii="Arial" w:cs="Arial" w:eastAsia="Arial" w:hAnsi="Arial"/>
          <w:sz w:val="14"/>
          <w:szCs w:val="14"/>
          <w:color w:val="auto"/>
        </w:rPr>
        <w:t>Financial expertise and portfolio management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Expertise provided to the Board:</w:t>
      </w:r>
    </w:p>
    <w:p>
      <w:pPr>
        <w:spacing w:after="0" w:line="117" w:lineRule="exact"/>
        <w:rPr>
          <w:sz w:val="20"/>
          <w:szCs w:val="20"/>
          <w:color w:val="auto"/>
        </w:rPr>
      </w:pPr>
    </w:p>
    <w:p>
      <w:pPr>
        <w:ind w:right="400"/>
        <w:spacing w:after="0" w:line="242" w:lineRule="auto"/>
        <w:rPr>
          <w:sz w:val="20"/>
          <w:szCs w:val="20"/>
          <w:color w:val="auto"/>
        </w:rPr>
      </w:pPr>
      <w:r>
        <w:rPr>
          <w:rFonts w:ascii="Arial" w:cs="Arial" w:eastAsia="Arial" w:hAnsi="Arial"/>
          <w:sz w:val="18"/>
          <w:szCs w:val="18"/>
          <w:color w:val="auto"/>
        </w:rPr>
        <w:t>Mr. Harris brings to the Board a global perspective, as well as strategic, functional, and operational skills with a focus on customer success. He is a committed innovator and leader with a deep understanding of business transformation. Mr. Harris’ CEO and functional experience includes competencies in talent management, culture development, and strategic planning.</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Qualifications:</w:t>
      </w:r>
    </w:p>
    <w:p>
      <w:pPr>
        <w:spacing w:after="0" w:line="136" w:lineRule="exact"/>
        <w:rPr>
          <w:sz w:val="20"/>
          <w:szCs w:val="20"/>
          <w:color w:val="auto"/>
        </w:rPr>
      </w:pPr>
    </w:p>
    <w:p>
      <w:pPr>
        <w:ind w:right="500"/>
        <w:spacing w:after="0" w:line="323" w:lineRule="auto"/>
        <w:rPr>
          <w:sz w:val="20"/>
          <w:szCs w:val="20"/>
          <w:color w:val="auto"/>
        </w:rPr>
      </w:pPr>
      <w:r>
        <w:rPr>
          <w:rFonts w:ascii="Arial" w:cs="Arial" w:eastAsia="Arial" w:hAnsi="Arial"/>
          <w:sz w:val="18"/>
          <w:szCs w:val="18"/>
          <w:color w:val="auto"/>
        </w:rPr>
        <w:t xml:space="preserve">Raytheon Technologies Corporation (1983 to 2020) </w:t>
      </w:r>
      <w:r>
        <w:rPr>
          <w:sz w:val="1"/>
          <w:szCs w:val="1"/>
          <w:color w:val="auto"/>
        </w:rPr>
        <w:drawing>
          <wp:inline distT="0" distB="0" distL="0" distR="0">
            <wp:extent cx="137160" cy="145415"/>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7160" cy="145415"/>
                    </a:xfrm>
                    <a:prstGeom prst="rect">
                      <a:avLst/>
                    </a:prstGeom>
                    <a:noFill/>
                    <a:ln>
                      <a:noFill/>
                    </a:ln>
                  </pic:spPr>
                </pic:pic>
              </a:graphicData>
            </a:graphic>
          </wp:inline>
        </w:drawing>
        <w:drawing>
          <wp:inline distT="0" distB="0" distL="0" distR="0">
            <wp:extent cx="163195" cy="16319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63195" cy="163195"/>
                    </a:xfrm>
                    <a:prstGeom prst="rect">
                      <a:avLst/>
                    </a:prstGeom>
                    <a:noFill/>
                    <a:ln>
                      <a:noFill/>
                    </a:ln>
                  </pic:spPr>
                </pic:pic>
              </a:graphicData>
            </a:graphic>
          </wp:inline>
        </w:drawing>
        <w:drawing>
          <wp:inline distT="0" distB="0" distL="0" distR="0">
            <wp:extent cx="171450" cy="21463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1450" cy="214630"/>
                    </a:xfrm>
                    <a:prstGeom prst="rect">
                      <a:avLst/>
                    </a:prstGeom>
                    <a:noFill/>
                    <a:ln>
                      <a:noFill/>
                    </a:ln>
                  </pic:spPr>
                </pic:pic>
              </a:graphicData>
            </a:graphic>
          </wp:inline>
        </w:drawing>
        <w:drawing>
          <wp:inline distT="0" distB="0" distL="0" distR="0">
            <wp:extent cx="188595" cy="188595"/>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88595" cy="188595"/>
                    </a:xfrm>
                    <a:prstGeom prst="rect">
                      <a:avLst/>
                    </a:prstGeom>
                    <a:noFill/>
                    <a:ln>
                      <a:noFill/>
                    </a:ln>
                  </pic:spPr>
                </pic:pic>
              </a:graphicData>
            </a:graphic>
          </wp:inline>
        </w:drawing>
        <w:drawing>
          <wp:inline distT="0" distB="0" distL="0" distR="0">
            <wp:extent cx="128905" cy="17970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8905" cy="179705"/>
                    </a:xfrm>
                    <a:prstGeom prst="rect">
                      <a:avLst/>
                    </a:prstGeom>
                    <a:noFill/>
                    <a:ln>
                      <a:noFill/>
                    </a:ln>
                  </pic:spPr>
                </pic:pic>
              </a:graphicData>
            </a:graphic>
          </wp:inline>
        </w:drawing>
        <w:drawing>
          <wp:inline distT="0" distB="0" distL="0" distR="0">
            <wp:extent cx="154305" cy="154305"/>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 xml:space="preserve">    CEO, Raytheon International, Inc. (2013 to 2020)</w:t>
      </w:r>
    </w:p>
    <w:p>
      <w:pPr>
        <w:spacing w:after="0" w:line="17" w:lineRule="exact"/>
        <w:rPr>
          <w:sz w:val="20"/>
          <w:szCs w:val="20"/>
          <w:color w:val="auto"/>
        </w:rPr>
      </w:pPr>
    </w:p>
    <w:p>
      <w:pPr>
        <w:ind w:left="320" w:hanging="305"/>
        <w:spacing w:after="0" w:line="259" w:lineRule="auto"/>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Mr. Harris held various leadership positions, including serving as General</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Manager of Raytheon’s Intelligence, Information and Services business, President of Raytheon Technical Services Company, Vice President of Operations and Contracts for Raytheon’s Electronic Systems business, Vice President of Contracts for Raytheon’s government and defense businesses, Vice President of Contracts and Supply Chain for Raytheon Company, and Vice President of Business Development for Raytheon Company.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Current public company directorships: </w:t>
      </w:r>
      <w:r>
        <w:rPr>
          <w:sz w:val="1"/>
          <w:szCs w:val="1"/>
          <w:color w:val="auto"/>
        </w:rPr>
        <w:drawing>
          <wp:inline distT="0" distB="0" distL="0" distR="0">
            <wp:extent cx="154305" cy="15430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r>
    </w:p>
    <w:p>
      <w:pPr>
        <w:spacing w:after="0" w:line="105"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Flex Ltd. (November 2020 to present; Compensation &amp; People Committee member)</w:t>
      </w:r>
    </w:p>
    <w:p>
      <w:pPr>
        <w:spacing w:after="0" w:line="59" w:lineRule="exact"/>
        <w:rPr>
          <w:sz w:val="20"/>
          <w:szCs w:val="20"/>
          <w:color w:val="auto"/>
        </w:rPr>
      </w:pPr>
    </w:p>
    <w:p>
      <w:pPr>
        <w:ind w:right="1200"/>
        <w:spacing w:after="0" w:line="271" w:lineRule="auto"/>
        <w:rPr>
          <w:sz w:val="20"/>
          <w:szCs w:val="20"/>
          <w:color w:val="auto"/>
        </w:rPr>
      </w:pPr>
      <w:r>
        <w:rPr>
          <w:rFonts w:ascii="Arial" w:cs="Arial" w:eastAsia="Arial" w:hAnsi="Arial"/>
          <w:sz w:val="18"/>
          <w:szCs w:val="18"/>
          <w:color w:val="auto"/>
        </w:rPr>
        <w:t>Cisco Systems, Inc. (June 2021 to present; member of Audit and Compensation &amp; Management Development Committees)</w:t>
      </w:r>
    </w:p>
    <w:p>
      <w:pPr>
        <w:spacing w:after="0" w:line="59"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Kyndryl Holdings, Inc. (September 2021 to present; Nominating &amp; Corporate Governance Committee member)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Previous public company directorships in last five years: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affiliations:</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Redwood Library and Athenaeum (Board member); McLaren Racing (Advisory Team member)</w:t>
      </w:r>
    </w:p>
    <w:p>
      <w:pPr>
        <w:spacing w:after="0" w:line="93" w:lineRule="exact"/>
        <w:rPr>
          <w:sz w:val="20"/>
          <w:szCs w:val="20"/>
          <w:color w:val="auto"/>
        </w:rPr>
      </w:pPr>
    </w:p>
    <w:p>
      <w:pPr>
        <w:sectPr>
          <w:pgSz w:w="11900" w:h="16838" w:orient="portrait"/>
          <w:cols w:equalWidth="0" w:num="2">
            <w:col w:w="3900" w:space="140"/>
            <w:col w:w="6360"/>
          </w:cols>
          <w:pgMar w:left="320" w:top="482" w:right="1179" w:bottom="1440" w:gutter="0" w:footer="0" w:header="0"/>
          <w:type w:val="continuous"/>
        </w:sectPr>
      </w:pPr>
    </w:p>
    <w:p>
      <w:pPr>
        <w:ind w:left="780"/>
        <w:spacing w:after="0"/>
        <w:tabs>
          <w:tab w:leader="none" w:pos="1486" w:val="left"/>
        </w:tabs>
        <w:rPr>
          <w:sz w:val="20"/>
          <w:szCs w:val="20"/>
          <w:color w:val="auto"/>
        </w:rPr>
      </w:pPr>
      <w:r>
        <w:rPr>
          <w:rFonts w:ascii="Arial" w:cs="Arial" w:eastAsia="Arial" w:hAnsi="Arial"/>
          <w:sz w:val="18"/>
          <w:szCs w:val="18"/>
          <w:color w:val="auto"/>
        </w:rPr>
        <w:t>12</w:t>
      </w:r>
      <w:r>
        <w:rPr>
          <w:sz w:val="20"/>
          <w:szCs w:val="20"/>
          <w:color w:val="auto"/>
        </w:rPr>
        <w:tab/>
      </w:r>
      <w:r>
        <w:rPr>
          <w:sz w:val="1"/>
          <w:szCs w:val="1"/>
          <w:color w:val="auto"/>
        </w:rPr>
        <w:drawing>
          <wp:inline distT="0" distB="0" distL="0" distR="0">
            <wp:extent cx="737235" cy="145415"/>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2023 Proxy Statement</w:t>
      </w:r>
    </w:p>
    <w:p>
      <w:pPr>
        <w:sectPr>
          <w:pgSz w:w="11900" w:h="16838" w:orient="portrait"/>
          <w:cols w:equalWidth="0" w:num="1">
            <w:col w:w="10400"/>
          </w:cols>
          <w:pgMar w:left="320" w:top="482" w:right="117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208280</wp:posOffset>
            </wp:positionV>
            <wp:extent cx="6189345" cy="50749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189345" cy="5074920"/>
                    </a:xfrm>
                    <a:prstGeom prst="rect">
                      <a:avLst/>
                    </a:prstGeom>
                    <a:noFill/>
                  </pic:spPr>
                </pic:pic>
              </a:graphicData>
            </a:graphic>
          </wp:anchor>
        </w:drawing>
      </w:r>
    </w:p>
    <w:p>
      <w:pPr>
        <w:spacing w:after="0" w:line="333" w:lineRule="exact"/>
        <w:rPr>
          <w:sz w:val="20"/>
          <w:szCs w:val="20"/>
          <w:color w:val="auto"/>
        </w:rPr>
      </w:pPr>
    </w:p>
    <w:p>
      <w:pPr>
        <w:jc w:val="right"/>
        <w:ind w:right="7920"/>
        <w:spacing w:after="0"/>
        <w:rPr>
          <w:sz w:val="20"/>
          <w:szCs w:val="20"/>
          <w:color w:val="auto"/>
        </w:rPr>
      </w:pPr>
      <w:r>
        <w:rPr>
          <w:rFonts w:ascii="Arial" w:cs="Arial" w:eastAsia="Arial" w:hAnsi="Arial"/>
          <w:sz w:val="22"/>
          <w:szCs w:val="22"/>
          <w:b w:val="1"/>
          <w:bCs w:val="1"/>
          <w:color w:val="2B4C9B"/>
        </w:rPr>
        <w:t>Kaisa H. Hietala</w:t>
      </w:r>
    </w:p>
    <w:p>
      <w:pPr>
        <w:sectPr>
          <w:pgSz w:w="11900" w:h="16838" w:orient="portrait"/>
          <w:cols w:equalWidth="0" w:num="1">
            <w:col w:w="10460"/>
          </w:cols>
          <w:pgMar w:left="320" w:top="482"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Independent director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 since 2021</w:t>
      </w:r>
    </w:p>
    <w:p>
      <w:pPr>
        <w:ind w:left="920"/>
        <w:spacing w:after="0"/>
        <w:rPr>
          <w:sz w:val="20"/>
          <w:szCs w:val="20"/>
          <w:color w:val="auto"/>
        </w:rPr>
      </w:pPr>
      <w:r>
        <w:rPr>
          <w:rFonts w:ascii="Arial" w:cs="Arial" w:eastAsia="Arial" w:hAnsi="Arial"/>
          <w:sz w:val="18"/>
          <w:szCs w:val="18"/>
          <w:color w:val="auto"/>
        </w:rPr>
        <w:t>Age 52</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Committees:</w:t>
      </w:r>
    </w:p>
    <w:p>
      <w:pPr>
        <w:spacing w:after="0" w:line="1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Audit; Finance</w:t>
      </w:r>
    </w:p>
    <w:p>
      <w:pPr>
        <w:spacing w:after="0" w:line="200" w:lineRule="exact"/>
        <w:rPr>
          <w:sz w:val="20"/>
          <w:szCs w:val="20"/>
          <w:color w:val="auto"/>
        </w:rPr>
      </w:pPr>
    </w:p>
    <w:p>
      <w:pPr>
        <w:spacing w:after="0" w:line="29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Attributes and Skills:</w:t>
      </w:r>
    </w:p>
    <w:p>
      <w:pPr>
        <w:spacing w:after="0" w:line="33"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Global business experience</w:t>
      </w:r>
    </w:p>
    <w:p>
      <w:pPr>
        <w:spacing w:after="0" w:line="149" w:lineRule="exact"/>
        <w:rPr>
          <w:sz w:val="20"/>
          <w:szCs w:val="20"/>
          <w:color w:val="auto"/>
        </w:rPr>
      </w:pPr>
    </w:p>
    <w:p>
      <w:pPr>
        <w:ind w:left="1300" w:right="620"/>
        <w:spacing w:after="0" w:line="285" w:lineRule="auto"/>
        <w:rPr>
          <w:sz w:val="20"/>
          <w:szCs w:val="20"/>
          <w:color w:val="auto"/>
        </w:rPr>
      </w:pPr>
      <w:r>
        <w:rPr>
          <w:rFonts w:ascii="Arial" w:cs="Arial" w:eastAsia="Arial" w:hAnsi="Arial"/>
          <w:sz w:val="14"/>
          <w:szCs w:val="14"/>
          <w:color w:val="auto"/>
        </w:rPr>
        <w:t>Relevant scientific / technology experience</w:t>
      </w:r>
    </w:p>
    <w:p>
      <w:pPr>
        <w:spacing w:after="0" w:line="50" w:lineRule="exact"/>
        <w:rPr>
          <w:sz w:val="20"/>
          <w:szCs w:val="20"/>
          <w:color w:val="auto"/>
        </w:rPr>
      </w:pPr>
    </w:p>
    <w:p>
      <w:pPr>
        <w:ind w:left="1300" w:right="620"/>
        <w:spacing w:after="0" w:line="281" w:lineRule="auto"/>
        <w:rPr>
          <w:sz w:val="20"/>
          <w:szCs w:val="20"/>
          <w:color w:val="auto"/>
        </w:rPr>
      </w:pPr>
      <w:r>
        <w:rPr>
          <w:rFonts w:ascii="Arial" w:cs="Arial" w:eastAsia="Arial" w:hAnsi="Arial"/>
          <w:sz w:val="14"/>
          <w:szCs w:val="14"/>
          <w:color w:val="auto"/>
        </w:rPr>
        <w:t>Risk management / investment stewardship experience</w:t>
      </w:r>
    </w:p>
    <w:p>
      <w:pPr>
        <w:spacing w:after="0" w:line="1" w:lineRule="exact"/>
        <w:rPr>
          <w:sz w:val="20"/>
          <w:szCs w:val="20"/>
          <w:color w:val="auto"/>
        </w:rPr>
      </w:pPr>
    </w:p>
    <w:p>
      <w:pPr>
        <w:ind w:left="1300" w:right="220"/>
        <w:spacing w:after="0" w:line="261" w:lineRule="auto"/>
        <w:rPr>
          <w:sz w:val="20"/>
          <w:szCs w:val="20"/>
          <w:color w:val="auto"/>
        </w:rPr>
      </w:pPr>
      <w:r>
        <w:rPr>
          <w:rFonts w:ascii="Arial" w:cs="Arial" w:eastAsia="Arial" w:hAnsi="Arial"/>
          <w:sz w:val="14"/>
          <w:szCs w:val="14"/>
          <w:color w:val="auto"/>
        </w:rPr>
        <w:t>Low carbon solutions technology and safety experience</w:t>
      </w:r>
    </w:p>
    <w:p>
      <w:pPr>
        <w:spacing w:after="0" w:line="1" w:lineRule="exact"/>
        <w:rPr>
          <w:sz w:val="20"/>
          <w:szCs w:val="20"/>
          <w:color w:val="auto"/>
        </w:rPr>
      </w:pPr>
    </w:p>
    <w:p>
      <w:pPr>
        <w:ind w:left="1300"/>
        <w:spacing w:after="0" w:line="252" w:lineRule="auto"/>
        <w:rPr>
          <w:sz w:val="20"/>
          <w:szCs w:val="20"/>
          <w:color w:val="auto"/>
        </w:rPr>
      </w:pPr>
      <w:r>
        <w:rPr>
          <w:rFonts w:ascii="Arial" w:cs="Arial" w:eastAsia="Arial" w:hAnsi="Arial"/>
          <w:sz w:val="14"/>
          <w:szCs w:val="14"/>
          <w:color w:val="auto"/>
        </w:rPr>
        <w:t>Operation experience in capital-intensive industry</w:t>
      </w:r>
    </w:p>
    <w:p>
      <w:pPr>
        <w:ind w:left="1300" w:right="240"/>
        <w:spacing w:after="0" w:line="270" w:lineRule="auto"/>
        <w:rPr>
          <w:sz w:val="20"/>
          <w:szCs w:val="20"/>
          <w:color w:val="auto"/>
        </w:rPr>
      </w:pPr>
      <w:r>
        <w:rPr>
          <w:rFonts w:ascii="Arial" w:cs="Arial" w:eastAsia="Arial" w:hAnsi="Arial"/>
          <w:sz w:val="14"/>
          <w:szCs w:val="14"/>
          <w:color w:val="auto"/>
        </w:rPr>
        <w:t>Leadership experience in large-scale energy / commodity business</w:t>
      </w:r>
    </w:p>
    <w:p>
      <w:pPr>
        <w:spacing w:after="0" w:line="1" w:lineRule="exact"/>
        <w:rPr>
          <w:sz w:val="20"/>
          <w:szCs w:val="20"/>
          <w:color w:val="auto"/>
        </w:rPr>
      </w:pPr>
    </w:p>
    <w:p>
      <w:pPr>
        <w:ind w:left="1300" w:right="560"/>
        <w:spacing w:after="0" w:line="261" w:lineRule="auto"/>
        <w:rPr>
          <w:sz w:val="20"/>
          <w:szCs w:val="20"/>
          <w:color w:val="auto"/>
        </w:rPr>
      </w:pPr>
      <w:r>
        <w:rPr>
          <w:rFonts w:ascii="Arial" w:cs="Arial" w:eastAsia="Arial" w:hAnsi="Arial"/>
          <w:sz w:val="14"/>
          <w:szCs w:val="14"/>
          <w:color w:val="auto"/>
        </w:rPr>
        <w:t>Financial expertise and portfolio management</w:t>
      </w:r>
    </w:p>
    <w:p>
      <w:pPr>
        <w:spacing w:after="0" w:line="1" w:lineRule="exact"/>
        <w:rPr>
          <w:sz w:val="20"/>
          <w:szCs w:val="20"/>
          <w:color w:val="auto"/>
        </w:rPr>
      </w:pPr>
    </w:p>
    <w:p>
      <w:pPr>
        <w:ind w:left="1300" w:right="380"/>
        <w:spacing w:after="0" w:line="264" w:lineRule="auto"/>
        <w:rPr>
          <w:sz w:val="20"/>
          <w:szCs w:val="20"/>
          <w:color w:val="auto"/>
        </w:rPr>
      </w:pPr>
      <w:r>
        <w:rPr>
          <w:rFonts w:ascii="Arial" w:cs="Arial" w:eastAsia="Arial" w:hAnsi="Arial"/>
          <w:sz w:val="14"/>
          <w:szCs w:val="14"/>
          <w:color w:val="auto"/>
        </w:rPr>
        <w:t>Public company board governance experience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Expertise provided to the Board</w:t>
      </w:r>
      <w:r>
        <w:rPr>
          <w:rFonts w:ascii="Arial" w:cs="Arial" w:eastAsia="Arial" w:hAnsi="Arial"/>
          <w:sz w:val="18"/>
          <w:szCs w:val="18"/>
          <w:b w:val="1"/>
          <w:bCs w:val="1"/>
          <w:color w:val="auto"/>
        </w:rPr>
        <w:t>:</w:t>
      </w:r>
    </w:p>
    <w:p>
      <w:pPr>
        <w:spacing w:after="0" w:line="117"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auto"/>
        </w:rPr>
        <w:t>Ms. Hietala brings a breadth of industry experience, having led the transformation of an oil and gas company into one of the world’s largest producers of renewable diesel. In addition to her vast industry experience, Ms. Hietala’s academic background in geophysics helps the Board to better understand both the risks and opportunities ExxonMobil faces in its low carbon solutions technologies.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Qualifications</w:t>
      </w:r>
      <w:r>
        <w:rPr>
          <w:rFonts w:ascii="Arial" w:cs="Arial" w:eastAsia="Arial" w:hAnsi="Arial"/>
          <w:sz w:val="18"/>
          <w:szCs w:val="18"/>
          <w:b w:val="1"/>
          <w:bCs w:val="1"/>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Neste Corporation </w:t>
      </w:r>
      <w:r>
        <w:rPr>
          <w:sz w:val="1"/>
          <w:szCs w:val="1"/>
          <w:color w:val="auto"/>
        </w:rPr>
        <w:drawing>
          <wp:inline distT="0" distB="0" distL="0" distR="0">
            <wp:extent cx="137160" cy="14605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7160" cy="146050"/>
                    </a:xfrm>
                    <a:prstGeom prst="rect">
                      <a:avLst/>
                    </a:prstGeom>
                    <a:noFill/>
                    <a:ln>
                      <a:noFill/>
                    </a:ln>
                  </pic:spPr>
                </pic:pic>
              </a:graphicData>
            </a:graphic>
          </wp:inline>
        </w:drawing>
        <w:drawing>
          <wp:inline distT="0" distB="0" distL="0" distR="0">
            <wp:extent cx="171450" cy="21463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1450" cy="214630"/>
                    </a:xfrm>
                    <a:prstGeom prst="rect">
                      <a:avLst/>
                    </a:prstGeom>
                    <a:noFill/>
                    <a:ln>
                      <a:noFill/>
                    </a:ln>
                  </pic:spPr>
                </pic:pic>
              </a:graphicData>
            </a:graphic>
          </wp:inline>
        </w:drawing>
        <w:drawing>
          <wp:inline distT="0" distB="0" distL="0" distR="0">
            <wp:extent cx="128905" cy="18034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8905" cy="180340"/>
                    </a:xfrm>
                    <a:prstGeom prst="rect">
                      <a:avLst/>
                    </a:prstGeom>
                    <a:noFill/>
                    <a:ln>
                      <a:noFill/>
                    </a:ln>
                  </pic:spPr>
                </pic:pic>
              </a:graphicData>
            </a:graphic>
          </wp:inline>
        </w:drawing>
        <w:drawing>
          <wp:inline distT="0" distB="0" distL="0" distR="0">
            <wp:extent cx="162560" cy="154305"/>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62560" cy="154305"/>
                    </a:xfrm>
                    <a:prstGeom prst="rect">
                      <a:avLst/>
                    </a:prstGeom>
                    <a:noFill/>
                    <a:ln>
                      <a:noFill/>
                    </a:ln>
                  </pic:spPr>
                </pic:pic>
              </a:graphicData>
            </a:graphic>
          </wp:inline>
        </w:drawing>
        <w:drawing>
          <wp:inline distT="0" distB="0" distL="0" distR="0">
            <wp:extent cx="163195" cy="16319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63195" cy="163195"/>
                    </a:xfrm>
                    <a:prstGeom prst="rect">
                      <a:avLst/>
                    </a:prstGeom>
                    <a:noFill/>
                    <a:ln>
                      <a:noFill/>
                    </a:ln>
                  </pic:spPr>
                </pic:pic>
              </a:graphicData>
            </a:graphic>
          </wp:inline>
        </w:drawing>
        <w:drawing>
          <wp:inline distT="0" distB="0" distL="0" distR="0">
            <wp:extent cx="154305" cy="17145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54305" cy="171450"/>
                    </a:xfrm>
                    <a:prstGeom prst="rect">
                      <a:avLst/>
                    </a:prstGeom>
                    <a:noFill/>
                    <a:ln>
                      <a:noFill/>
                    </a:ln>
                  </pic:spPr>
                </pic:pic>
              </a:graphicData>
            </a:graphic>
          </wp:inline>
        </w:drawing>
      </w:r>
    </w:p>
    <w:p>
      <w:pPr>
        <w:spacing w:after="0" w:line="105" w:lineRule="exact"/>
        <w:rPr>
          <w:sz w:val="20"/>
          <w:szCs w:val="20"/>
          <w:color w:val="auto"/>
        </w:rPr>
      </w:pPr>
    </w:p>
    <w:p>
      <w:pPr>
        <w:ind w:left="300" w:right="660" w:hanging="305"/>
        <w:spacing w:after="0" w:line="285" w:lineRule="auto"/>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Executive Vice President of Renewable Products and member of the</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Executive Committee (2014 to 2019)</w:t>
      </w:r>
    </w:p>
    <w:p>
      <w:pPr>
        <w:spacing w:after="0" w:line="47" w:lineRule="exact"/>
        <w:rPr>
          <w:sz w:val="20"/>
          <w:szCs w:val="20"/>
          <w:color w:val="auto"/>
        </w:rPr>
      </w:pPr>
    </w:p>
    <w:p>
      <w:pPr>
        <w:ind w:left="300" w:right="80" w:hanging="305"/>
        <w:spacing w:after="0" w:line="260" w:lineRule="auto"/>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Over her 20-year career at Neste Corporation, Ms. Hietala served in various</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roles, from exploration and production and crude trading to leading the strategic review that resulted in the Renewable Products segment.</w:t>
      </w:r>
    </w:p>
    <w:p>
      <w:pPr>
        <w:spacing w:after="0" w:line="87" w:lineRule="exact"/>
        <w:rPr>
          <w:sz w:val="20"/>
          <w:szCs w:val="20"/>
          <w:color w:val="auto"/>
        </w:rPr>
      </w:pPr>
    </w:p>
    <w:p>
      <w:pPr>
        <w:ind w:right="2480"/>
        <w:spacing w:after="0" w:line="308" w:lineRule="auto"/>
        <w:rPr>
          <w:sz w:val="20"/>
          <w:szCs w:val="20"/>
          <w:color w:val="auto"/>
        </w:rPr>
      </w:pPr>
      <w:r>
        <w:rPr>
          <w:rFonts w:ascii="Arial" w:cs="Arial" w:eastAsia="Arial" w:hAnsi="Arial"/>
          <w:sz w:val="18"/>
          <w:szCs w:val="18"/>
          <w:b w:val="1"/>
          <w:bCs w:val="1"/>
          <w:u w:val="single" w:color="auto"/>
          <w:color w:val="auto"/>
        </w:rPr>
        <w:t>Current public company directorships</w:t>
      </w:r>
      <w:r>
        <w:rPr>
          <w:rFonts w:ascii="Arial" w:cs="Arial" w:eastAsia="Arial" w:hAnsi="Arial"/>
          <w:sz w:val="18"/>
          <w:szCs w:val="18"/>
          <w:b w:val="1"/>
          <w:bCs w:val="1"/>
          <w:color w:val="auto"/>
        </w:rPr>
        <w:t xml:space="preserve">: </w:t>
      </w:r>
      <w:r>
        <w:rPr>
          <w:sz w:val="1"/>
          <w:szCs w:val="1"/>
          <w:color w:val="auto"/>
        </w:rPr>
        <w:drawing>
          <wp:inline distT="0" distB="0" distL="0" distR="0">
            <wp:extent cx="154305" cy="15430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drawing>
          <wp:inline distT="0" distB="0" distL="0" distR="0">
            <wp:extent cx="179705" cy="179705"/>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9705" cy="179705"/>
                    </a:xfrm>
                    <a:prstGeom prst="rect">
                      <a:avLst/>
                    </a:prstGeom>
                    <a:noFill/>
                    <a:ln>
                      <a:noFill/>
                    </a:ln>
                  </pic:spPr>
                </pic:pic>
              </a:graphicData>
            </a:graphic>
          </wp:inline>
        </w:drawing>
      </w:r>
      <w:r>
        <w:rPr>
          <w:rFonts w:ascii="Arial" w:cs="Arial" w:eastAsia="Arial" w:hAnsi="Arial"/>
          <w:sz w:val="18"/>
          <w:szCs w:val="18"/>
          <w:color w:val="auto"/>
        </w:rPr>
        <w:t xml:space="preserve"> Rio Tinto Group (March 2023 to present)</w:t>
      </w:r>
    </w:p>
    <w:p>
      <w:pPr>
        <w:spacing w:after="0" w:line="31"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Smurfit Kappa Group Plc (October 2020 to present; Senior Independent Director as of 2022; member of the Audit and Sustainability Committees)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Previous public company directorships in last five years</w:t>
      </w:r>
      <w:r>
        <w:rPr>
          <w:rFonts w:ascii="Arial" w:cs="Arial" w:eastAsia="Arial" w:hAnsi="Arial"/>
          <w:sz w:val="18"/>
          <w:szCs w:val="18"/>
          <w:b w:val="1"/>
          <w:bCs w:val="1"/>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Kemira Oyj (March 2016 to March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board experience</w:t>
      </w:r>
      <w:r>
        <w:rPr>
          <w:rFonts w:ascii="Arial" w:cs="Arial" w:eastAsia="Arial" w:hAnsi="Arial"/>
          <w:sz w:val="18"/>
          <w:szCs w:val="18"/>
          <w:b w:val="1"/>
          <w:bCs w:val="1"/>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Chair of Tracegrow Oy (2019 to present)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Sustainability and academic affiliations</w:t>
      </w:r>
      <w:r>
        <w:rPr>
          <w:rFonts w:ascii="Arial" w:cs="Arial" w:eastAsia="Arial" w:hAnsi="Arial"/>
          <w:sz w:val="18"/>
          <w:szCs w:val="18"/>
          <w:b w:val="1"/>
          <w:bCs w:val="1"/>
          <w:color w:val="auto"/>
        </w:rPr>
        <w:t>:</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New Sustainability Oy (partner); Supervisory Board of Oulu University (member); Susformation Oy (Founder); and Sustainability Hub Advisory Board of Aalto University (former member)</w:t>
      </w:r>
    </w:p>
    <w:p>
      <w:pPr>
        <w:spacing w:after="0" w:line="200" w:lineRule="exact"/>
        <w:rPr>
          <w:sz w:val="20"/>
          <w:szCs w:val="20"/>
          <w:color w:val="auto"/>
        </w:rPr>
      </w:pPr>
    </w:p>
    <w:p>
      <w:pPr>
        <w:sectPr>
          <w:pgSz w:w="11900" w:h="16838" w:orient="portrait"/>
          <w:cols w:equalWidth="0" w:num="2">
            <w:col w:w="3880" w:space="160"/>
            <w:col w:w="6420"/>
          </w:cols>
          <w:pgMar w:left="320" w:top="482" w:right="1119" w:bottom="1440" w:gutter="0" w:footer="0" w:header="0"/>
          <w:type w:val="continuous"/>
        </w:sectPr>
      </w:pPr>
    </w:p>
    <w:p>
      <w:pPr>
        <w:spacing w:after="0" w:line="48"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6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460"/>
          </w:cols>
          <w:pgMar w:left="320" w:top="482" w:right="111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208280</wp:posOffset>
            </wp:positionV>
            <wp:extent cx="6189345" cy="60604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189345" cy="6060440"/>
                    </a:xfrm>
                    <a:prstGeom prst="rect">
                      <a:avLst/>
                    </a:prstGeom>
                    <a:noFill/>
                  </pic:spPr>
                </pic:pic>
              </a:graphicData>
            </a:graphic>
          </wp:anchor>
        </w:drawing>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2B4C9B"/>
        </w:rPr>
        <w:t>Joseph L. Hooley</w:t>
      </w:r>
    </w:p>
    <w:p>
      <w:pPr>
        <w:spacing w:after="0" w:line="45" w:lineRule="exact"/>
        <w:rPr>
          <w:sz w:val="20"/>
          <w:szCs w:val="20"/>
          <w:color w:val="auto"/>
        </w:rPr>
      </w:pPr>
    </w:p>
    <w:tbl>
      <w:tblPr>
        <w:tblLayout w:type="fixed"/>
        <w:tblInd w:w="760" w:type="dxa"/>
        <w:tblCellMar>
          <w:top w:w="0" w:type="dxa"/>
          <w:left w:w="0" w:type="dxa"/>
          <w:bottom w:w="0" w:type="dxa"/>
          <w:right w:w="0" w:type="dxa"/>
        </w:tblCellMar>
      </w:tblPr>
      <w:tr>
        <w:trPr>
          <w:trHeight w:val="346"/>
        </w:trPr>
        <w:tc>
          <w:tcPr>
            <w:tcW w:w="380" w:type="dxa"/>
            <w:vAlign w:val="bottom"/>
            <w:tcBorders>
              <w:top w:val="single" w:sz="8" w:color="2B4C9B"/>
            </w:tcBorders>
          </w:tcPr>
          <w:p>
            <w:pPr>
              <w:spacing w:after="0"/>
              <w:rPr>
                <w:sz w:val="24"/>
                <w:szCs w:val="24"/>
                <w:color w:val="auto"/>
              </w:rPr>
            </w:pPr>
          </w:p>
        </w:tc>
        <w:tc>
          <w:tcPr>
            <w:tcW w:w="2800" w:type="dxa"/>
            <w:vAlign w:val="bottom"/>
            <w:tcBorders>
              <w:top w:val="single" w:sz="8" w:color="2B4C9B"/>
              <w:right w:val="single" w:sz="8" w:color="2B4C9B"/>
            </w:tcBorders>
          </w:tcPr>
          <w:p>
            <w:pPr>
              <w:spacing w:after="0"/>
              <w:rPr>
                <w:sz w:val="24"/>
                <w:szCs w:val="24"/>
                <w:color w:val="auto"/>
              </w:rPr>
            </w:pPr>
          </w:p>
        </w:tc>
        <w:tc>
          <w:tcPr>
            <w:tcW w:w="100" w:type="dxa"/>
            <w:vAlign w:val="bottom"/>
            <w:tcBorders>
              <w:top w:val="single" w:sz="8" w:color="2B4C9B"/>
            </w:tcBorders>
          </w:tcPr>
          <w:p>
            <w:pPr>
              <w:spacing w:after="0"/>
              <w:rPr>
                <w:sz w:val="24"/>
                <w:szCs w:val="24"/>
                <w:color w:val="auto"/>
              </w:rPr>
            </w:pPr>
          </w:p>
        </w:tc>
        <w:tc>
          <w:tcPr>
            <w:tcW w:w="6460" w:type="dxa"/>
            <w:vAlign w:val="bottom"/>
            <w:tcBorders>
              <w:top w:val="single" w:sz="8" w:color="2B4C9B"/>
            </w:tcBorders>
            <w:gridSpan w:val="6"/>
          </w:tcPr>
          <w:p>
            <w:pPr>
              <w:spacing w:after="0"/>
              <w:rPr>
                <w:sz w:val="20"/>
                <w:szCs w:val="20"/>
                <w:color w:val="auto"/>
              </w:rPr>
            </w:pPr>
            <w:r>
              <w:rPr>
                <w:rFonts w:ascii="Arial" w:cs="Arial" w:eastAsia="Arial" w:hAnsi="Arial"/>
                <w:sz w:val="18"/>
                <w:szCs w:val="18"/>
                <w:b w:val="1"/>
                <w:bCs w:val="1"/>
                <w:color w:val="auto"/>
              </w:rPr>
              <w:t>Expertise provided to the Board:</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800" w:type="dxa"/>
            <w:vAlign w:val="bottom"/>
            <w:tcBorders>
              <w:right w:val="single" w:sz="8" w:color="2B4C9B"/>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380" w:type="dxa"/>
            <w:vAlign w:val="bottom"/>
          </w:tcPr>
          <w:p>
            <w:pPr>
              <w:spacing w:after="0"/>
              <w:rPr>
                <w:sz w:val="24"/>
                <w:szCs w:val="24"/>
                <w:color w:val="auto"/>
              </w:rPr>
            </w:pPr>
          </w:p>
        </w:tc>
        <w:tc>
          <w:tcPr>
            <w:tcW w:w="2800" w:type="dxa"/>
            <w:vAlign w:val="bottom"/>
            <w:tcBorders>
              <w:right w:val="single" w:sz="8" w:color="2B4C9B"/>
            </w:tcBorders>
          </w:tcPr>
          <w:p>
            <w:pPr>
              <w:spacing w:after="0"/>
              <w:rPr>
                <w:sz w:val="24"/>
                <w:szCs w:val="24"/>
                <w:color w:val="auto"/>
              </w:rPr>
            </w:pPr>
          </w:p>
        </w:tc>
        <w:tc>
          <w:tcPr>
            <w:tcW w:w="100" w:type="dxa"/>
            <w:vAlign w:val="bottom"/>
          </w:tcPr>
          <w:p>
            <w:pPr>
              <w:spacing w:after="0"/>
              <w:rPr>
                <w:sz w:val="24"/>
                <w:szCs w:val="24"/>
                <w:color w:val="auto"/>
              </w:rPr>
            </w:pPr>
          </w:p>
        </w:tc>
        <w:tc>
          <w:tcPr>
            <w:tcW w:w="6460" w:type="dxa"/>
            <w:vAlign w:val="bottom"/>
            <w:gridSpan w:val="6"/>
          </w:tcPr>
          <w:p>
            <w:pPr>
              <w:spacing w:after="0"/>
              <w:rPr>
                <w:sz w:val="20"/>
                <w:szCs w:val="20"/>
                <w:color w:val="auto"/>
              </w:rPr>
            </w:pPr>
            <w:r>
              <w:rPr>
                <w:rFonts w:ascii="Arial" w:cs="Arial" w:eastAsia="Arial" w:hAnsi="Arial"/>
                <w:sz w:val="18"/>
                <w:szCs w:val="18"/>
                <w:color w:val="auto"/>
              </w:rPr>
              <w:t>Mr. Hooley has extensive experience with institutional investors having overseen</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800" w:type="dxa"/>
            <w:vAlign w:val="bottom"/>
            <w:tcBorders>
              <w:right w:val="single" w:sz="8" w:color="2B4C9B"/>
            </w:tcBorders>
          </w:tcPr>
          <w:p>
            <w:pPr>
              <w:spacing w:after="0"/>
              <w:rPr>
                <w:sz w:val="17"/>
                <w:szCs w:val="17"/>
                <w:color w:val="auto"/>
              </w:rPr>
            </w:pPr>
          </w:p>
        </w:tc>
        <w:tc>
          <w:tcPr>
            <w:tcW w:w="100" w:type="dxa"/>
            <w:vAlign w:val="bottom"/>
          </w:tcPr>
          <w:p>
            <w:pPr>
              <w:spacing w:after="0"/>
              <w:rPr>
                <w:sz w:val="17"/>
                <w:szCs w:val="17"/>
                <w:color w:val="auto"/>
              </w:rPr>
            </w:pPr>
          </w:p>
        </w:tc>
        <w:tc>
          <w:tcPr>
            <w:tcW w:w="6460" w:type="dxa"/>
            <w:vAlign w:val="bottom"/>
            <w:gridSpan w:val="6"/>
          </w:tcPr>
          <w:p>
            <w:pPr>
              <w:spacing w:after="0" w:line="202" w:lineRule="exact"/>
              <w:rPr>
                <w:sz w:val="20"/>
                <w:szCs w:val="20"/>
                <w:color w:val="auto"/>
              </w:rPr>
            </w:pPr>
            <w:r>
              <w:rPr>
                <w:rFonts w:ascii="Arial" w:cs="Arial" w:eastAsia="Arial" w:hAnsi="Arial"/>
                <w:sz w:val="18"/>
                <w:szCs w:val="18"/>
                <w:color w:val="auto"/>
              </w:rPr>
              <w:t>the servicing of over $35 trillion of assets as well as the stewardship of over $4</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800" w:type="dxa"/>
            <w:vAlign w:val="bottom"/>
            <w:tcBorders>
              <w:right w:val="single" w:sz="8" w:color="2B4C9B"/>
            </w:tcBorders>
          </w:tcPr>
          <w:p>
            <w:pPr>
              <w:spacing w:after="0"/>
              <w:rPr>
                <w:sz w:val="17"/>
                <w:szCs w:val="17"/>
                <w:color w:val="auto"/>
              </w:rPr>
            </w:pPr>
          </w:p>
        </w:tc>
        <w:tc>
          <w:tcPr>
            <w:tcW w:w="100" w:type="dxa"/>
            <w:vAlign w:val="bottom"/>
          </w:tcPr>
          <w:p>
            <w:pPr>
              <w:spacing w:after="0"/>
              <w:rPr>
                <w:sz w:val="17"/>
                <w:szCs w:val="17"/>
                <w:color w:val="auto"/>
              </w:rPr>
            </w:pPr>
          </w:p>
        </w:tc>
        <w:tc>
          <w:tcPr>
            <w:tcW w:w="6460" w:type="dxa"/>
            <w:vAlign w:val="bottom"/>
            <w:gridSpan w:val="6"/>
          </w:tcPr>
          <w:p>
            <w:pPr>
              <w:spacing w:after="0" w:line="202" w:lineRule="exact"/>
              <w:rPr>
                <w:sz w:val="20"/>
                <w:szCs w:val="20"/>
                <w:color w:val="auto"/>
              </w:rPr>
            </w:pPr>
            <w:r>
              <w:rPr>
                <w:rFonts w:ascii="Arial" w:cs="Arial" w:eastAsia="Arial" w:hAnsi="Arial"/>
                <w:sz w:val="18"/>
                <w:szCs w:val="18"/>
                <w:color w:val="auto"/>
              </w:rPr>
              <w:t>trillion in capital as Chair and CEO at State Street. Mr. Hooley successfully</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800" w:type="dxa"/>
            <w:vAlign w:val="bottom"/>
            <w:tcBorders>
              <w:right w:val="single" w:sz="8" w:color="2B4C9B"/>
            </w:tcBorders>
          </w:tcPr>
          <w:p>
            <w:pPr>
              <w:spacing w:after="0"/>
              <w:rPr>
                <w:sz w:val="17"/>
                <w:szCs w:val="17"/>
                <w:color w:val="auto"/>
              </w:rPr>
            </w:pPr>
          </w:p>
        </w:tc>
        <w:tc>
          <w:tcPr>
            <w:tcW w:w="100" w:type="dxa"/>
            <w:vAlign w:val="bottom"/>
          </w:tcPr>
          <w:p>
            <w:pPr>
              <w:spacing w:after="0"/>
              <w:rPr>
                <w:sz w:val="17"/>
                <w:szCs w:val="17"/>
                <w:color w:val="auto"/>
              </w:rPr>
            </w:pPr>
          </w:p>
        </w:tc>
        <w:tc>
          <w:tcPr>
            <w:tcW w:w="6460" w:type="dxa"/>
            <w:vAlign w:val="bottom"/>
            <w:gridSpan w:val="6"/>
          </w:tcPr>
          <w:p>
            <w:pPr>
              <w:spacing w:after="0" w:line="202" w:lineRule="exact"/>
              <w:rPr>
                <w:sz w:val="20"/>
                <w:szCs w:val="20"/>
                <w:color w:val="auto"/>
              </w:rPr>
            </w:pPr>
            <w:r>
              <w:rPr>
                <w:rFonts w:ascii="Arial" w:cs="Arial" w:eastAsia="Arial" w:hAnsi="Arial"/>
                <w:sz w:val="18"/>
                <w:szCs w:val="18"/>
                <w:color w:val="auto"/>
              </w:rPr>
              <w:t>transformed State Street in multiple ways, including driving a technological</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800" w:type="dxa"/>
            <w:vAlign w:val="bottom"/>
            <w:tcBorders>
              <w:right w:val="single" w:sz="8" w:color="2B4C9B"/>
            </w:tcBorders>
          </w:tcPr>
          <w:p>
            <w:pPr>
              <w:spacing w:after="0"/>
              <w:rPr>
                <w:sz w:val="17"/>
                <w:szCs w:val="17"/>
                <w:color w:val="auto"/>
              </w:rPr>
            </w:pPr>
          </w:p>
        </w:tc>
        <w:tc>
          <w:tcPr>
            <w:tcW w:w="100" w:type="dxa"/>
            <w:vAlign w:val="bottom"/>
          </w:tcPr>
          <w:p>
            <w:pPr>
              <w:spacing w:after="0"/>
              <w:rPr>
                <w:sz w:val="17"/>
                <w:szCs w:val="17"/>
                <w:color w:val="auto"/>
              </w:rPr>
            </w:pPr>
          </w:p>
        </w:tc>
        <w:tc>
          <w:tcPr>
            <w:tcW w:w="6460" w:type="dxa"/>
            <w:vAlign w:val="bottom"/>
            <w:gridSpan w:val="6"/>
          </w:tcPr>
          <w:p>
            <w:pPr>
              <w:spacing w:after="0" w:line="202" w:lineRule="exact"/>
              <w:rPr>
                <w:sz w:val="20"/>
                <w:szCs w:val="20"/>
                <w:color w:val="auto"/>
              </w:rPr>
            </w:pPr>
            <w:r>
              <w:rPr>
                <w:rFonts w:ascii="Arial" w:cs="Arial" w:eastAsia="Arial" w:hAnsi="Arial"/>
                <w:sz w:val="18"/>
                <w:szCs w:val="18"/>
                <w:color w:val="auto"/>
              </w:rPr>
              <w:t>transformation, globalization of the business and investment portfolio, and</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800" w:type="dxa"/>
            <w:vAlign w:val="bottom"/>
            <w:tcBorders>
              <w:right w:val="single" w:sz="8" w:color="2B4C9B"/>
            </w:tcBorders>
          </w:tcPr>
          <w:p>
            <w:pPr>
              <w:spacing w:after="0"/>
              <w:rPr>
                <w:sz w:val="17"/>
                <w:szCs w:val="17"/>
                <w:color w:val="auto"/>
              </w:rPr>
            </w:pPr>
          </w:p>
        </w:tc>
        <w:tc>
          <w:tcPr>
            <w:tcW w:w="100" w:type="dxa"/>
            <w:vAlign w:val="bottom"/>
          </w:tcPr>
          <w:p>
            <w:pPr>
              <w:spacing w:after="0"/>
              <w:rPr>
                <w:sz w:val="17"/>
                <w:szCs w:val="17"/>
                <w:color w:val="auto"/>
              </w:rPr>
            </w:pPr>
          </w:p>
        </w:tc>
        <w:tc>
          <w:tcPr>
            <w:tcW w:w="6460" w:type="dxa"/>
            <w:vAlign w:val="bottom"/>
            <w:gridSpan w:val="6"/>
          </w:tcPr>
          <w:p>
            <w:pPr>
              <w:spacing w:after="0" w:line="202" w:lineRule="exact"/>
              <w:rPr>
                <w:sz w:val="20"/>
                <w:szCs w:val="20"/>
                <w:color w:val="auto"/>
              </w:rPr>
            </w:pPr>
            <w:r>
              <w:rPr>
                <w:rFonts w:ascii="Arial" w:cs="Arial" w:eastAsia="Arial" w:hAnsi="Arial"/>
                <w:sz w:val="18"/>
                <w:szCs w:val="18"/>
                <w:color w:val="auto"/>
              </w:rPr>
              <w:t>navigating the post-financial crisis of 2008. Mr. Hooley’s unique background</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800" w:type="dxa"/>
            <w:vAlign w:val="bottom"/>
            <w:tcBorders>
              <w:right w:val="single" w:sz="8" w:color="2B4C9B"/>
            </w:tcBorders>
          </w:tcPr>
          <w:p>
            <w:pPr>
              <w:spacing w:after="0"/>
              <w:rPr>
                <w:sz w:val="17"/>
                <w:szCs w:val="17"/>
                <w:color w:val="auto"/>
              </w:rPr>
            </w:pPr>
          </w:p>
        </w:tc>
        <w:tc>
          <w:tcPr>
            <w:tcW w:w="100" w:type="dxa"/>
            <w:vAlign w:val="bottom"/>
          </w:tcPr>
          <w:p>
            <w:pPr>
              <w:spacing w:after="0"/>
              <w:rPr>
                <w:sz w:val="17"/>
                <w:szCs w:val="17"/>
                <w:color w:val="auto"/>
              </w:rPr>
            </w:pPr>
          </w:p>
        </w:tc>
        <w:tc>
          <w:tcPr>
            <w:tcW w:w="6460" w:type="dxa"/>
            <w:vAlign w:val="bottom"/>
            <w:gridSpan w:val="6"/>
          </w:tcPr>
          <w:p>
            <w:pPr>
              <w:spacing w:after="0" w:line="202" w:lineRule="exact"/>
              <w:rPr>
                <w:sz w:val="20"/>
                <w:szCs w:val="20"/>
                <w:color w:val="auto"/>
              </w:rPr>
            </w:pPr>
            <w:r>
              <w:rPr>
                <w:rFonts w:ascii="Arial" w:cs="Arial" w:eastAsia="Arial" w:hAnsi="Arial"/>
                <w:sz w:val="18"/>
                <w:szCs w:val="18"/>
                <w:color w:val="auto"/>
              </w:rPr>
              <w:t>helps the Board better understand investors’ perspectives on risk and ensures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800" w:type="dxa"/>
            <w:vAlign w:val="bottom"/>
            <w:tcBorders>
              <w:right w:val="single" w:sz="8" w:color="2B4C9B"/>
            </w:tcBorders>
          </w:tcPr>
          <w:p>
            <w:pPr>
              <w:spacing w:after="0"/>
              <w:rPr>
                <w:sz w:val="17"/>
                <w:szCs w:val="17"/>
                <w:color w:val="auto"/>
              </w:rPr>
            </w:pPr>
          </w:p>
        </w:tc>
        <w:tc>
          <w:tcPr>
            <w:tcW w:w="100" w:type="dxa"/>
            <w:vAlign w:val="bottom"/>
          </w:tcPr>
          <w:p>
            <w:pPr>
              <w:spacing w:after="0"/>
              <w:rPr>
                <w:sz w:val="17"/>
                <w:szCs w:val="17"/>
                <w:color w:val="auto"/>
              </w:rPr>
            </w:pPr>
          </w:p>
        </w:tc>
        <w:tc>
          <w:tcPr>
            <w:tcW w:w="6460" w:type="dxa"/>
            <w:vAlign w:val="bottom"/>
            <w:gridSpan w:val="6"/>
          </w:tcPr>
          <w:p>
            <w:pPr>
              <w:spacing w:after="0" w:line="202" w:lineRule="exact"/>
              <w:rPr>
                <w:sz w:val="20"/>
                <w:szCs w:val="20"/>
                <w:color w:val="auto"/>
              </w:rPr>
            </w:pPr>
            <w:r>
              <w:rPr>
                <w:rFonts w:ascii="Arial" w:cs="Arial" w:eastAsia="Arial" w:hAnsi="Arial"/>
                <w:sz w:val="18"/>
                <w:szCs w:val="18"/>
                <w:color w:val="auto"/>
              </w:rPr>
              <w:t>those perspectives are incorporated into Board discussions with management on</w:t>
            </w:r>
          </w:p>
        </w:tc>
        <w:tc>
          <w:tcPr>
            <w:tcW w:w="0" w:type="dxa"/>
            <w:vAlign w:val="bottom"/>
          </w:tcPr>
          <w:p>
            <w:pPr>
              <w:spacing w:after="0"/>
              <w:rPr>
                <w:sz w:val="1"/>
                <w:szCs w:val="1"/>
                <w:color w:val="auto"/>
              </w:rPr>
            </w:pPr>
          </w:p>
        </w:tc>
      </w:tr>
      <w:tr>
        <w:trPr>
          <w:trHeight w:val="239"/>
        </w:trPr>
        <w:tc>
          <w:tcPr>
            <w:tcW w:w="380" w:type="dxa"/>
            <w:vAlign w:val="bottom"/>
          </w:tcPr>
          <w:p>
            <w:pPr>
              <w:spacing w:after="0"/>
              <w:rPr>
                <w:sz w:val="20"/>
                <w:szCs w:val="20"/>
                <w:color w:val="auto"/>
              </w:rPr>
            </w:pPr>
          </w:p>
        </w:tc>
        <w:tc>
          <w:tcPr>
            <w:tcW w:w="2800" w:type="dxa"/>
            <w:vAlign w:val="bottom"/>
            <w:tcBorders>
              <w:right w:val="single" w:sz="8" w:color="2B4C9B"/>
            </w:tcBorders>
          </w:tcPr>
          <w:p>
            <w:pPr>
              <w:spacing w:after="0"/>
              <w:rPr>
                <w:sz w:val="20"/>
                <w:szCs w:val="20"/>
                <w:color w:val="auto"/>
              </w:rPr>
            </w:pPr>
          </w:p>
        </w:tc>
        <w:tc>
          <w:tcPr>
            <w:tcW w:w="100" w:type="dxa"/>
            <w:vAlign w:val="bottom"/>
          </w:tcPr>
          <w:p>
            <w:pPr>
              <w:spacing w:after="0"/>
              <w:rPr>
                <w:sz w:val="20"/>
                <w:szCs w:val="20"/>
                <w:color w:val="auto"/>
              </w:rPr>
            </w:pPr>
          </w:p>
        </w:tc>
        <w:tc>
          <w:tcPr>
            <w:tcW w:w="6460" w:type="dxa"/>
            <w:vAlign w:val="bottom"/>
            <w:gridSpan w:val="6"/>
          </w:tcPr>
          <w:p>
            <w:pPr>
              <w:spacing w:after="0"/>
              <w:rPr>
                <w:sz w:val="20"/>
                <w:szCs w:val="20"/>
                <w:color w:val="auto"/>
              </w:rPr>
            </w:pPr>
            <w:r>
              <w:rPr>
                <w:rFonts w:ascii="Arial" w:cs="Arial" w:eastAsia="Arial" w:hAnsi="Arial"/>
                <w:sz w:val="18"/>
                <w:szCs w:val="18"/>
                <w:color w:val="auto"/>
              </w:rPr>
              <w:t>important strategic decisions.</w:t>
            </w:r>
          </w:p>
        </w:tc>
        <w:tc>
          <w:tcPr>
            <w:tcW w:w="0" w:type="dxa"/>
            <w:vAlign w:val="bottom"/>
          </w:tcPr>
          <w:p>
            <w:pPr>
              <w:spacing w:after="0"/>
              <w:rPr>
                <w:sz w:val="1"/>
                <w:szCs w:val="1"/>
                <w:color w:val="auto"/>
              </w:rPr>
            </w:pPr>
          </w:p>
        </w:tc>
      </w:tr>
      <w:tr>
        <w:trPr>
          <w:trHeight w:val="247"/>
        </w:trPr>
        <w:tc>
          <w:tcPr>
            <w:tcW w:w="3180" w:type="dxa"/>
            <w:vAlign w:val="bottom"/>
            <w:tcBorders>
              <w:right w:val="single" w:sz="8" w:color="2B4C9B"/>
            </w:tcBorders>
            <w:gridSpan w:val="2"/>
          </w:tcPr>
          <w:p>
            <w:pPr>
              <w:ind w:left="160"/>
              <w:spacing w:after="0"/>
              <w:rPr>
                <w:sz w:val="20"/>
                <w:szCs w:val="20"/>
                <w:color w:val="auto"/>
              </w:rPr>
            </w:pPr>
            <w:r>
              <w:rPr>
                <w:rFonts w:ascii="Arial" w:cs="Arial" w:eastAsia="Arial" w:hAnsi="Arial"/>
                <w:sz w:val="18"/>
                <w:szCs w:val="18"/>
                <w:color w:val="auto"/>
              </w:rPr>
              <w:t>Lead Independent director</w:t>
            </w:r>
          </w:p>
        </w:tc>
        <w:tc>
          <w:tcPr>
            <w:tcW w:w="100" w:type="dxa"/>
            <w:vAlign w:val="bottom"/>
          </w:tcPr>
          <w:p>
            <w:pPr>
              <w:spacing w:after="0"/>
              <w:rPr>
                <w:sz w:val="21"/>
                <w:szCs w:val="21"/>
                <w:color w:val="auto"/>
              </w:rPr>
            </w:pPr>
          </w:p>
        </w:tc>
        <w:tc>
          <w:tcPr>
            <w:tcW w:w="646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Qualifications:</w:t>
            </w:r>
          </w:p>
        </w:tc>
        <w:tc>
          <w:tcPr>
            <w:tcW w:w="0" w:type="dxa"/>
            <w:vAlign w:val="bottom"/>
          </w:tcPr>
          <w:p>
            <w:pPr>
              <w:spacing w:after="0"/>
              <w:rPr>
                <w:sz w:val="1"/>
                <w:szCs w:val="1"/>
                <w:color w:val="auto"/>
              </w:rPr>
            </w:pPr>
          </w:p>
        </w:tc>
      </w:tr>
      <w:tr>
        <w:trPr>
          <w:trHeight w:val="73"/>
        </w:trPr>
        <w:tc>
          <w:tcPr>
            <w:tcW w:w="3180" w:type="dxa"/>
            <w:vAlign w:val="bottom"/>
            <w:tcBorders>
              <w:right w:val="single" w:sz="8" w:color="2B4C9B"/>
            </w:tcBorders>
            <w:gridSpan w:val="2"/>
            <w:vMerge w:val="restart"/>
          </w:tcPr>
          <w:p>
            <w:pPr>
              <w:ind w:left="160"/>
              <w:spacing w:after="0" w:line="202" w:lineRule="exact"/>
              <w:rPr>
                <w:sz w:val="20"/>
                <w:szCs w:val="20"/>
                <w:color w:val="auto"/>
              </w:rPr>
            </w:pPr>
            <w:r>
              <w:rPr>
                <w:rFonts w:ascii="Arial" w:cs="Arial" w:eastAsia="Arial" w:hAnsi="Arial"/>
                <w:sz w:val="18"/>
                <w:szCs w:val="18"/>
                <w:color w:val="auto"/>
              </w:rPr>
              <w:t>Director since 2020</w:t>
            </w:r>
          </w:p>
        </w:tc>
        <w:tc>
          <w:tcPr>
            <w:tcW w:w="100" w:type="dxa"/>
            <w:vAlign w:val="bottom"/>
          </w:tcPr>
          <w:p>
            <w:pPr>
              <w:spacing w:after="0"/>
              <w:rPr>
                <w:sz w:val="6"/>
                <w:szCs w:val="6"/>
                <w:color w:val="auto"/>
              </w:rPr>
            </w:pPr>
          </w:p>
        </w:tc>
        <w:tc>
          <w:tcPr>
            <w:tcW w:w="646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3180" w:type="dxa"/>
            <w:vAlign w:val="bottom"/>
            <w:tcBorders>
              <w:right w:val="single" w:sz="8" w:color="2B4C9B"/>
            </w:tcBorders>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Borders>
              <w:top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3180" w:type="dxa"/>
            <w:vAlign w:val="bottom"/>
            <w:tcBorders>
              <w:right w:val="single" w:sz="8" w:color="2B4C9B"/>
            </w:tcBorders>
            <w:gridSpan w:val="2"/>
          </w:tcPr>
          <w:p>
            <w:pPr>
              <w:ind w:left="160"/>
              <w:spacing w:after="0"/>
              <w:rPr>
                <w:sz w:val="20"/>
                <w:szCs w:val="20"/>
                <w:color w:val="auto"/>
              </w:rPr>
            </w:pPr>
            <w:r>
              <w:rPr>
                <w:rFonts w:ascii="Arial" w:cs="Arial" w:eastAsia="Arial" w:hAnsi="Arial"/>
                <w:sz w:val="18"/>
                <w:szCs w:val="18"/>
                <w:color w:val="auto"/>
              </w:rPr>
              <w:t>Age 66</w:t>
            </w:r>
          </w:p>
        </w:tc>
        <w:tc>
          <w:tcPr>
            <w:tcW w:w="100" w:type="dxa"/>
            <w:vAlign w:val="bottom"/>
          </w:tcPr>
          <w:p>
            <w:pPr>
              <w:spacing w:after="0"/>
              <w:rPr>
                <w:sz w:val="20"/>
                <w:szCs w:val="20"/>
                <w:color w:val="auto"/>
              </w:rPr>
            </w:pPr>
          </w:p>
        </w:tc>
        <w:tc>
          <w:tcPr>
            <w:tcW w:w="6460" w:type="dxa"/>
            <w:vAlign w:val="bottom"/>
            <w:gridSpan w:val="6"/>
            <w:vMerge w:val="restart"/>
          </w:tcPr>
          <w:p>
            <w:pPr>
              <w:spacing w:after="0"/>
              <w:rPr>
                <w:sz w:val="20"/>
                <w:szCs w:val="20"/>
                <w:color w:val="auto"/>
              </w:rPr>
            </w:pPr>
            <w:r>
              <w:rPr>
                <w:rFonts w:ascii="Arial" w:cs="Arial" w:eastAsia="Arial" w:hAnsi="Arial"/>
                <w:sz w:val="18"/>
                <w:szCs w:val="18"/>
                <w:color w:val="auto"/>
              </w:rPr>
              <w:t>State Street</w:t>
            </w:r>
          </w:p>
        </w:tc>
        <w:tc>
          <w:tcPr>
            <w:tcW w:w="0" w:type="dxa"/>
            <w:vAlign w:val="bottom"/>
          </w:tcPr>
          <w:p>
            <w:pPr>
              <w:spacing w:after="0"/>
              <w:rPr>
                <w:sz w:val="1"/>
                <w:szCs w:val="1"/>
                <w:color w:val="auto"/>
              </w:rPr>
            </w:pPr>
          </w:p>
        </w:tc>
      </w:tr>
      <w:tr>
        <w:trPr>
          <w:trHeight w:val="122"/>
        </w:trPr>
        <w:tc>
          <w:tcPr>
            <w:tcW w:w="380" w:type="dxa"/>
            <w:vAlign w:val="bottom"/>
          </w:tcPr>
          <w:p>
            <w:pPr>
              <w:spacing w:after="0"/>
              <w:rPr>
                <w:sz w:val="10"/>
                <w:szCs w:val="10"/>
                <w:color w:val="auto"/>
              </w:rPr>
            </w:pPr>
          </w:p>
        </w:tc>
        <w:tc>
          <w:tcPr>
            <w:tcW w:w="2800" w:type="dxa"/>
            <w:vAlign w:val="bottom"/>
            <w:tcBorders>
              <w:right w:val="single" w:sz="8" w:color="2B4C9B"/>
            </w:tcBorders>
          </w:tcPr>
          <w:p>
            <w:pPr>
              <w:spacing w:after="0"/>
              <w:rPr>
                <w:sz w:val="10"/>
                <w:szCs w:val="10"/>
                <w:color w:val="auto"/>
              </w:rPr>
            </w:pPr>
          </w:p>
        </w:tc>
        <w:tc>
          <w:tcPr>
            <w:tcW w:w="100" w:type="dxa"/>
            <w:vAlign w:val="bottom"/>
          </w:tcPr>
          <w:p>
            <w:pPr>
              <w:spacing w:after="0"/>
              <w:rPr>
                <w:sz w:val="10"/>
                <w:szCs w:val="10"/>
                <w:color w:val="auto"/>
              </w:rPr>
            </w:pPr>
          </w:p>
        </w:tc>
        <w:tc>
          <w:tcPr>
            <w:tcW w:w="64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3180" w:type="dxa"/>
            <w:vAlign w:val="bottom"/>
            <w:tcBorders>
              <w:right w:val="single" w:sz="8" w:color="2B4C9B"/>
            </w:tcBorders>
            <w:gridSpan w:val="2"/>
          </w:tcPr>
          <w:p>
            <w:pPr>
              <w:ind w:left="160"/>
              <w:spacing w:after="0"/>
              <w:rPr>
                <w:sz w:val="20"/>
                <w:szCs w:val="20"/>
                <w:color w:val="auto"/>
              </w:rPr>
            </w:pPr>
            <w:r>
              <w:rPr>
                <w:rFonts w:ascii="Arial" w:cs="Arial" w:eastAsia="Arial" w:hAnsi="Arial"/>
                <w:sz w:val="18"/>
                <w:szCs w:val="18"/>
                <w:b w:val="1"/>
                <w:bCs w:val="1"/>
                <w:color w:val="auto"/>
              </w:rPr>
              <w:t>Committees:</w:t>
            </w:r>
          </w:p>
        </w:tc>
        <w:tc>
          <w:tcPr>
            <w:tcW w:w="100" w:type="dxa"/>
            <w:vAlign w:val="bottom"/>
          </w:tcPr>
          <w:p>
            <w:pPr>
              <w:spacing w:after="0"/>
              <w:rPr>
                <w:sz w:val="17"/>
                <w:szCs w:val="17"/>
                <w:color w:val="auto"/>
              </w:rPr>
            </w:pPr>
          </w:p>
        </w:tc>
        <w:tc>
          <w:tcPr>
            <w:tcW w:w="64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Chair (2011 to 2019)</w:t>
            </w:r>
          </w:p>
        </w:tc>
        <w:tc>
          <w:tcPr>
            <w:tcW w:w="0" w:type="dxa"/>
            <w:vAlign w:val="bottom"/>
          </w:tcPr>
          <w:p>
            <w:pPr>
              <w:spacing w:after="0"/>
              <w:rPr>
                <w:sz w:val="1"/>
                <w:szCs w:val="1"/>
                <w:color w:val="auto"/>
              </w:rPr>
            </w:pPr>
          </w:p>
        </w:tc>
      </w:tr>
      <w:tr>
        <w:trPr>
          <w:trHeight w:val="117"/>
        </w:trPr>
        <w:tc>
          <w:tcPr>
            <w:tcW w:w="3180" w:type="dxa"/>
            <w:vAlign w:val="bottom"/>
            <w:tcBorders>
              <w:right w:val="single" w:sz="8" w:color="2B4C9B"/>
            </w:tcBorders>
            <w:gridSpan w:val="2"/>
            <w:vMerge w:val="restart"/>
          </w:tcPr>
          <w:p>
            <w:pPr>
              <w:ind w:left="160"/>
              <w:spacing w:after="0" w:line="202" w:lineRule="exact"/>
              <w:rPr>
                <w:sz w:val="20"/>
                <w:szCs w:val="20"/>
                <w:color w:val="auto"/>
              </w:rPr>
            </w:pPr>
            <w:r>
              <w:rPr>
                <w:rFonts w:ascii="Arial" w:cs="Arial" w:eastAsia="Arial" w:hAnsi="Arial"/>
                <w:sz w:val="18"/>
                <w:szCs w:val="18"/>
                <w:color w:val="auto"/>
              </w:rPr>
              <w:t>Compensation; Executive;</w:t>
            </w:r>
          </w:p>
        </w:tc>
        <w:tc>
          <w:tcPr>
            <w:tcW w:w="100" w:type="dxa"/>
            <w:vAlign w:val="bottom"/>
          </w:tcPr>
          <w:p>
            <w:pPr>
              <w:spacing w:after="0"/>
              <w:rPr>
                <w:sz w:val="10"/>
                <w:szCs w:val="10"/>
                <w:color w:val="auto"/>
              </w:rPr>
            </w:pPr>
          </w:p>
        </w:tc>
        <w:tc>
          <w:tcPr>
            <w:tcW w:w="64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180" w:type="dxa"/>
            <w:vAlign w:val="bottom"/>
            <w:tcBorders>
              <w:right w:val="single" w:sz="8" w:color="2B4C9B"/>
            </w:tcBorders>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180" w:type="dxa"/>
            <w:vAlign w:val="bottom"/>
            <w:tcBorders>
              <w:right w:val="single" w:sz="8" w:color="2B4C9B"/>
            </w:tcBorders>
            <w:gridSpan w:val="2"/>
          </w:tcPr>
          <w:p>
            <w:pPr>
              <w:ind w:left="160"/>
              <w:spacing w:after="0" w:line="202" w:lineRule="exact"/>
              <w:rPr>
                <w:sz w:val="20"/>
                <w:szCs w:val="20"/>
                <w:color w:val="auto"/>
              </w:rPr>
            </w:pPr>
            <w:r>
              <w:rPr>
                <w:rFonts w:ascii="Arial" w:cs="Arial" w:eastAsia="Arial" w:hAnsi="Arial"/>
                <w:sz w:val="18"/>
                <w:szCs w:val="18"/>
                <w:color w:val="auto"/>
              </w:rPr>
              <w:t>Nominating and Governance</w:t>
            </w:r>
          </w:p>
        </w:tc>
        <w:tc>
          <w:tcPr>
            <w:tcW w:w="100" w:type="dxa"/>
            <w:vAlign w:val="bottom"/>
          </w:tcPr>
          <w:p>
            <w:pPr>
              <w:spacing w:after="0"/>
              <w:rPr>
                <w:sz w:val="17"/>
                <w:szCs w:val="17"/>
                <w:color w:val="auto"/>
              </w:rPr>
            </w:pPr>
          </w:p>
        </w:tc>
        <w:tc>
          <w:tcPr>
            <w:tcW w:w="6460" w:type="dxa"/>
            <w:vAlign w:val="bottom"/>
            <w:gridSpan w:val="6"/>
          </w:tcPr>
          <w:p>
            <w:pPr>
              <w:spacing w:after="0" w:line="202" w:lineRule="exact"/>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CEO (2010 to 2018)</w:t>
            </w:r>
          </w:p>
        </w:tc>
        <w:tc>
          <w:tcPr>
            <w:tcW w:w="0" w:type="dxa"/>
            <w:vAlign w:val="bottom"/>
          </w:tcPr>
          <w:p>
            <w:pPr>
              <w:spacing w:after="0"/>
              <w:rPr>
                <w:sz w:val="1"/>
                <w:szCs w:val="1"/>
                <w:color w:val="auto"/>
              </w:rPr>
            </w:pPr>
          </w:p>
        </w:tc>
      </w:tr>
      <w:tr>
        <w:trPr>
          <w:trHeight w:val="239"/>
        </w:trPr>
        <w:tc>
          <w:tcPr>
            <w:tcW w:w="3180" w:type="dxa"/>
            <w:vAlign w:val="bottom"/>
            <w:tcBorders>
              <w:right w:val="single" w:sz="8" w:color="2B4C9B"/>
            </w:tcBorders>
            <w:gridSpan w:val="2"/>
          </w:tcPr>
          <w:p>
            <w:pPr>
              <w:ind w:left="160"/>
              <w:spacing w:after="0"/>
              <w:rPr>
                <w:sz w:val="20"/>
                <w:szCs w:val="20"/>
                <w:color w:val="auto"/>
              </w:rPr>
            </w:pPr>
            <w:r>
              <w:rPr>
                <w:rFonts w:ascii="Arial" w:cs="Arial" w:eastAsia="Arial" w:hAnsi="Arial"/>
                <w:sz w:val="18"/>
                <w:szCs w:val="18"/>
                <w:color w:val="auto"/>
              </w:rPr>
              <w:t>(Chair)</w:t>
            </w:r>
          </w:p>
        </w:tc>
        <w:tc>
          <w:tcPr>
            <w:tcW w:w="100" w:type="dxa"/>
            <w:vAlign w:val="bottom"/>
          </w:tcPr>
          <w:p>
            <w:pPr>
              <w:spacing w:after="0"/>
              <w:rPr>
                <w:sz w:val="20"/>
                <w:szCs w:val="20"/>
                <w:color w:val="auto"/>
              </w:rPr>
            </w:pPr>
          </w:p>
        </w:tc>
        <w:tc>
          <w:tcPr>
            <w:tcW w:w="64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President &amp; COO (2008 to 2014)</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800" w:type="dxa"/>
            <w:vAlign w:val="bottom"/>
            <w:tcBorders>
              <w:right w:val="single" w:sz="8" w:color="2B4C9B"/>
            </w:tcBorders>
          </w:tcPr>
          <w:p>
            <w:pPr>
              <w:spacing w:after="0"/>
              <w:rPr>
                <w:sz w:val="12"/>
                <w:szCs w:val="12"/>
                <w:color w:val="auto"/>
              </w:rPr>
            </w:pPr>
          </w:p>
        </w:tc>
        <w:tc>
          <w:tcPr>
            <w:tcW w:w="100" w:type="dxa"/>
            <w:vAlign w:val="bottom"/>
          </w:tcPr>
          <w:p>
            <w:pPr>
              <w:spacing w:after="0"/>
              <w:rPr>
                <w:sz w:val="12"/>
                <w:szCs w:val="12"/>
                <w:color w:val="auto"/>
              </w:rPr>
            </w:pPr>
          </w:p>
        </w:tc>
        <w:tc>
          <w:tcPr>
            <w:tcW w:w="646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15"/>
        </w:trPr>
        <w:tc>
          <w:tcPr>
            <w:tcW w:w="380" w:type="dxa"/>
            <w:vAlign w:val="bottom"/>
          </w:tcPr>
          <w:p>
            <w:pPr>
              <w:spacing w:after="0"/>
              <w:rPr>
                <w:sz w:val="24"/>
                <w:szCs w:val="24"/>
                <w:color w:val="auto"/>
              </w:rPr>
            </w:pPr>
          </w:p>
        </w:tc>
        <w:tc>
          <w:tcPr>
            <w:tcW w:w="2800" w:type="dxa"/>
            <w:vAlign w:val="bottom"/>
            <w:tcBorders>
              <w:right w:val="single" w:sz="8" w:color="2B4C9B"/>
            </w:tcBorders>
          </w:tcPr>
          <w:p>
            <w:pPr>
              <w:spacing w:after="0"/>
              <w:rPr>
                <w:sz w:val="24"/>
                <w:szCs w:val="24"/>
                <w:color w:val="auto"/>
              </w:rPr>
            </w:pPr>
          </w:p>
        </w:tc>
        <w:tc>
          <w:tcPr>
            <w:tcW w:w="100" w:type="dxa"/>
            <w:vAlign w:val="bottom"/>
          </w:tcPr>
          <w:p>
            <w:pPr>
              <w:spacing w:after="0"/>
              <w:rPr>
                <w:sz w:val="24"/>
                <w:szCs w:val="24"/>
                <w:color w:val="auto"/>
              </w:rPr>
            </w:pPr>
          </w:p>
        </w:tc>
        <w:tc>
          <w:tcPr>
            <w:tcW w:w="6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Executive Vice President and Head of Investor Services Division (2002 to</w:t>
            </w:r>
          </w:p>
        </w:tc>
        <w:tc>
          <w:tcPr>
            <w:tcW w:w="0" w:type="dxa"/>
            <w:vAlign w:val="bottom"/>
          </w:tcPr>
          <w:p>
            <w:pPr>
              <w:spacing w:after="0"/>
              <w:rPr>
                <w:sz w:val="1"/>
                <w:szCs w:val="1"/>
                <w:color w:val="auto"/>
              </w:rPr>
            </w:pPr>
          </w:p>
        </w:tc>
      </w:tr>
      <w:tr>
        <w:trPr>
          <w:trHeight w:val="239"/>
        </w:trPr>
        <w:tc>
          <w:tcPr>
            <w:tcW w:w="3180" w:type="dxa"/>
            <w:vAlign w:val="bottom"/>
            <w:tcBorders>
              <w:right w:val="single" w:sz="8" w:color="2B4C9B"/>
            </w:tcBorders>
            <w:gridSpan w:val="2"/>
            <w:vMerge w:val="restart"/>
          </w:tcPr>
          <w:p>
            <w:pPr>
              <w:ind w:left="160"/>
              <w:spacing w:after="0"/>
              <w:rPr>
                <w:sz w:val="20"/>
                <w:szCs w:val="20"/>
                <w:color w:val="auto"/>
              </w:rPr>
            </w:pPr>
            <w:r>
              <w:rPr>
                <w:rFonts w:ascii="Arial" w:cs="Arial" w:eastAsia="Arial" w:hAnsi="Arial"/>
                <w:sz w:val="18"/>
                <w:szCs w:val="18"/>
                <w:b w:val="1"/>
                <w:bCs w:val="1"/>
                <w:color w:val="auto"/>
              </w:rPr>
              <w:t>Attributes and Skills:</w:t>
            </w:r>
          </w:p>
        </w:tc>
        <w:tc>
          <w:tcPr>
            <w:tcW w:w="1300" w:type="dxa"/>
            <w:vAlign w:val="bottom"/>
            <w:gridSpan w:val="2"/>
          </w:tcPr>
          <w:p>
            <w:pPr>
              <w:ind w:left="420"/>
              <w:spacing w:after="0"/>
              <w:rPr>
                <w:sz w:val="20"/>
                <w:szCs w:val="20"/>
                <w:color w:val="auto"/>
              </w:rPr>
            </w:pPr>
            <w:r>
              <w:rPr>
                <w:rFonts w:ascii="Arial" w:cs="Arial" w:eastAsia="Arial" w:hAnsi="Arial"/>
                <w:sz w:val="18"/>
                <w:szCs w:val="18"/>
                <w:color w:val="auto"/>
              </w:rPr>
              <w:t>2008)</w:t>
            </w:r>
          </w:p>
        </w:tc>
        <w:tc>
          <w:tcPr>
            <w:tcW w:w="8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3180" w:type="dxa"/>
            <w:vAlign w:val="bottom"/>
            <w:tcBorders>
              <w:right w:val="single" w:sz="8" w:color="2B4C9B"/>
            </w:tcBorders>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4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Vice Chairman and Global Business Experience Head of Investment</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2800" w:type="dxa"/>
            <w:vAlign w:val="bottom"/>
            <w:tcBorders>
              <w:right w:val="single" w:sz="8" w:color="2B4C9B"/>
            </w:tcBorders>
          </w:tcPr>
          <w:p>
            <w:pPr>
              <w:ind w:left="160"/>
              <w:spacing w:after="0"/>
              <w:rPr>
                <w:sz w:val="20"/>
                <w:szCs w:val="20"/>
                <w:color w:val="auto"/>
              </w:rPr>
            </w:pPr>
            <w:r>
              <w:rPr>
                <w:rFonts w:ascii="Arial" w:cs="Arial" w:eastAsia="Arial" w:hAnsi="Arial"/>
                <w:sz w:val="14"/>
                <w:szCs w:val="14"/>
                <w:color w:val="auto"/>
              </w:rPr>
              <w:t>Current / former CEO of large public</w:t>
            </w:r>
          </w:p>
        </w:tc>
        <w:tc>
          <w:tcPr>
            <w:tcW w:w="100" w:type="dxa"/>
            <w:vAlign w:val="bottom"/>
          </w:tcPr>
          <w:p>
            <w:pPr>
              <w:spacing w:after="0"/>
              <w:rPr>
                <w:sz w:val="14"/>
                <w:szCs w:val="14"/>
                <w:color w:val="auto"/>
              </w:rPr>
            </w:pPr>
          </w:p>
        </w:tc>
        <w:tc>
          <w:tcPr>
            <w:tcW w:w="646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380" w:type="dxa"/>
            <w:vAlign w:val="bottom"/>
          </w:tcPr>
          <w:p>
            <w:pPr>
              <w:spacing w:after="0"/>
              <w:rPr>
                <w:sz w:val="22"/>
                <w:szCs w:val="22"/>
                <w:color w:val="auto"/>
              </w:rPr>
            </w:pPr>
          </w:p>
        </w:tc>
        <w:tc>
          <w:tcPr>
            <w:tcW w:w="2800" w:type="dxa"/>
            <w:vAlign w:val="bottom"/>
            <w:tcBorders>
              <w:right w:val="single" w:sz="8" w:color="2B4C9B"/>
            </w:tcBorders>
          </w:tcPr>
          <w:p>
            <w:pPr>
              <w:ind w:left="160"/>
              <w:spacing w:after="0"/>
              <w:rPr>
                <w:sz w:val="20"/>
                <w:szCs w:val="20"/>
                <w:color w:val="auto"/>
              </w:rPr>
            </w:pPr>
            <w:r>
              <w:rPr>
                <w:rFonts w:ascii="Arial" w:cs="Arial" w:eastAsia="Arial" w:hAnsi="Arial"/>
                <w:sz w:val="14"/>
                <w:szCs w:val="14"/>
                <w:color w:val="auto"/>
              </w:rPr>
              <w:t>company</w:t>
            </w:r>
          </w:p>
        </w:tc>
        <w:tc>
          <w:tcPr>
            <w:tcW w:w="100" w:type="dxa"/>
            <w:vAlign w:val="bottom"/>
          </w:tcPr>
          <w:p>
            <w:pPr>
              <w:spacing w:after="0"/>
              <w:rPr>
                <w:sz w:val="22"/>
                <w:szCs w:val="22"/>
                <w:color w:val="auto"/>
              </w:rPr>
            </w:pPr>
          </w:p>
        </w:tc>
        <w:tc>
          <w:tcPr>
            <w:tcW w:w="6460" w:type="dxa"/>
            <w:vAlign w:val="bottom"/>
            <w:gridSpan w:val="6"/>
          </w:tcPr>
          <w:p>
            <w:pPr>
              <w:ind w:left="320"/>
              <w:spacing w:after="0"/>
              <w:rPr>
                <w:sz w:val="20"/>
                <w:szCs w:val="20"/>
                <w:color w:val="auto"/>
              </w:rPr>
            </w:pPr>
            <w:r>
              <w:rPr>
                <w:rFonts w:ascii="Arial" w:cs="Arial" w:eastAsia="Arial" w:hAnsi="Arial"/>
                <w:sz w:val="18"/>
                <w:szCs w:val="18"/>
                <w:color w:val="auto"/>
              </w:rPr>
              <w:t>Servicing and Investment Research and Trading (2006)</w:t>
            </w:r>
          </w:p>
        </w:tc>
        <w:tc>
          <w:tcPr>
            <w:tcW w:w="0" w:type="dxa"/>
            <w:vAlign w:val="bottom"/>
          </w:tcPr>
          <w:p>
            <w:pPr>
              <w:spacing w:after="0"/>
              <w:rPr>
                <w:sz w:val="1"/>
                <w:szCs w:val="1"/>
                <w:color w:val="auto"/>
              </w:rPr>
            </w:pPr>
          </w:p>
        </w:tc>
      </w:tr>
      <w:tr>
        <w:trPr>
          <w:trHeight w:val="176"/>
        </w:trPr>
        <w:tc>
          <w:tcPr>
            <w:tcW w:w="380" w:type="dxa"/>
            <w:vAlign w:val="bottom"/>
          </w:tcPr>
          <w:p>
            <w:pPr>
              <w:spacing w:after="0"/>
              <w:rPr>
                <w:sz w:val="15"/>
                <w:szCs w:val="15"/>
                <w:color w:val="auto"/>
              </w:rPr>
            </w:pPr>
          </w:p>
        </w:tc>
        <w:tc>
          <w:tcPr>
            <w:tcW w:w="2800" w:type="dxa"/>
            <w:vAlign w:val="bottom"/>
            <w:tcBorders>
              <w:right w:val="single" w:sz="8" w:color="2B4C9B"/>
            </w:tcBorders>
          </w:tcPr>
          <w:p>
            <w:pPr>
              <w:ind w:left="160"/>
              <w:spacing w:after="0"/>
              <w:rPr>
                <w:sz w:val="20"/>
                <w:szCs w:val="20"/>
                <w:color w:val="auto"/>
              </w:rPr>
            </w:pPr>
            <w:r>
              <w:rPr>
                <w:rFonts w:ascii="Arial" w:cs="Arial" w:eastAsia="Arial" w:hAnsi="Arial"/>
                <w:sz w:val="14"/>
                <w:szCs w:val="14"/>
                <w:color w:val="auto"/>
              </w:rPr>
              <w:t>Public company board governance</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80" w:type="dxa"/>
            <w:vAlign w:val="bottom"/>
          </w:tcPr>
          <w:p>
            <w:pPr>
              <w:spacing w:after="0"/>
              <w:rPr>
                <w:sz w:val="23"/>
                <w:szCs w:val="23"/>
                <w:color w:val="auto"/>
              </w:rPr>
            </w:pPr>
          </w:p>
        </w:tc>
        <w:tc>
          <w:tcPr>
            <w:tcW w:w="2800" w:type="dxa"/>
            <w:vAlign w:val="bottom"/>
            <w:tcBorders>
              <w:right w:val="single" w:sz="8" w:color="2B4C9B"/>
            </w:tcBorders>
          </w:tcPr>
          <w:p>
            <w:pPr>
              <w:ind w:left="160"/>
              <w:spacing w:after="0"/>
              <w:rPr>
                <w:sz w:val="20"/>
                <w:szCs w:val="20"/>
                <w:color w:val="auto"/>
              </w:rPr>
            </w:pPr>
            <w:r>
              <w:rPr>
                <w:rFonts w:ascii="Arial" w:cs="Arial" w:eastAsia="Arial" w:hAnsi="Arial"/>
                <w:sz w:val="14"/>
                <w:szCs w:val="14"/>
                <w:color w:val="auto"/>
              </w:rPr>
              <w:t>experience</w:t>
            </w:r>
          </w:p>
        </w:tc>
        <w:tc>
          <w:tcPr>
            <w:tcW w:w="100" w:type="dxa"/>
            <w:vAlign w:val="bottom"/>
          </w:tcPr>
          <w:p>
            <w:pPr>
              <w:spacing w:after="0"/>
              <w:rPr>
                <w:sz w:val="23"/>
                <w:szCs w:val="23"/>
                <w:color w:val="auto"/>
              </w:rPr>
            </w:pPr>
          </w:p>
        </w:tc>
        <w:tc>
          <w:tcPr>
            <w:tcW w:w="6460" w:type="dxa"/>
            <w:vAlign w:val="bottom"/>
            <w:gridSpan w:val="6"/>
          </w:tcPr>
          <w:p>
            <w:pPr>
              <w:spacing w:after="0"/>
              <w:rPr>
                <w:sz w:val="20"/>
                <w:szCs w:val="20"/>
                <w:color w:val="auto"/>
              </w:rPr>
            </w:pPr>
            <w:r>
              <w:rPr>
                <w:rFonts w:ascii="Arial" w:cs="Arial" w:eastAsia="Arial" w:hAnsi="Arial"/>
                <w:sz w:val="18"/>
                <w:szCs w:val="18"/>
                <w:color w:val="auto"/>
              </w:rPr>
              <w:t>Boston Financial Data Services</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2800" w:type="dxa"/>
            <w:vAlign w:val="bottom"/>
            <w:tcBorders>
              <w:right w:val="single" w:sz="8" w:color="2B4C9B"/>
            </w:tcBorders>
          </w:tcPr>
          <w:p>
            <w:pPr>
              <w:ind w:left="160"/>
              <w:spacing w:after="0"/>
              <w:rPr>
                <w:sz w:val="20"/>
                <w:szCs w:val="20"/>
                <w:color w:val="auto"/>
              </w:rPr>
            </w:pPr>
            <w:r>
              <w:rPr>
                <w:rFonts w:ascii="Arial" w:cs="Arial" w:eastAsia="Arial" w:hAnsi="Arial"/>
                <w:sz w:val="14"/>
                <w:szCs w:val="14"/>
                <w:color w:val="auto"/>
              </w:rPr>
              <w:t>Financial expertise and portfolio</w:t>
            </w:r>
          </w:p>
        </w:tc>
        <w:tc>
          <w:tcPr>
            <w:tcW w:w="100" w:type="dxa"/>
            <w:vAlign w:val="bottom"/>
          </w:tcPr>
          <w:p>
            <w:pPr>
              <w:spacing w:after="0"/>
              <w:rPr>
                <w:sz w:val="14"/>
                <w:szCs w:val="14"/>
                <w:color w:val="auto"/>
              </w:rPr>
            </w:pPr>
          </w:p>
        </w:tc>
        <w:tc>
          <w:tcPr>
            <w:tcW w:w="64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President &amp; CEO (1990 to 2000)</w:t>
            </w: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2800" w:type="dxa"/>
            <w:vAlign w:val="bottom"/>
            <w:tcBorders>
              <w:right w:val="single" w:sz="8" w:color="2B4C9B"/>
            </w:tcBorders>
          </w:tcPr>
          <w:p>
            <w:pPr>
              <w:ind w:left="160"/>
              <w:spacing w:after="0"/>
              <w:rPr>
                <w:sz w:val="20"/>
                <w:szCs w:val="20"/>
                <w:color w:val="auto"/>
              </w:rPr>
            </w:pPr>
            <w:r>
              <w:rPr>
                <w:rFonts w:ascii="Arial" w:cs="Arial" w:eastAsia="Arial" w:hAnsi="Arial"/>
                <w:sz w:val="14"/>
                <w:szCs w:val="14"/>
                <w:color w:val="auto"/>
              </w:rPr>
              <w:t>management</w:t>
            </w:r>
          </w:p>
        </w:tc>
        <w:tc>
          <w:tcPr>
            <w:tcW w:w="100" w:type="dxa"/>
            <w:vAlign w:val="bottom"/>
          </w:tcPr>
          <w:p>
            <w:pPr>
              <w:spacing w:after="0"/>
              <w:rPr>
                <w:sz w:val="16"/>
                <w:szCs w:val="16"/>
                <w:color w:val="auto"/>
              </w:rPr>
            </w:pPr>
          </w:p>
        </w:tc>
        <w:tc>
          <w:tcPr>
            <w:tcW w:w="646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80" w:type="dxa"/>
            <w:vAlign w:val="bottom"/>
          </w:tcPr>
          <w:p>
            <w:pPr>
              <w:spacing w:after="0"/>
              <w:rPr>
                <w:sz w:val="21"/>
                <w:szCs w:val="21"/>
                <w:color w:val="auto"/>
              </w:rPr>
            </w:pPr>
          </w:p>
        </w:tc>
        <w:tc>
          <w:tcPr>
            <w:tcW w:w="2800" w:type="dxa"/>
            <w:vAlign w:val="bottom"/>
            <w:tcBorders>
              <w:right w:val="single" w:sz="8" w:color="2B4C9B"/>
            </w:tcBorders>
          </w:tcPr>
          <w:p>
            <w:pPr>
              <w:ind w:left="160"/>
              <w:spacing w:after="0"/>
              <w:rPr>
                <w:sz w:val="20"/>
                <w:szCs w:val="20"/>
                <w:color w:val="auto"/>
              </w:rPr>
            </w:pPr>
            <w:r>
              <w:rPr>
                <w:rFonts w:ascii="Arial" w:cs="Arial" w:eastAsia="Arial" w:hAnsi="Arial"/>
                <w:sz w:val="14"/>
                <w:szCs w:val="14"/>
                <w:color w:val="auto"/>
              </w:rPr>
              <w:t>Risk management / investment</w:t>
            </w:r>
          </w:p>
        </w:tc>
        <w:tc>
          <w:tcPr>
            <w:tcW w:w="100" w:type="dxa"/>
            <w:vAlign w:val="bottom"/>
          </w:tcPr>
          <w:p>
            <w:pPr>
              <w:spacing w:after="0"/>
              <w:rPr>
                <w:sz w:val="21"/>
                <w:szCs w:val="21"/>
                <w:color w:val="auto"/>
              </w:rPr>
            </w:pPr>
          </w:p>
        </w:tc>
        <w:tc>
          <w:tcPr>
            <w:tcW w:w="6460" w:type="dxa"/>
            <w:vAlign w:val="bottom"/>
            <w:gridSpan w:val="6"/>
            <w:vMerge w:val="restart"/>
          </w:tcPr>
          <w:p>
            <w:pPr>
              <w:spacing w:after="0"/>
              <w:rPr>
                <w:sz w:val="20"/>
                <w:szCs w:val="20"/>
                <w:color w:val="auto"/>
              </w:rPr>
            </w:pPr>
            <w:r>
              <w:rPr>
                <w:rFonts w:ascii="Arial" w:cs="Arial" w:eastAsia="Arial" w:hAnsi="Arial"/>
                <w:sz w:val="18"/>
                <w:szCs w:val="18"/>
                <w:color w:val="auto"/>
              </w:rPr>
              <w:t>National Financial Data Services</w:t>
            </w: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2800" w:type="dxa"/>
            <w:vAlign w:val="bottom"/>
            <w:tcBorders>
              <w:right w:val="single" w:sz="8" w:color="2B4C9B"/>
            </w:tcBorders>
          </w:tcPr>
          <w:p>
            <w:pPr>
              <w:ind w:left="160"/>
              <w:spacing w:after="0"/>
              <w:rPr>
                <w:sz w:val="20"/>
                <w:szCs w:val="20"/>
                <w:color w:val="auto"/>
              </w:rPr>
            </w:pPr>
            <w:r>
              <w:rPr>
                <w:rFonts w:ascii="Arial" w:cs="Arial" w:eastAsia="Arial" w:hAnsi="Arial"/>
                <w:sz w:val="14"/>
                <w:szCs w:val="14"/>
                <w:color w:val="auto"/>
              </w:rPr>
              <w:t>stewardship experience</w:t>
            </w:r>
          </w:p>
        </w:tc>
        <w:tc>
          <w:tcPr>
            <w:tcW w:w="100" w:type="dxa"/>
            <w:vAlign w:val="bottom"/>
          </w:tcPr>
          <w:p>
            <w:pPr>
              <w:spacing w:after="0"/>
              <w:rPr>
                <w:sz w:val="16"/>
                <w:szCs w:val="16"/>
                <w:color w:val="auto"/>
              </w:rPr>
            </w:pPr>
          </w:p>
        </w:tc>
        <w:tc>
          <w:tcPr>
            <w:tcW w:w="646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380" w:type="dxa"/>
            <w:vAlign w:val="bottom"/>
          </w:tcPr>
          <w:p>
            <w:pPr>
              <w:spacing w:after="0"/>
              <w:rPr>
                <w:sz w:val="24"/>
                <w:szCs w:val="24"/>
                <w:color w:val="auto"/>
              </w:rPr>
            </w:pPr>
          </w:p>
        </w:tc>
        <w:tc>
          <w:tcPr>
            <w:tcW w:w="2800" w:type="dxa"/>
            <w:vAlign w:val="bottom"/>
            <w:tcBorders>
              <w:right w:val="single" w:sz="8" w:color="2B4C9B"/>
            </w:tcBorders>
          </w:tcPr>
          <w:p>
            <w:pPr>
              <w:ind w:left="160"/>
              <w:spacing w:after="0"/>
              <w:rPr>
                <w:sz w:val="20"/>
                <w:szCs w:val="20"/>
                <w:color w:val="auto"/>
              </w:rPr>
            </w:pPr>
            <w:r>
              <w:rPr>
                <w:rFonts w:ascii="Arial" w:cs="Arial" w:eastAsia="Arial" w:hAnsi="Arial"/>
                <w:sz w:val="14"/>
                <w:szCs w:val="14"/>
                <w:color w:val="auto"/>
              </w:rPr>
              <w:t>Global business experience</w:t>
            </w:r>
          </w:p>
        </w:tc>
        <w:tc>
          <w:tcPr>
            <w:tcW w:w="100" w:type="dxa"/>
            <w:vAlign w:val="bottom"/>
          </w:tcPr>
          <w:p>
            <w:pPr>
              <w:spacing w:after="0"/>
              <w:rPr>
                <w:sz w:val="24"/>
                <w:szCs w:val="24"/>
                <w:color w:val="auto"/>
              </w:rPr>
            </w:pPr>
          </w:p>
        </w:tc>
        <w:tc>
          <w:tcPr>
            <w:tcW w:w="6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President &amp; CEO (1988 to 1990)</w:t>
            </w:r>
          </w:p>
        </w:tc>
        <w:tc>
          <w:tcPr>
            <w:tcW w:w="0" w:type="dxa"/>
            <w:vAlign w:val="bottom"/>
          </w:tcPr>
          <w:p>
            <w:pPr>
              <w:spacing w:after="0"/>
              <w:rPr>
                <w:sz w:val="1"/>
                <w:szCs w:val="1"/>
                <w:color w:val="auto"/>
              </w:rPr>
            </w:pPr>
          </w:p>
        </w:tc>
      </w:tr>
      <w:tr>
        <w:trPr>
          <w:trHeight w:val="415"/>
        </w:trPr>
        <w:tc>
          <w:tcPr>
            <w:tcW w:w="380" w:type="dxa"/>
            <w:vAlign w:val="bottom"/>
          </w:tcPr>
          <w:p>
            <w:pPr>
              <w:spacing w:after="0"/>
              <w:rPr>
                <w:sz w:val="24"/>
                <w:szCs w:val="24"/>
                <w:color w:val="auto"/>
              </w:rPr>
            </w:pPr>
          </w:p>
        </w:tc>
        <w:tc>
          <w:tcPr>
            <w:tcW w:w="2800" w:type="dxa"/>
            <w:vAlign w:val="bottom"/>
            <w:tcBorders>
              <w:right w:val="single" w:sz="8" w:color="2B4C9B"/>
            </w:tcBorders>
          </w:tcPr>
          <w:p>
            <w:pPr>
              <w:spacing w:after="0"/>
              <w:rPr>
                <w:sz w:val="24"/>
                <w:szCs w:val="24"/>
                <w:color w:val="auto"/>
              </w:rPr>
            </w:pPr>
          </w:p>
        </w:tc>
        <w:tc>
          <w:tcPr>
            <w:tcW w:w="100" w:type="dxa"/>
            <w:vAlign w:val="bottom"/>
          </w:tcPr>
          <w:p>
            <w:pPr>
              <w:spacing w:after="0"/>
              <w:rPr>
                <w:sz w:val="24"/>
                <w:szCs w:val="24"/>
                <w:color w:val="auto"/>
              </w:rPr>
            </w:pPr>
          </w:p>
        </w:tc>
        <w:tc>
          <w:tcPr>
            <w:tcW w:w="6460" w:type="dxa"/>
            <w:vAlign w:val="bottom"/>
            <w:gridSpan w:val="6"/>
          </w:tcPr>
          <w:p>
            <w:pPr>
              <w:spacing w:after="0"/>
              <w:rPr>
                <w:sz w:val="20"/>
                <w:szCs w:val="20"/>
                <w:color w:val="auto"/>
              </w:rPr>
            </w:pPr>
            <w:r>
              <w:rPr>
                <w:rFonts w:ascii="Arial" w:cs="Arial" w:eastAsia="Arial" w:hAnsi="Arial"/>
                <w:sz w:val="18"/>
                <w:szCs w:val="18"/>
                <w:b w:val="1"/>
                <w:bCs w:val="1"/>
                <w:color w:val="auto"/>
              </w:rPr>
              <w:t>Current public company directorships:</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800" w:type="dxa"/>
            <w:vAlign w:val="bottom"/>
            <w:tcBorders>
              <w:right w:val="single" w:sz="8" w:color="2B4C9B"/>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2"/>
            <w:shd w:val="clear" w:color="auto" w:fill="000000"/>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380" w:type="dxa"/>
            <w:vAlign w:val="bottom"/>
          </w:tcPr>
          <w:p>
            <w:pPr>
              <w:spacing w:after="0"/>
              <w:rPr>
                <w:sz w:val="24"/>
                <w:szCs w:val="24"/>
                <w:color w:val="auto"/>
              </w:rPr>
            </w:pPr>
          </w:p>
        </w:tc>
        <w:tc>
          <w:tcPr>
            <w:tcW w:w="2800" w:type="dxa"/>
            <w:vAlign w:val="bottom"/>
            <w:tcBorders>
              <w:right w:val="single" w:sz="8" w:color="2B4C9B"/>
            </w:tcBorders>
          </w:tcPr>
          <w:p>
            <w:pPr>
              <w:spacing w:after="0"/>
              <w:rPr>
                <w:sz w:val="24"/>
                <w:szCs w:val="24"/>
                <w:color w:val="auto"/>
              </w:rPr>
            </w:pPr>
          </w:p>
        </w:tc>
        <w:tc>
          <w:tcPr>
            <w:tcW w:w="100" w:type="dxa"/>
            <w:vAlign w:val="bottom"/>
          </w:tcPr>
          <w:p>
            <w:pPr>
              <w:spacing w:after="0"/>
              <w:rPr>
                <w:sz w:val="24"/>
                <w:szCs w:val="24"/>
                <w:color w:val="auto"/>
              </w:rPr>
            </w:pPr>
          </w:p>
        </w:tc>
        <w:tc>
          <w:tcPr>
            <w:tcW w:w="6460" w:type="dxa"/>
            <w:vAlign w:val="bottom"/>
            <w:gridSpan w:val="6"/>
          </w:tcPr>
          <w:p>
            <w:pPr>
              <w:spacing w:after="0"/>
              <w:rPr>
                <w:sz w:val="20"/>
                <w:szCs w:val="20"/>
                <w:color w:val="auto"/>
              </w:rPr>
            </w:pPr>
            <w:r>
              <w:rPr>
                <w:rFonts w:ascii="Arial" w:cs="Arial" w:eastAsia="Arial" w:hAnsi="Arial"/>
                <w:sz w:val="18"/>
                <w:szCs w:val="18"/>
                <w:color w:val="auto"/>
              </w:rPr>
              <w:t>Aptiv PLC (January 2020 to present; Chair of the Compensation and Human</w:t>
            </w:r>
          </w:p>
        </w:tc>
        <w:tc>
          <w:tcPr>
            <w:tcW w:w="0" w:type="dxa"/>
            <w:vAlign w:val="bottom"/>
          </w:tcPr>
          <w:p>
            <w:pPr>
              <w:spacing w:after="0"/>
              <w:rPr>
                <w:sz w:val="1"/>
                <w:szCs w:val="1"/>
                <w:color w:val="auto"/>
              </w:rPr>
            </w:pPr>
          </w:p>
        </w:tc>
      </w:tr>
      <w:tr>
        <w:trPr>
          <w:trHeight w:val="239"/>
        </w:trPr>
        <w:tc>
          <w:tcPr>
            <w:tcW w:w="380" w:type="dxa"/>
            <w:vAlign w:val="bottom"/>
          </w:tcPr>
          <w:p>
            <w:pPr>
              <w:spacing w:after="0"/>
              <w:rPr>
                <w:sz w:val="20"/>
                <w:szCs w:val="20"/>
                <w:color w:val="auto"/>
              </w:rPr>
            </w:pPr>
          </w:p>
        </w:tc>
        <w:tc>
          <w:tcPr>
            <w:tcW w:w="2800" w:type="dxa"/>
            <w:vAlign w:val="bottom"/>
            <w:tcBorders>
              <w:right w:val="single" w:sz="8" w:color="2B4C9B"/>
            </w:tcBorders>
          </w:tcPr>
          <w:p>
            <w:pPr>
              <w:spacing w:after="0"/>
              <w:rPr>
                <w:sz w:val="20"/>
                <w:szCs w:val="20"/>
                <w:color w:val="auto"/>
              </w:rPr>
            </w:pPr>
          </w:p>
        </w:tc>
        <w:tc>
          <w:tcPr>
            <w:tcW w:w="100" w:type="dxa"/>
            <w:vAlign w:val="bottom"/>
          </w:tcPr>
          <w:p>
            <w:pPr>
              <w:spacing w:after="0"/>
              <w:rPr>
                <w:sz w:val="20"/>
                <w:szCs w:val="20"/>
                <w:color w:val="auto"/>
              </w:rPr>
            </w:pPr>
          </w:p>
        </w:tc>
        <w:tc>
          <w:tcPr>
            <w:tcW w:w="6460" w:type="dxa"/>
            <w:vAlign w:val="bottom"/>
            <w:gridSpan w:val="6"/>
          </w:tcPr>
          <w:p>
            <w:pPr>
              <w:spacing w:after="0"/>
              <w:rPr>
                <w:sz w:val="20"/>
                <w:szCs w:val="20"/>
                <w:color w:val="auto"/>
              </w:rPr>
            </w:pPr>
            <w:r>
              <w:rPr>
                <w:rFonts w:ascii="Arial" w:cs="Arial" w:eastAsia="Arial" w:hAnsi="Arial"/>
                <w:sz w:val="18"/>
                <w:szCs w:val="18"/>
                <w:color w:val="auto"/>
              </w:rPr>
              <w:t>Resources Committee; Audit Committee member)</w:t>
            </w:r>
          </w:p>
        </w:tc>
        <w:tc>
          <w:tcPr>
            <w:tcW w:w="0" w:type="dxa"/>
            <w:vAlign w:val="bottom"/>
          </w:tcPr>
          <w:p>
            <w:pPr>
              <w:spacing w:after="0"/>
              <w:rPr>
                <w:sz w:val="1"/>
                <w:szCs w:val="1"/>
                <w:color w:val="auto"/>
              </w:rPr>
            </w:pPr>
          </w:p>
        </w:tc>
      </w:tr>
      <w:tr>
        <w:trPr>
          <w:trHeight w:val="401"/>
        </w:trPr>
        <w:tc>
          <w:tcPr>
            <w:tcW w:w="380" w:type="dxa"/>
            <w:vAlign w:val="bottom"/>
          </w:tcPr>
          <w:p>
            <w:pPr>
              <w:spacing w:after="0"/>
              <w:rPr>
                <w:sz w:val="24"/>
                <w:szCs w:val="24"/>
                <w:color w:val="auto"/>
              </w:rPr>
            </w:pPr>
          </w:p>
        </w:tc>
        <w:tc>
          <w:tcPr>
            <w:tcW w:w="2800" w:type="dxa"/>
            <w:vAlign w:val="bottom"/>
            <w:tcBorders>
              <w:right w:val="single" w:sz="8" w:color="2B4C9B"/>
            </w:tcBorders>
          </w:tcPr>
          <w:p>
            <w:pPr>
              <w:spacing w:after="0"/>
              <w:rPr>
                <w:sz w:val="24"/>
                <w:szCs w:val="24"/>
                <w:color w:val="auto"/>
              </w:rPr>
            </w:pPr>
          </w:p>
        </w:tc>
        <w:tc>
          <w:tcPr>
            <w:tcW w:w="100" w:type="dxa"/>
            <w:vAlign w:val="bottom"/>
          </w:tcPr>
          <w:p>
            <w:pPr>
              <w:spacing w:after="0"/>
              <w:rPr>
                <w:sz w:val="24"/>
                <w:szCs w:val="24"/>
                <w:color w:val="auto"/>
              </w:rPr>
            </w:pPr>
          </w:p>
        </w:tc>
        <w:tc>
          <w:tcPr>
            <w:tcW w:w="6460" w:type="dxa"/>
            <w:vAlign w:val="bottom"/>
            <w:gridSpan w:val="6"/>
          </w:tcPr>
          <w:p>
            <w:pPr>
              <w:spacing w:after="0"/>
              <w:rPr>
                <w:sz w:val="20"/>
                <w:szCs w:val="20"/>
                <w:color w:val="auto"/>
              </w:rPr>
            </w:pPr>
            <w:r>
              <w:rPr>
                <w:rFonts w:ascii="Arial" w:cs="Arial" w:eastAsia="Arial" w:hAnsi="Arial"/>
                <w:sz w:val="18"/>
                <w:szCs w:val="18"/>
                <w:b w:val="1"/>
                <w:bCs w:val="1"/>
                <w:color w:val="auto"/>
              </w:rPr>
              <w:t>Previous public company directorships in last five years:</w:t>
            </w:r>
          </w:p>
        </w:tc>
        <w:tc>
          <w:tcPr>
            <w:tcW w:w="0" w:type="dxa"/>
            <w:vAlign w:val="bottom"/>
          </w:tcPr>
          <w:p>
            <w:pPr>
              <w:spacing w:after="0"/>
              <w:rPr>
                <w:sz w:val="1"/>
                <w:szCs w:val="1"/>
                <w:color w:val="auto"/>
              </w:rPr>
            </w:pPr>
          </w:p>
        </w:tc>
      </w:tr>
      <w:tr>
        <w:trPr>
          <w:trHeight w:val="348"/>
        </w:trPr>
        <w:tc>
          <w:tcPr>
            <w:tcW w:w="380" w:type="dxa"/>
            <w:vAlign w:val="bottom"/>
          </w:tcPr>
          <w:p>
            <w:pPr>
              <w:spacing w:after="0"/>
              <w:rPr>
                <w:sz w:val="24"/>
                <w:szCs w:val="24"/>
                <w:color w:val="auto"/>
              </w:rPr>
            </w:pPr>
          </w:p>
        </w:tc>
        <w:tc>
          <w:tcPr>
            <w:tcW w:w="2800" w:type="dxa"/>
            <w:vAlign w:val="bottom"/>
            <w:tcBorders>
              <w:right w:val="single" w:sz="8" w:color="2B4C9B"/>
            </w:tcBorders>
          </w:tcPr>
          <w:p>
            <w:pPr>
              <w:spacing w:after="0"/>
              <w:rPr>
                <w:sz w:val="24"/>
                <w:szCs w:val="24"/>
                <w:color w:val="auto"/>
              </w:rPr>
            </w:pPr>
          </w:p>
        </w:tc>
        <w:tc>
          <w:tcPr>
            <w:tcW w:w="100" w:type="dxa"/>
            <w:vAlign w:val="bottom"/>
          </w:tcPr>
          <w:p>
            <w:pPr>
              <w:spacing w:after="0"/>
              <w:rPr>
                <w:sz w:val="24"/>
                <w:szCs w:val="24"/>
                <w:color w:val="auto"/>
              </w:rPr>
            </w:pPr>
          </w:p>
        </w:tc>
        <w:tc>
          <w:tcPr>
            <w:tcW w:w="482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State Street Corporation (October 2009 to December 2019)</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380" w:type="dxa"/>
            <w:vAlign w:val="bottom"/>
          </w:tcPr>
          <w:p>
            <w:pPr>
              <w:spacing w:after="0"/>
              <w:rPr>
                <w:sz w:val="24"/>
                <w:szCs w:val="24"/>
                <w:color w:val="auto"/>
              </w:rPr>
            </w:pPr>
          </w:p>
        </w:tc>
        <w:tc>
          <w:tcPr>
            <w:tcW w:w="2800" w:type="dxa"/>
            <w:vAlign w:val="bottom"/>
            <w:tcBorders>
              <w:right w:val="single" w:sz="8" w:color="2B4C9B"/>
            </w:tcBorders>
          </w:tcPr>
          <w:p>
            <w:pPr>
              <w:spacing w:after="0"/>
              <w:rPr>
                <w:sz w:val="24"/>
                <w:szCs w:val="24"/>
                <w:color w:val="auto"/>
              </w:rPr>
            </w:pPr>
          </w:p>
        </w:tc>
        <w:tc>
          <w:tcPr>
            <w:tcW w:w="100" w:type="dxa"/>
            <w:vAlign w:val="bottom"/>
          </w:tcPr>
          <w:p>
            <w:pPr>
              <w:spacing w:after="0"/>
              <w:rPr>
                <w:sz w:val="24"/>
                <w:szCs w:val="24"/>
                <w:color w:val="auto"/>
              </w:rPr>
            </w:pPr>
          </w:p>
        </w:tc>
        <w:tc>
          <w:tcPr>
            <w:tcW w:w="6460" w:type="dxa"/>
            <w:vAlign w:val="bottom"/>
            <w:gridSpan w:val="6"/>
          </w:tcPr>
          <w:p>
            <w:pPr>
              <w:spacing w:after="0"/>
              <w:rPr>
                <w:sz w:val="20"/>
                <w:szCs w:val="20"/>
                <w:color w:val="auto"/>
              </w:rPr>
            </w:pPr>
            <w:r>
              <w:rPr>
                <w:rFonts w:ascii="Arial" w:cs="Arial" w:eastAsia="Arial" w:hAnsi="Arial"/>
                <w:sz w:val="18"/>
                <w:szCs w:val="18"/>
                <w:b w:val="1"/>
                <w:bCs w:val="1"/>
                <w:color w:val="auto"/>
              </w:rPr>
              <w:t>Other board experience:</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800" w:type="dxa"/>
            <w:vAlign w:val="bottom"/>
            <w:tcBorders>
              <w:right w:val="single" w:sz="8" w:color="2B4C9B"/>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2"/>
            <w:shd w:val="clear" w:color="auto" w:fill="000000"/>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380" w:type="dxa"/>
            <w:vAlign w:val="bottom"/>
            <w:tcBorders>
              <w:bottom w:val="single" w:sz="8" w:color="2B4C9B"/>
            </w:tcBorders>
          </w:tcPr>
          <w:p>
            <w:pPr>
              <w:spacing w:after="0"/>
              <w:rPr>
                <w:sz w:val="24"/>
                <w:szCs w:val="24"/>
                <w:color w:val="auto"/>
              </w:rPr>
            </w:pPr>
          </w:p>
        </w:tc>
        <w:tc>
          <w:tcPr>
            <w:tcW w:w="2800" w:type="dxa"/>
            <w:vAlign w:val="bottom"/>
            <w:tcBorders>
              <w:bottom w:val="single" w:sz="8" w:color="2B4C9B"/>
              <w:right w:val="single" w:sz="8" w:color="2B4C9B"/>
            </w:tcBorders>
          </w:tcPr>
          <w:p>
            <w:pPr>
              <w:spacing w:after="0"/>
              <w:rPr>
                <w:sz w:val="24"/>
                <w:szCs w:val="24"/>
                <w:color w:val="auto"/>
              </w:rPr>
            </w:pPr>
          </w:p>
        </w:tc>
        <w:tc>
          <w:tcPr>
            <w:tcW w:w="100" w:type="dxa"/>
            <w:vAlign w:val="bottom"/>
          </w:tcPr>
          <w:p>
            <w:pPr>
              <w:spacing w:after="0"/>
              <w:rPr>
                <w:sz w:val="24"/>
                <w:szCs w:val="24"/>
                <w:color w:val="auto"/>
              </w:rPr>
            </w:pPr>
          </w:p>
        </w:tc>
        <w:tc>
          <w:tcPr>
            <w:tcW w:w="6460" w:type="dxa"/>
            <w:vAlign w:val="bottom"/>
            <w:gridSpan w:val="6"/>
          </w:tcPr>
          <w:p>
            <w:pPr>
              <w:spacing w:after="0"/>
              <w:rPr>
                <w:sz w:val="20"/>
                <w:szCs w:val="20"/>
                <w:color w:val="auto"/>
              </w:rPr>
            </w:pPr>
            <w:r>
              <w:rPr>
                <w:rFonts w:ascii="Arial" w:cs="Arial" w:eastAsia="Arial" w:hAnsi="Arial"/>
                <w:sz w:val="18"/>
                <w:szCs w:val="18"/>
                <w:color w:val="auto"/>
              </w:rPr>
              <w:t>Liberty Mutual Insurance (2019 to present)</w:t>
            </w:r>
          </w:p>
        </w:tc>
        <w:tc>
          <w:tcPr>
            <w:tcW w:w="0" w:type="dxa"/>
            <w:vAlign w:val="bottom"/>
          </w:tcPr>
          <w:p>
            <w:pPr>
              <w:spacing w:after="0"/>
              <w:rPr>
                <w:sz w:val="1"/>
                <w:szCs w:val="1"/>
                <w:color w:val="auto"/>
              </w:rPr>
            </w:pPr>
          </w:p>
        </w:tc>
      </w:tr>
      <w:tr>
        <w:trPr>
          <w:trHeight w:val="368"/>
        </w:trPr>
        <w:tc>
          <w:tcPr>
            <w:tcW w:w="380" w:type="dxa"/>
            <w:vAlign w:val="bottom"/>
          </w:tcPr>
          <w:p>
            <w:pPr>
              <w:ind w:left="20"/>
              <w:spacing w:after="0"/>
              <w:rPr>
                <w:sz w:val="20"/>
                <w:szCs w:val="20"/>
                <w:color w:val="auto"/>
              </w:rPr>
            </w:pPr>
            <w:r>
              <w:rPr>
                <w:rFonts w:ascii="Arial" w:cs="Arial" w:eastAsia="Arial" w:hAnsi="Arial"/>
                <w:sz w:val="18"/>
                <w:szCs w:val="18"/>
                <w:color w:val="auto"/>
              </w:rPr>
              <w:t>14</w:t>
            </w:r>
          </w:p>
        </w:tc>
        <w:tc>
          <w:tcPr>
            <w:tcW w:w="9360" w:type="dxa"/>
            <w:vAlign w:val="bottom"/>
            <w:gridSpan w:val="8"/>
          </w:tcPr>
          <w:p>
            <w:pPr>
              <w:ind w:left="1680"/>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-139065</wp:posOffset>
            </wp:positionV>
            <wp:extent cx="737235" cy="146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500"/>
          </w:cols>
          <w:pgMar w:left="320" w:top="482" w:right="10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208280</wp:posOffset>
            </wp:positionV>
            <wp:extent cx="6189345" cy="65405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189345" cy="6540500"/>
                    </a:xfrm>
                    <a:prstGeom prst="rect">
                      <a:avLst/>
                    </a:prstGeom>
                    <a:noFill/>
                  </pic:spPr>
                </pic:pic>
              </a:graphicData>
            </a:graphic>
          </wp:anchor>
        </w:drawing>
      </w:r>
    </w:p>
    <w:p>
      <w:pPr>
        <w:spacing w:after="0" w:line="333" w:lineRule="exact"/>
        <w:rPr>
          <w:sz w:val="20"/>
          <w:szCs w:val="20"/>
          <w:color w:val="auto"/>
        </w:rPr>
      </w:pPr>
    </w:p>
    <w:p>
      <w:pPr>
        <w:jc w:val="right"/>
        <w:ind w:right="7440"/>
        <w:spacing w:after="0"/>
        <w:rPr>
          <w:sz w:val="20"/>
          <w:szCs w:val="20"/>
          <w:color w:val="auto"/>
        </w:rPr>
      </w:pPr>
      <w:r>
        <w:rPr>
          <w:rFonts w:ascii="Arial" w:cs="Arial" w:eastAsia="Arial" w:hAnsi="Arial"/>
          <w:sz w:val="22"/>
          <w:szCs w:val="22"/>
          <w:b w:val="1"/>
          <w:bCs w:val="1"/>
          <w:color w:val="2B4C9B"/>
        </w:rPr>
        <w:t>Steven A. Kandarian</w:t>
      </w:r>
    </w:p>
    <w:p>
      <w:pPr>
        <w:sectPr>
          <w:pgSz w:w="11900" w:h="16838" w:orient="portrait"/>
          <w:cols w:equalWidth="0" w:num="1">
            <w:col w:w="10460"/>
          </w:cols>
          <w:pgMar w:left="320" w:top="482"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Independent director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 since 2018</w:t>
      </w:r>
    </w:p>
    <w:p>
      <w:pPr>
        <w:ind w:left="920"/>
        <w:spacing w:after="0"/>
        <w:rPr>
          <w:sz w:val="20"/>
          <w:szCs w:val="20"/>
          <w:color w:val="auto"/>
        </w:rPr>
      </w:pPr>
      <w:r>
        <w:rPr>
          <w:rFonts w:ascii="Arial" w:cs="Arial" w:eastAsia="Arial" w:hAnsi="Arial"/>
          <w:sz w:val="18"/>
          <w:szCs w:val="18"/>
          <w:color w:val="auto"/>
        </w:rPr>
        <w:t>Age 71</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Committees:</w:t>
      </w:r>
    </w:p>
    <w:p>
      <w:pPr>
        <w:spacing w:after="0" w:line="14" w:lineRule="exact"/>
        <w:rPr>
          <w:sz w:val="20"/>
          <w:szCs w:val="20"/>
          <w:color w:val="auto"/>
        </w:rPr>
      </w:pPr>
    </w:p>
    <w:p>
      <w:pPr>
        <w:ind w:left="920" w:right="500"/>
        <w:spacing w:after="0" w:line="250" w:lineRule="auto"/>
        <w:rPr>
          <w:sz w:val="20"/>
          <w:szCs w:val="20"/>
          <w:color w:val="auto"/>
        </w:rPr>
      </w:pPr>
      <w:r>
        <w:rPr>
          <w:rFonts w:ascii="Arial" w:cs="Arial" w:eastAsia="Arial" w:hAnsi="Arial"/>
          <w:sz w:val="18"/>
          <w:szCs w:val="18"/>
          <w:color w:val="auto"/>
        </w:rPr>
        <w:t>Compensation; Nominating and Governance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Attributes and Skills:</w:t>
      </w:r>
    </w:p>
    <w:p>
      <w:pPr>
        <w:spacing w:after="0" w:line="33" w:lineRule="exact"/>
        <w:rPr>
          <w:sz w:val="20"/>
          <w:szCs w:val="20"/>
          <w:color w:val="auto"/>
        </w:rPr>
      </w:pPr>
    </w:p>
    <w:p>
      <w:pPr>
        <w:ind w:left="1300" w:right="320"/>
        <w:spacing w:after="0" w:line="264" w:lineRule="auto"/>
        <w:rPr>
          <w:sz w:val="20"/>
          <w:szCs w:val="20"/>
          <w:color w:val="auto"/>
        </w:rPr>
      </w:pPr>
      <w:r>
        <w:rPr>
          <w:rFonts w:ascii="Arial" w:cs="Arial" w:eastAsia="Arial" w:hAnsi="Arial"/>
          <w:sz w:val="14"/>
          <w:szCs w:val="14"/>
          <w:color w:val="auto"/>
        </w:rPr>
        <w:t>Risk management / investment stewardship experience</w:t>
      </w:r>
    </w:p>
    <w:p>
      <w:pPr>
        <w:spacing w:after="0" w:line="23" w:lineRule="exact"/>
        <w:rPr>
          <w:sz w:val="20"/>
          <w:szCs w:val="20"/>
          <w:color w:val="auto"/>
        </w:rPr>
      </w:pPr>
    </w:p>
    <w:p>
      <w:pPr>
        <w:ind w:left="1300" w:right="260"/>
        <w:spacing w:after="0" w:line="262" w:lineRule="auto"/>
        <w:rPr>
          <w:sz w:val="20"/>
          <w:szCs w:val="20"/>
          <w:color w:val="auto"/>
        </w:rPr>
      </w:pPr>
      <w:r>
        <w:rPr>
          <w:rFonts w:ascii="Arial" w:cs="Arial" w:eastAsia="Arial" w:hAnsi="Arial"/>
          <w:sz w:val="14"/>
          <w:szCs w:val="14"/>
          <w:color w:val="auto"/>
        </w:rPr>
        <w:t>Financial expertise and portfolio management</w:t>
      </w:r>
    </w:p>
    <w:p>
      <w:pPr>
        <w:spacing w:after="0" w:line="1" w:lineRule="exact"/>
        <w:rPr>
          <w:sz w:val="20"/>
          <w:szCs w:val="20"/>
          <w:color w:val="auto"/>
        </w:rPr>
      </w:pPr>
    </w:p>
    <w:p>
      <w:pPr>
        <w:ind w:left="1300"/>
        <w:spacing w:after="0" w:line="261" w:lineRule="auto"/>
        <w:rPr>
          <w:sz w:val="20"/>
          <w:szCs w:val="20"/>
          <w:color w:val="auto"/>
        </w:rPr>
      </w:pPr>
      <w:r>
        <w:rPr>
          <w:rFonts w:ascii="Arial" w:cs="Arial" w:eastAsia="Arial" w:hAnsi="Arial"/>
          <w:sz w:val="14"/>
          <w:szCs w:val="14"/>
          <w:color w:val="auto"/>
        </w:rPr>
        <w:t>Current / former CEO of large public company</w:t>
      </w:r>
    </w:p>
    <w:p>
      <w:pPr>
        <w:ind w:left="1300" w:right="80"/>
        <w:spacing w:after="0" w:line="264" w:lineRule="auto"/>
        <w:rPr>
          <w:sz w:val="20"/>
          <w:szCs w:val="20"/>
          <w:color w:val="auto"/>
        </w:rPr>
      </w:pPr>
      <w:r>
        <w:rPr>
          <w:rFonts w:ascii="Arial" w:cs="Arial" w:eastAsia="Arial" w:hAnsi="Arial"/>
          <w:sz w:val="14"/>
          <w:szCs w:val="14"/>
          <w:color w:val="auto"/>
        </w:rPr>
        <w:t>Public company board governance experience</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Global business experience</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Public policy / regulatory experience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Expertise provided to the Board</w:t>
      </w:r>
      <w:r>
        <w:rPr>
          <w:rFonts w:ascii="Arial" w:cs="Arial" w:eastAsia="Arial" w:hAnsi="Arial"/>
          <w:sz w:val="18"/>
          <w:szCs w:val="18"/>
          <w:b w:val="1"/>
          <w:bCs w:val="1"/>
          <w:color w:val="auto"/>
        </w:rPr>
        <w:t>:</w:t>
      </w:r>
    </w:p>
    <w:p>
      <w:pPr>
        <w:spacing w:after="0" w:line="117"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Mr. Kandarian’s 14 years of senior executive leadership experience at MetLife, where he led a significant transformation following the implementation of Dodd-Frank, brings a viewpoint vital to the Board when developing the long-term strategic plan and overseeing capital allocation across the portfolio. His former positions as CEO and CIO of a global large-cap insurance business, in addition to his previous work as a Federal regulator, provide the Board with critical insights related to geopolitical risks, government engagement, and risk management.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Qualifications</w:t>
      </w:r>
      <w:r>
        <w:rPr>
          <w:rFonts w:ascii="Arial" w:cs="Arial" w:eastAsia="Arial" w:hAnsi="Arial"/>
          <w:sz w:val="18"/>
          <w:szCs w:val="18"/>
          <w:b w:val="1"/>
          <w:bCs w:val="1"/>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MetLife, Inc. </w:t>
      </w:r>
      <w:r>
        <w:rPr>
          <w:sz w:val="1"/>
          <w:szCs w:val="1"/>
          <w:color w:val="auto"/>
        </w:rPr>
        <w:drawing>
          <wp:inline distT="0" distB="0" distL="0" distR="0">
            <wp:extent cx="188595" cy="128905"/>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88595" cy="128905"/>
                    </a:xfrm>
                    <a:prstGeom prst="rect">
                      <a:avLst/>
                    </a:prstGeom>
                    <a:noFill/>
                    <a:ln>
                      <a:noFill/>
                    </a:ln>
                  </pic:spPr>
                </pic:pic>
              </a:graphicData>
            </a:graphic>
          </wp:inline>
        </w:drawing>
        <w:drawing>
          <wp:inline distT="0" distB="0" distL="0" distR="0">
            <wp:extent cx="128905" cy="17970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8905" cy="179705"/>
                    </a:xfrm>
                    <a:prstGeom prst="rect">
                      <a:avLst/>
                    </a:prstGeom>
                    <a:noFill/>
                    <a:ln>
                      <a:noFill/>
                    </a:ln>
                  </pic:spPr>
                </pic:pic>
              </a:graphicData>
            </a:graphic>
          </wp:inline>
        </w:drawing>
        <w:drawing>
          <wp:inline distT="0" distB="0" distL="0" distR="0">
            <wp:extent cx="154305" cy="154305"/>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drawing>
          <wp:inline distT="0" distB="0" distL="0" distR="0">
            <wp:extent cx="137160" cy="145415"/>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7160" cy="145415"/>
                    </a:xfrm>
                    <a:prstGeom prst="rect">
                      <a:avLst/>
                    </a:prstGeom>
                    <a:noFill/>
                    <a:ln>
                      <a:noFill/>
                    </a:ln>
                  </pic:spPr>
                </pic:pic>
              </a:graphicData>
            </a:graphic>
          </wp:inline>
        </w:drawing>
        <w:drawing>
          <wp:inline distT="0" distB="0" distL="0" distR="0">
            <wp:extent cx="188595" cy="188595"/>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88595" cy="188595"/>
                    </a:xfrm>
                    <a:prstGeom prst="rect">
                      <a:avLst/>
                    </a:prstGeom>
                    <a:noFill/>
                    <a:ln>
                      <a:noFill/>
                    </a:ln>
                  </pic:spPr>
                </pic:pic>
              </a:graphicData>
            </a:graphic>
          </wp:inline>
        </w:drawing>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President &amp; CEO (2011 to 2019)</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Chair (2012 to 2019)</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Chief Investment Officer (2005 to 2011)</w:t>
      </w:r>
    </w:p>
    <w:p>
      <w:pPr>
        <w:spacing w:after="0" w:line="149" w:lineRule="exact"/>
        <w:rPr>
          <w:sz w:val="20"/>
          <w:szCs w:val="20"/>
          <w:color w:val="auto"/>
        </w:rPr>
      </w:pPr>
    </w:p>
    <w:p>
      <w:pPr>
        <w:ind w:right="2480"/>
        <w:spacing w:after="0" w:line="264" w:lineRule="auto"/>
        <w:rPr>
          <w:sz w:val="20"/>
          <w:szCs w:val="20"/>
          <w:color w:val="auto"/>
        </w:rPr>
      </w:pPr>
      <w:r>
        <w:rPr>
          <w:rFonts w:ascii="Arial" w:cs="Arial" w:eastAsia="Arial" w:hAnsi="Arial"/>
          <w:sz w:val="18"/>
          <w:szCs w:val="18"/>
          <w:color w:val="auto"/>
        </w:rPr>
        <w:t xml:space="preserve">Pension Benefit Guaranty Corporation </w:t>
      </w:r>
      <w:r>
        <w:rPr>
          <w:sz w:val="1"/>
          <w:szCs w:val="1"/>
          <w:color w:val="auto"/>
        </w:rPr>
        <w:drawing>
          <wp:inline distT="0" distB="0" distL="0" distR="0">
            <wp:extent cx="128905" cy="17970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8905" cy="179705"/>
                    </a:xfrm>
                    <a:prstGeom prst="rect">
                      <a:avLst/>
                    </a:prstGeom>
                    <a:noFill/>
                    <a:ln>
                      <a:noFill/>
                    </a:ln>
                  </pic:spPr>
                </pic:pic>
              </a:graphicData>
            </a:graphic>
          </wp:inline>
        </w:drawing>
        <w:drawing>
          <wp:inline distT="0" distB="0" distL="0" distR="0">
            <wp:extent cx="154305" cy="154305"/>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drawing>
          <wp:inline distT="0" distB="0" distL="0" distR="0">
            <wp:extent cx="188595" cy="18859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88595" cy="18859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 xml:space="preserve">    Executive Director (2001 to 2004)</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Current public company directorships</w:t>
      </w:r>
      <w:r>
        <w:rPr>
          <w:rFonts w:ascii="Arial" w:cs="Arial" w:eastAsia="Arial" w:hAnsi="Arial"/>
          <w:sz w:val="18"/>
          <w:szCs w:val="18"/>
          <w:b w:val="1"/>
          <w:bCs w:val="1"/>
          <w:color w:val="auto"/>
        </w:rPr>
        <w:t xml:space="preserve">: </w:t>
      </w:r>
      <w:r>
        <w:rPr>
          <w:sz w:val="1"/>
          <w:szCs w:val="1"/>
          <w:color w:val="auto"/>
        </w:rPr>
        <w:drawing>
          <wp:inline distT="0" distB="0" distL="0" distR="0">
            <wp:extent cx="179705" cy="179705"/>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9705" cy="179705"/>
                    </a:xfrm>
                    <a:prstGeom prst="rect">
                      <a:avLst/>
                    </a:prstGeom>
                    <a:noFill/>
                    <a:ln>
                      <a:noFill/>
                    </a:ln>
                  </pic:spPr>
                </pic:pic>
              </a:graphicData>
            </a:graphic>
          </wp:inline>
        </w:drawing>
        <w:drawing>
          <wp:inline distT="0" distB="0" distL="0" distR="0">
            <wp:extent cx="154305" cy="154305"/>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r>
    </w:p>
    <w:p>
      <w:pPr>
        <w:spacing w:after="0" w:line="105" w:lineRule="exact"/>
        <w:rPr>
          <w:sz w:val="20"/>
          <w:szCs w:val="20"/>
          <w:color w:val="auto"/>
        </w:rPr>
      </w:pPr>
    </w:p>
    <w:p>
      <w:pPr>
        <w:ind w:right="60"/>
        <w:spacing w:after="0" w:line="301" w:lineRule="auto"/>
        <w:rPr>
          <w:sz w:val="20"/>
          <w:szCs w:val="20"/>
          <w:color w:val="auto"/>
        </w:rPr>
      </w:pPr>
      <w:r>
        <w:rPr>
          <w:rFonts w:ascii="Arial" w:cs="Arial" w:eastAsia="Arial" w:hAnsi="Arial"/>
          <w:sz w:val="17"/>
          <w:szCs w:val="17"/>
          <w:color w:val="auto"/>
        </w:rPr>
        <w:t>Jackson Financial Inc. (February 2021 to present; Non-executive Chair; Chair of the Nominating &amp; Governance Committee, Compensation Committee member)</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Previous public company directorships in last five years</w:t>
      </w:r>
      <w:r>
        <w:rPr>
          <w:rFonts w:ascii="Arial" w:cs="Arial" w:eastAsia="Arial" w:hAnsi="Arial"/>
          <w:sz w:val="18"/>
          <w:szCs w:val="18"/>
          <w:b w:val="1"/>
          <w:bCs w:val="1"/>
          <w:color w:val="auto"/>
        </w:rPr>
        <w:t xml:space="preserve">: </w:t>
      </w:r>
      <w:r>
        <w:rPr>
          <w:sz w:val="1"/>
          <w:szCs w:val="1"/>
          <w:color w:val="auto"/>
        </w:rPr>
        <w:drawing>
          <wp:inline distT="0" distB="0" distL="0" distR="0">
            <wp:extent cx="179705" cy="179705"/>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9705" cy="179705"/>
                    </a:xfrm>
                    <a:prstGeom prst="rect">
                      <a:avLst/>
                    </a:prstGeom>
                    <a:noFill/>
                    <a:ln>
                      <a:noFill/>
                    </a:ln>
                  </pic:spPr>
                </pic:pic>
              </a:graphicData>
            </a:graphic>
          </wp:inline>
        </w:drawing>
        <w:drawing>
          <wp:inline distT="0" distB="0" distL="0" distR="0">
            <wp:extent cx="154305" cy="154305"/>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r>
    </w:p>
    <w:p>
      <w:pPr>
        <w:spacing w:after="0" w:line="10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AECOM (March 2019 to February 2021; Lead Independent Director; Chair of the Compensation Committee; member of the Audit Committee)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MetLife (May 2011 to April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board experience</w:t>
      </w:r>
      <w:r>
        <w:rPr>
          <w:rFonts w:ascii="Arial" w:cs="Arial" w:eastAsia="Arial" w:hAnsi="Arial"/>
          <w:sz w:val="18"/>
          <w:szCs w:val="18"/>
          <w:b w:val="1"/>
          <w:bCs w:val="1"/>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Director of Neuberger Berman (2015 to present)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and cultural affiliations</w:t>
      </w:r>
      <w:r>
        <w:rPr>
          <w:rFonts w:ascii="Arial" w:cs="Arial" w:eastAsia="Arial" w:hAnsi="Arial"/>
          <w:sz w:val="18"/>
          <w:szCs w:val="18"/>
          <w:b w:val="1"/>
          <w:bCs w:val="1"/>
          <w:color w:val="auto"/>
        </w:rPr>
        <w:t>:</w:t>
      </w:r>
    </w:p>
    <w:p>
      <w:pPr>
        <w:spacing w:after="0" w:line="117"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University of California, Berkeley, School of Law and Ceres ESG certification (recipient); Business Council (member); Business Roundtable (former member); Financial Services Forum (former member); Partnership for New York City (former Director); Institute of International Finance (former Director and Chair, Insurance Regulatory Committee); and the Lincoln Center for the Performing Arts (former Director)</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Scientific and research affiliations</w:t>
      </w:r>
      <w:r>
        <w:rPr>
          <w:rFonts w:ascii="Arial" w:cs="Arial" w:eastAsia="Arial" w:hAnsi="Arial"/>
          <w:sz w:val="18"/>
          <w:szCs w:val="18"/>
          <w:b w:val="1"/>
          <w:bCs w:val="1"/>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Damon Runyon Cancer Research Foundation (Director)</w:t>
      </w:r>
    </w:p>
    <w:p>
      <w:pPr>
        <w:spacing w:after="0" w:line="170" w:lineRule="exact"/>
        <w:rPr>
          <w:sz w:val="20"/>
          <w:szCs w:val="20"/>
          <w:color w:val="auto"/>
        </w:rPr>
      </w:pPr>
    </w:p>
    <w:tbl>
      <w:tblPr>
        <w:tblLayout w:type="fixed"/>
        <w:tblInd w:w="274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-139065</wp:posOffset>
            </wp:positionV>
            <wp:extent cx="737235" cy="146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2">
            <w:col w:w="3600" w:space="440"/>
            <w:col w:w="6420"/>
          </w:cols>
          <w:pgMar w:left="320" w:top="482" w:right="111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208280</wp:posOffset>
            </wp:positionV>
            <wp:extent cx="6189345" cy="80752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189345" cy="8075295"/>
                    </a:xfrm>
                    <a:prstGeom prst="rect">
                      <a:avLst/>
                    </a:prstGeom>
                    <a:noFill/>
                  </pic:spPr>
                </pic:pic>
              </a:graphicData>
            </a:graphic>
          </wp:anchor>
        </w:drawing>
      </w:r>
    </w:p>
    <w:p>
      <w:pPr>
        <w:spacing w:after="0" w:line="333" w:lineRule="exact"/>
        <w:rPr>
          <w:sz w:val="20"/>
          <w:szCs w:val="20"/>
          <w:color w:val="auto"/>
        </w:rPr>
      </w:pPr>
    </w:p>
    <w:p>
      <w:pPr>
        <w:jc w:val="right"/>
        <w:ind w:right="7320"/>
        <w:spacing w:after="0"/>
        <w:rPr>
          <w:sz w:val="20"/>
          <w:szCs w:val="20"/>
          <w:color w:val="auto"/>
        </w:rPr>
      </w:pPr>
      <w:r>
        <w:rPr>
          <w:rFonts w:ascii="Arial" w:cs="Arial" w:eastAsia="Arial" w:hAnsi="Arial"/>
          <w:sz w:val="22"/>
          <w:szCs w:val="22"/>
          <w:b w:val="1"/>
          <w:bCs w:val="1"/>
          <w:color w:val="2B4C9B"/>
        </w:rPr>
        <w:t>Alexander A. Karsner</w:t>
      </w:r>
    </w:p>
    <w:p>
      <w:pPr>
        <w:sectPr>
          <w:pgSz w:w="11900" w:h="16838" w:orient="portrait"/>
          <w:cols w:equalWidth="0" w:num="1">
            <w:col w:w="10440"/>
          </w:cols>
          <w:pgMar w:left="320" w:top="482"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Independent director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 since 2021</w:t>
      </w:r>
    </w:p>
    <w:p>
      <w:pPr>
        <w:ind w:left="920"/>
        <w:spacing w:after="0"/>
        <w:rPr>
          <w:sz w:val="20"/>
          <w:szCs w:val="20"/>
          <w:color w:val="auto"/>
        </w:rPr>
      </w:pPr>
      <w:r>
        <w:rPr>
          <w:rFonts w:ascii="Arial" w:cs="Arial" w:eastAsia="Arial" w:hAnsi="Arial"/>
          <w:sz w:val="18"/>
          <w:szCs w:val="18"/>
          <w:color w:val="auto"/>
        </w:rPr>
        <w:t>Age 56</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Committees:</w:t>
      </w:r>
    </w:p>
    <w:p>
      <w:pPr>
        <w:spacing w:after="0" w:line="14" w:lineRule="exact"/>
        <w:rPr>
          <w:sz w:val="20"/>
          <w:szCs w:val="20"/>
          <w:color w:val="auto"/>
        </w:rPr>
      </w:pPr>
    </w:p>
    <w:p>
      <w:pPr>
        <w:ind w:left="920" w:right="240"/>
        <w:spacing w:after="0" w:line="242" w:lineRule="auto"/>
        <w:rPr>
          <w:sz w:val="20"/>
          <w:szCs w:val="20"/>
          <w:color w:val="auto"/>
        </w:rPr>
      </w:pPr>
      <w:r>
        <w:rPr>
          <w:rFonts w:ascii="Arial" w:cs="Arial" w:eastAsia="Arial" w:hAnsi="Arial"/>
          <w:sz w:val="18"/>
          <w:szCs w:val="18"/>
          <w:color w:val="auto"/>
        </w:rPr>
        <w:t>Environment, Safety and Public Policy; Nominating and Governance</w:t>
      </w:r>
    </w:p>
    <w:p>
      <w:pPr>
        <w:spacing w:after="0" w:line="200" w:lineRule="exact"/>
        <w:rPr>
          <w:sz w:val="20"/>
          <w:szCs w:val="20"/>
          <w:color w:val="auto"/>
        </w:rPr>
      </w:pPr>
    </w:p>
    <w:p>
      <w:pPr>
        <w:spacing w:after="0" w:line="2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Attributes and Skills:</w:t>
      </w:r>
    </w:p>
    <w:p>
      <w:pPr>
        <w:spacing w:after="0" w:line="46" w:lineRule="exact"/>
        <w:rPr>
          <w:sz w:val="20"/>
          <w:szCs w:val="20"/>
          <w:color w:val="auto"/>
        </w:rPr>
      </w:pPr>
    </w:p>
    <w:p>
      <w:pPr>
        <w:ind w:left="1300" w:right="400"/>
        <w:spacing w:after="0" w:line="285" w:lineRule="auto"/>
        <w:rPr>
          <w:sz w:val="20"/>
          <w:szCs w:val="20"/>
          <w:color w:val="auto"/>
        </w:rPr>
      </w:pPr>
      <w:r>
        <w:rPr>
          <w:rFonts w:ascii="Arial" w:cs="Arial" w:eastAsia="Arial" w:hAnsi="Arial"/>
          <w:sz w:val="14"/>
          <w:szCs w:val="14"/>
          <w:color w:val="auto"/>
        </w:rPr>
        <w:t>Risk management / investment stewardship experience</w:t>
      </w:r>
    </w:p>
    <w:p>
      <w:pPr>
        <w:spacing w:after="0" w:line="90"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Public policy / regulatory experience</w:t>
      </w:r>
    </w:p>
    <w:p>
      <w:pPr>
        <w:spacing w:after="0" w:line="285" w:lineRule="exact"/>
        <w:rPr>
          <w:sz w:val="20"/>
          <w:szCs w:val="20"/>
          <w:color w:val="auto"/>
        </w:rPr>
      </w:pPr>
    </w:p>
    <w:p>
      <w:pPr>
        <w:ind w:left="1300" w:right="400"/>
        <w:spacing w:after="0" w:line="285" w:lineRule="auto"/>
        <w:rPr>
          <w:sz w:val="20"/>
          <w:szCs w:val="20"/>
          <w:color w:val="auto"/>
        </w:rPr>
      </w:pPr>
      <w:r>
        <w:rPr>
          <w:rFonts w:ascii="Arial" w:cs="Arial" w:eastAsia="Arial" w:hAnsi="Arial"/>
          <w:sz w:val="14"/>
          <w:szCs w:val="14"/>
          <w:color w:val="auto"/>
        </w:rPr>
        <w:t>Relevant scientific / technology experience</w:t>
      </w:r>
    </w:p>
    <w:p>
      <w:pPr>
        <w:spacing w:after="0" w:line="104" w:lineRule="exact"/>
        <w:rPr>
          <w:sz w:val="20"/>
          <w:szCs w:val="20"/>
          <w:color w:val="auto"/>
        </w:rPr>
      </w:pPr>
    </w:p>
    <w:p>
      <w:pPr>
        <w:ind w:left="1300"/>
        <w:spacing w:after="0" w:line="285" w:lineRule="auto"/>
        <w:rPr>
          <w:sz w:val="20"/>
          <w:szCs w:val="20"/>
          <w:color w:val="auto"/>
        </w:rPr>
      </w:pPr>
      <w:r>
        <w:rPr>
          <w:rFonts w:ascii="Arial" w:cs="Arial" w:eastAsia="Arial" w:hAnsi="Arial"/>
          <w:sz w:val="14"/>
          <w:szCs w:val="14"/>
          <w:color w:val="auto"/>
        </w:rPr>
        <w:t>Low carbon solutions technology and safety experience</w:t>
      </w:r>
    </w:p>
    <w:p>
      <w:pPr>
        <w:spacing w:after="0" w:line="90" w:lineRule="exact"/>
        <w:rPr>
          <w:sz w:val="20"/>
          <w:szCs w:val="20"/>
          <w:color w:val="auto"/>
        </w:rPr>
      </w:pPr>
    </w:p>
    <w:p>
      <w:pPr>
        <w:ind w:left="1300" w:right="340"/>
        <w:spacing w:after="0" w:line="285" w:lineRule="auto"/>
        <w:rPr>
          <w:sz w:val="20"/>
          <w:szCs w:val="20"/>
          <w:color w:val="auto"/>
        </w:rPr>
      </w:pPr>
      <w:r>
        <w:rPr>
          <w:rFonts w:ascii="Arial" w:cs="Arial" w:eastAsia="Arial" w:hAnsi="Arial"/>
          <w:sz w:val="14"/>
          <w:szCs w:val="14"/>
          <w:color w:val="auto"/>
        </w:rPr>
        <w:t>Financial expertise and portfolio management</w:t>
      </w:r>
    </w:p>
    <w:p>
      <w:pPr>
        <w:spacing w:after="0" w:line="90"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Global business experience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Expertise provided to the Board:</w:t>
      </w:r>
    </w:p>
    <w:p>
      <w:pPr>
        <w:spacing w:after="0" w:line="117"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Mr. Karsner’s energy policy and diplomacy experience, in addition to his background in commercializing breakthrough energy technologies, provides the Board with important perspectives on geopolitical risks and investment opportunities for profitably managing the energy transition. Mr. Karsner’s public service as U.S. Assistant Secretary of Energy, a senior regulatory official, and a principal U.S. negotiator to the UN Framework Convention on Climate Change, contributes an in-depth understanding of U.S. and international energy policy. His energy sector experience, including energy infrastructure development in emerging markets, helps the Board better understand public- and private-sector considerations when executing strategy.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Qualifications:</w:t>
      </w:r>
    </w:p>
    <w:p>
      <w:pPr>
        <w:spacing w:after="0" w:line="136" w:lineRule="exact"/>
        <w:rPr>
          <w:sz w:val="20"/>
          <w:szCs w:val="20"/>
          <w:color w:val="auto"/>
        </w:rPr>
      </w:pPr>
    </w:p>
    <w:p>
      <w:pPr>
        <w:ind w:right="1380"/>
        <w:spacing w:after="0" w:line="344" w:lineRule="auto"/>
        <w:rPr>
          <w:sz w:val="20"/>
          <w:szCs w:val="20"/>
          <w:color w:val="auto"/>
        </w:rPr>
      </w:pPr>
      <w:r>
        <w:rPr>
          <w:rFonts w:ascii="Arial" w:cs="Arial" w:eastAsia="Arial" w:hAnsi="Arial"/>
          <w:sz w:val="18"/>
          <w:szCs w:val="18"/>
          <w:color w:val="auto"/>
        </w:rPr>
        <w:t xml:space="preserve">X (formerly Google X) Alphabet’s Moonshot Factory </w:t>
      </w:r>
      <w:r>
        <w:rPr>
          <w:sz w:val="1"/>
          <w:szCs w:val="1"/>
          <w:color w:val="auto"/>
        </w:rPr>
        <w:drawing>
          <wp:inline distT="0" distB="0" distL="0" distR="0">
            <wp:extent cx="171450" cy="21463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1450" cy="214630"/>
                    </a:xfrm>
                    <a:prstGeom prst="rect">
                      <a:avLst/>
                    </a:prstGeom>
                    <a:noFill/>
                    <a:ln>
                      <a:noFill/>
                    </a:ln>
                  </pic:spPr>
                </pic:pic>
              </a:graphicData>
            </a:graphic>
          </wp:inline>
        </w:drawing>
        <w:drawing>
          <wp:inline distT="0" distB="0" distL="0" distR="0">
            <wp:extent cx="162560" cy="154305"/>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62560" cy="154305"/>
                    </a:xfrm>
                    <a:prstGeom prst="rect">
                      <a:avLst/>
                    </a:prstGeom>
                    <a:noFill/>
                    <a:ln>
                      <a:noFill/>
                    </a:ln>
                  </pic:spPr>
                </pic:pic>
              </a:graphicData>
            </a:graphic>
          </wp:inline>
        </w:drawing>
        <w:drawing>
          <wp:inline distT="0" distB="0" distL="0" distR="0">
            <wp:extent cx="137160" cy="14605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7160" cy="14605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 xml:space="preserve">    Senior Strategist (2013 to present)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Emerson Collective </w:t>
      </w:r>
      <w:r>
        <w:rPr>
          <w:sz w:val="1"/>
          <w:szCs w:val="1"/>
          <w:color w:val="auto"/>
        </w:rPr>
        <w:drawing>
          <wp:inline distT="0" distB="0" distL="0" distR="0">
            <wp:extent cx="128905" cy="179705"/>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8905" cy="179705"/>
                    </a:xfrm>
                    <a:prstGeom prst="rect">
                      <a:avLst/>
                    </a:prstGeom>
                    <a:noFill/>
                    <a:ln>
                      <a:noFill/>
                    </a:ln>
                  </pic:spPr>
                </pic:pic>
              </a:graphicData>
            </a:graphic>
          </wp:inline>
        </w:drawing>
        <w:drawing>
          <wp:inline distT="0" distB="0" distL="0" distR="0">
            <wp:extent cx="154305" cy="154305"/>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drawing>
          <wp:inline distT="0" distB="0" distL="0" distR="0">
            <wp:extent cx="163195" cy="154305"/>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63195" cy="154305"/>
                    </a:xfrm>
                    <a:prstGeom prst="rect">
                      <a:avLst/>
                    </a:prstGeom>
                    <a:noFill/>
                    <a:ln>
                      <a:noFill/>
                    </a:ln>
                  </pic:spPr>
                </pic:pic>
              </a:graphicData>
            </a:graphic>
          </wp:inline>
        </w:drawing>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Managing Partner (2016 to 2019)</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Hudson Private Equity </w:t>
      </w:r>
      <w:r>
        <w:rPr>
          <w:sz w:val="1"/>
          <w:szCs w:val="1"/>
          <w:color w:val="auto"/>
        </w:rPr>
        <w:drawing>
          <wp:inline distT="0" distB="0" distL="0" distR="0">
            <wp:extent cx="128905" cy="17970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8905" cy="179705"/>
                    </a:xfrm>
                    <a:prstGeom prst="rect">
                      <a:avLst/>
                    </a:prstGeom>
                    <a:noFill/>
                    <a:ln>
                      <a:noFill/>
                    </a:ln>
                  </pic:spPr>
                </pic:pic>
              </a:graphicData>
            </a:graphic>
          </wp:inline>
        </w:drawing>
        <w:drawing>
          <wp:inline distT="0" distB="0" distL="0" distR="0">
            <wp:extent cx="154305" cy="154305"/>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drawing>
          <wp:inline distT="0" distB="0" distL="0" distR="0">
            <wp:extent cx="163195" cy="154305"/>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63195" cy="154305"/>
                    </a:xfrm>
                    <a:prstGeom prst="rect">
                      <a:avLst/>
                    </a:prstGeom>
                    <a:noFill/>
                    <a:ln>
                      <a:noFill/>
                    </a:ln>
                  </pic:spPr>
                </pic:pic>
              </a:graphicData>
            </a:graphic>
          </wp:inline>
        </w:drawing>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Senior Advisor (2009 to 2014)</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Vantage Point Venture Capital </w:t>
      </w:r>
      <w:r>
        <w:rPr>
          <w:sz w:val="1"/>
          <w:szCs w:val="1"/>
          <w:color w:val="auto"/>
        </w:rPr>
        <w:drawing>
          <wp:inline distT="0" distB="0" distL="0" distR="0">
            <wp:extent cx="128905" cy="18034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8905" cy="180340"/>
                    </a:xfrm>
                    <a:prstGeom prst="rect">
                      <a:avLst/>
                    </a:prstGeom>
                    <a:noFill/>
                    <a:ln>
                      <a:noFill/>
                    </a:ln>
                  </pic:spPr>
                </pic:pic>
              </a:graphicData>
            </a:graphic>
          </wp:inline>
        </w:drawing>
        <w:drawing>
          <wp:inline distT="0" distB="0" distL="0" distR="0">
            <wp:extent cx="154305" cy="154305"/>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drawing>
          <wp:inline distT="0" distB="0" distL="0" distR="0">
            <wp:extent cx="163195" cy="154305"/>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63195" cy="154305"/>
                    </a:xfrm>
                    <a:prstGeom prst="rect">
                      <a:avLst/>
                    </a:prstGeom>
                    <a:noFill/>
                    <a:ln>
                      <a:noFill/>
                    </a:ln>
                  </pic:spPr>
                </pic:pic>
              </a:graphicData>
            </a:graphic>
          </wp:inline>
        </w:drawing>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Senior Advisor, Venture Partner (2009 to 2014)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Department of Energy </w:t>
      </w:r>
      <w:r>
        <w:rPr>
          <w:sz w:val="1"/>
          <w:szCs w:val="1"/>
          <w:color w:val="auto"/>
        </w:rPr>
        <w:drawing>
          <wp:inline distT="0" distB="0" distL="0" distR="0">
            <wp:extent cx="188595" cy="188595"/>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88595" cy="188595"/>
                    </a:xfrm>
                    <a:prstGeom prst="rect">
                      <a:avLst/>
                    </a:prstGeom>
                    <a:noFill/>
                    <a:ln>
                      <a:noFill/>
                    </a:ln>
                  </pic:spPr>
                </pic:pic>
              </a:graphicData>
            </a:graphic>
          </wp:inline>
        </w:drawing>
        <w:drawing>
          <wp:inline distT="0" distB="0" distL="0" distR="0">
            <wp:extent cx="171450" cy="21463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71450" cy="214630"/>
                    </a:xfrm>
                    <a:prstGeom prst="rect">
                      <a:avLst/>
                    </a:prstGeom>
                    <a:noFill/>
                    <a:ln>
                      <a:noFill/>
                    </a:ln>
                  </pic:spPr>
                </pic:pic>
              </a:graphicData>
            </a:graphic>
          </wp:inline>
        </w:drawing>
        <w:drawing>
          <wp:inline distT="0" distB="0" distL="0" distR="0">
            <wp:extent cx="162560" cy="154305"/>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62560" cy="154305"/>
                    </a:xfrm>
                    <a:prstGeom prst="rect">
                      <a:avLst/>
                    </a:prstGeom>
                    <a:noFill/>
                    <a:ln>
                      <a:noFill/>
                    </a:ln>
                  </pic:spPr>
                </pic:pic>
              </a:graphicData>
            </a:graphic>
          </wp:inline>
        </w:drawing>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U.S. Assistant Secretary (2006 to 2008)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Current public company directorships:</w:t>
      </w:r>
    </w:p>
    <w:p>
      <w:pPr>
        <w:spacing w:after="0" w:line="117"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Applied Materials, Inc. (September 2008 to present; member of the Corporate Governance &amp; Nominating and Human Resources &amp; Compensation Committees)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Previous public company directorships in last five years: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Broadscale Acquisition Corp. (February 2021 to January 2023)</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Business and public policy experience: </w:t>
      </w:r>
      <w:r>
        <w:rPr>
          <w:sz w:val="1"/>
          <w:szCs w:val="1"/>
          <w:color w:val="auto"/>
        </w:rPr>
        <w:drawing>
          <wp:inline distT="0" distB="0" distL="0" distR="0">
            <wp:extent cx="188595" cy="188595"/>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88595" cy="188595"/>
                    </a:xfrm>
                    <a:prstGeom prst="rect">
                      <a:avLst/>
                    </a:prstGeom>
                    <a:noFill/>
                    <a:ln>
                      <a:noFill/>
                    </a:ln>
                  </pic:spPr>
                </pic:pic>
              </a:graphicData>
            </a:graphic>
          </wp:inline>
        </w:drawing>
      </w:r>
    </w:p>
    <w:p>
      <w:pPr>
        <w:spacing w:after="0" w:line="105" w:lineRule="exact"/>
        <w:rPr>
          <w:sz w:val="20"/>
          <w:szCs w:val="20"/>
          <w:color w:val="auto"/>
        </w:rPr>
      </w:pPr>
    </w:p>
    <w:p>
      <w:pPr>
        <w:ind w:right="260"/>
        <w:spacing w:after="0" w:line="244" w:lineRule="auto"/>
        <w:rPr>
          <w:sz w:val="20"/>
          <w:szCs w:val="20"/>
          <w:color w:val="auto"/>
        </w:rPr>
      </w:pPr>
      <w:r>
        <w:rPr>
          <w:rFonts w:ascii="Arial" w:cs="Arial" w:eastAsia="Arial" w:hAnsi="Arial"/>
          <w:sz w:val="18"/>
          <w:szCs w:val="18"/>
          <w:color w:val="auto"/>
        </w:rPr>
        <w:t>Council on Foreign Relations Working Group on Energy Transition (co-chair), and U.S.-India and U.S.-China Track II diplomatic climate bi-laterals; National Petroleum Council (former member); Energy Futures Initiative; Trilateral Commission (member); Gas Technology Institute (former Director); Argonne National Laboratory (former Director)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Sustainability, scientific and academic affiliations: </w:t>
      </w:r>
      <w:r>
        <w:rPr>
          <w:sz w:val="1"/>
          <w:szCs w:val="1"/>
          <w:color w:val="auto"/>
        </w:rPr>
        <w:drawing>
          <wp:inline distT="0" distB="0" distL="0" distR="0">
            <wp:extent cx="163195" cy="154305"/>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63195" cy="154305"/>
                    </a:xfrm>
                    <a:prstGeom prst="rect">
                      <a:avLst/>
                    </a:prstGeom>
                    <a:noFill/>
                    <a:ln>
                      <a:noFill/>
                    </a:ln>
                  </pic:spPr>
                </pic:pic>
              </a:graphicData>
            </a:graphic>
          </wp:inline>
        </w:drawing>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Rice University Institute for Material Science (Director); Conservation International (Director); Elemental Labs (Founder, Chairman); National Marine Sanctuary Foundation (Trustee Emeritus); Aspen Institute Clean Energy Forum (Founder); American Academy of Arts &amp; Sciences Accelerating Climate Action Commission (member); Stanford University Precourt Institute for Energy (member, Board of Advisors); Hoover Institution Shultz-Stephenson Energy Task Force (member); Stanford Natural Capital Project (Advisory Board); MIT Media Lab (Advisory Board)</w:t>
      </w:r>
    </w:p>
    <w:p>
      <w:pPr>
        <w:spacing w:after="0" w:line="120" w:lineRule="exact"/>
        <w:rPr>
          <w:sz w:val="20"/>
          <w:szCs w:val="20"/>
          <w:color w:val="auto"/>
        </w:rPr>
      </w:pPr>
    </w:p>
    <w:p>
      <w:pPr>
        <w:sectPr>
          <w:pgSz w:w="11900" w:h="16838" w:orient="portrait"/>
          <w:cols w:equalWidth="0" w:num="2">
            <w:col w:w="3680" w:space="360"/>
            <w:col w:w="6400"/>
          </w:cols>
          <w:pgMar w:left="320" w:top="482" w:right="1139" w:bottom="1440" w:gutter="0" w:footer="0" w:header="0"/>
          <w:type w:val="continuous"/>
        </w:sectPr>
      </w:pPr>
    </w:p>
    <w:p>
      <w:pPr>
        <w:ind w:left="780"/>
        <w:spacing w:after="0"/>
        <w:tabs>
          <w:tab w:leader="none" w:pos="1486" w:val="left"/>
        </w:tabs>
        <w:rPr>
          <w:sz w:val="20"/>
          <w:szCs w:val="20"/>
          <w:color w:val="auto"/>
        </w:rPr>
      </w:pPr>
      <w:r>
        <w:rPr>
          <w:rFonts w:ascii="Arial" w:cs="Arial" w:eastAsia="Arial" w:hAnsi="Arial"/>
          <w:sz w:val="18"/>
          <w:szCs w:val="18"/>
          <w:color w:val="auto"/>
        </w:rPr>
        <w:t>16</w:t>
      </w:r>
      <w:r>
        <w:rPr>
          <w:sz w:val="20"/>
          <w:szCs w:val="20"/>
          <w:color w:val="auto"/>
        </w:rPr>
        <w:tab/>
      </w:r>
      <w:r>
        <w:rPr>
          <w:sz w:val="1"/>
          <w:szCs w:val="1"/>
          <w:color w:val="auto"/>
        </w:rPr>
        <w:drawing>
          <wp:inline distT="0" distB="0" distL="0" distR="0">
            <wp:extent cx="737235" cy="14605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2023 Proxy Statement</w:t>
      </w:r>
    </w:p>
    <w:p>
      <w:pPr>
        <w:sectPr>
          <w:pgSz w:w="11900" w:h="16838" w:orient="portrait"/>
          <w:cols w:equalWidth="0" w:num="1">
            <w:col w:w="10440"/>
          </w:cols>
          <w:pgMar w:left="320" w:top="482" w:right="11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208280</wp:posOffset>
            </wp:positionV>
            <wp:extent cx="6189345" cy="53492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189345" cy="5349240"/>
                    </a:xfrm>
                    <a:prstGeom prst="rect">
                      <a:avLst/>
                    </a:prstGeom>
                    <a:noFill/>
                  </pic:spPr>
                </pic:pic>
              </a:graphicData>
            </a:graphic>
          </wp:anchor>
        </w:drawing>
      </w:r>
    </w:p>
    <w:p>
      <w:pPr>
        <w:spacing w:after="0" w:line="333" w:lineRule="exact"/>
        <w:rPr>
          <w:sz w:val="20"/>
          <w:szCs w:val="20"/>
          <w:color w:val="auto"/>
        </w:rPr>
      </w:pPr>
    </w:p>
    <w:p>
      <w:pPr>
        <w:jc w:val="right"/>
        <w:ind w:right="7360"/>
        <w:spacing w:after="0"/>
        <w:rPr>
          <w:sz w:val="20"/>
          <w:szCs w:val="20"/>
          <w:color w:val="auto"/>
        </w:rPr>
      </w:pPr>
      <w:r>
        <w:rPr>
          <w:rFonts w:ascii="Arial" w:cs="Arial" w:eastAsia="Arial" w:hAnsi="Arial"/>
          <w:sz w:val="22"/>
          <w:szCs w:val="22"/>
          <w:b w:val="1"/>
          <w:bCs w:val="1"/>
          <w:color w:val="2B4C9B"/>
        </w:rPr>
        <w:t>Lawrence W. Kellner</w:t>
      </w:r>
    </w:p>
    <w:p>
      <w:pPr>
        <w:sectPr>
          <w:pgSz w:w="11900" w:h="16838" w:orient="portrait"/>
          <w:cols w:equalWidth="0" w:num="1">
            <w:col w:w="10380"/>
          </w:cols>
          <w:pgMar w:left="320" w:top="482"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Independent director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 since 2023</w:t>
      </w:r>
    </w:p>
    <w:p>
      <w:pPr>
        <w:ind w:left="920"/>
        <w:spacing w:after="0"/>
        <w:rPr>
          <w:sz w:val="20"/>
          <w:szCs w:val="20"/>
          <w:color w:val="auto"/>
        </w:rPr>
      </w:pPr>
      <w:r>
        <w:rPr>
          <w:rFonts w:ascii="Arial" w:cs="Arial" w:eastAsia="Arial" w:hAnsi="Arial"/>
          <w:sz w:val="18"/>
          <w:szCs w:val="18"/>
          <w:color w:val="auto"/>
        </w:rPr>
        <w:t>Age 64</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Environment, Safety and</w:t>
      </w:r>
    </w:p>
    <w:p>
      <w:pPr>
        <w:ind w:left="920"/>
        <w:spacing w:after="0" w:line="234" w:lineRule="auto"/>
        <w:rPr>
          <w:sz w:val="20"/>
          <w:szCs w:val="20"/>
          <w:color w:val="auto"/>
        </w:rPr>
      </w:pPr>
      <w:r>
        <w:rPr>
          <w:rFonts w:ascii="Arial" w:cs="Arial" w:eastAsia="Arial" w:hAnsi="Arial"/>
          <w:sz w:val="18"/>
          <w:szCs w:val="18"/>
          <w:color w:val="auto"/>
        </w:rPr>
        <w:t>Public Policy; Nominating</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 Governance</w:t>
      </w:r>
    </w:p>
    <w:p>
      <w:pPr>
        <w:spacing w:after="0" w:line="200" w:lineRule="exact"/>
        <w:rPr>
          <w:sz w:val="20"/>
          <w:szCs w:val="20"/>
          <w:color w:val="auto"/>
        </w:rPr>
      </w:pPr>
    </w:p>
    <w:p>
      <w:pPr>
        <w:spacing w:after="0" w:line="29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Attributes and Skills:</w:t>
      </w:r>
    </w:p>
    <w:p>
      <w:pPr>
        <w:spacing w:after="0" w:line="33" w:lineRule="exact"/>
        <w:rPr>
          <w:sz w:val="20"/>
          <w:szCs w:val="20"/>
          <w:color w:val="auto"/>
        </w:rPr>
      </w:pPr>
    </w:p>
    <w:p>
      <w:pPr>
        <w:ind w:left="1300" w:right="300"/>
        <w:spacing w:after="0" w:line="264" w:lineRule="auto"/>
        <w:rPr>
          <w:sz w:val="20"/>
          <w:szCs w:val="20"/>
          <w:color w:val="auto"/>
        </w:rPr>
      </w:pPr>
      <w:r>
        <w:rPr>
          <w:rFonts w:ascii="Arial" w:cs="Arial" w:eastAsia="Arial" w:hAnsi="Arial"/>
          <w:sz w:val="14"/>
          <w:szCs w:val="14"/>
          <w:color w:val="auto"/>
        </w:rPr>
        <w:t>Current / former CEO of large public company</w:t>
      </w:r>
    </w:p>
    <w:p>
      <w:pPr>
        <w:spacing w:after="0" w:line="50" w:lineRule="exact"/>
        <w:rPr>
          <w:sz w:val="20"/>
          <w:szCs w:val="20"/>
          <w:color w:val="auto"/>
        </w:rPr>
      </w:pPr>
    </w:p>
    <w:p>
      <w:pPr>
        <w:ind w:left="1300" w:right="380"/>
        <w:spacing w:after="0" w:line="285" w:lineRule="auto"/>
        <w:rPr>
          <w:sz w:val="20"/>
          <w:szCs w:val="20"/>
          <w:color w:val="auto"/>
        </w:rPr>
      </w:pPr>
      <w:r>
        <w:rPr>
          <w:rFonts w:ascii="Arial" w:cs="Arial" w:eastAsia="Arial" w:hAnsi="Arial"/>
          <w:sz w:val="14"/>
          <w:szCs w:val="14"/>
          <w:color w:val="auto"/>
        </w:rPr>
        <w:t>Public company board governance experience</w:t>
      </w:r>
    </w:p>
    <w:p>
      <w:pPr>
        <w:spacing w:after="0" w:line="36" w:lineRule="exact"/>
        <w:rPr>
          <w:sz w:val="20"/>
          <w:szCs w:val="20"/>
          <w:color w:val="auto"/>
        </w:rPr>
      </w:pPr>
    </w:p>
    <w:p>
      <w:pPr>
        <w:ind w:left="1300" w:right="620"/>
        <w:spacing w:after="0" w:line="285" w:lineRule="auto"/>
        <w:rPr>
          <w:sz w:val="20"/>
          <w:szCs w:val="20"/>
          <w:color w:val="auto"/>
        </w:rPr>
      </w:pPr>
      <w:r>
        <w:rPr>
          <w:rFonts w:ascii="Arial" w:cs="Arial" w:eastAsia="Arial" w:hAnsi="Arial"/>
          <w:sz w:val="14"/>
          <w:szCs w:val="14"/>
          <w:color w:val="auto"/>
        </w:rPr>
        <w:t>Risk management / investment stewardship experience</w:t>
      </w:r>
    </w:p>
    <w:p>
      <w:pPr>
        <w:spacing w:after="0" w:line="36"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Public policy / regulatory experience</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Global business experience</w:t>
      </w:r>
    </w:p>
    <w:p>
      <w:pPr>
        <w:spacing w:after="0" w:line="163" w:lineRule="exact"/>
        <w:rPr>
          <w:sz w:val="20"/>
          <w:szCs w:val="20"/>
          <w:color w:val="auto"/>
        </w:rPr>
      </w:pPr>
    </w:p>
    <w:p>
      <w:pPr>
        <w:ind w:left="1300"/>
        <w:spacing w:after="0" w:line="285" w:lineRule="auto"/>
        <w:rPr>
          <w:sz w:val="20"/>
          <w:szCs w:val="20"/>
          <w:color w:val="auto"/>
        </w:rPr>
      </w:pPr>
      <w:r>
        <w:rPr>
          <w:rFonts w:ascii="Arial" w:cs="Arial" w:eastAsia="Arial" w:hAnsi="Arial"/>
          <w:sz w:val="14"/>
          <w:szCs w:val="14"/>
          <w:color w:val="auto"/>
        </w:rPr>
        <w:t>Operation experience in capital-intensive industry</w:t>
      </w:r>
    </w:p>
    <w:p>
      <w:pPr>
        <w:spacing w:after="0" w:line="36" w:lineRule="exact"/>
        <w:rPr>
          <w:sz w:val="20"/>
          <w:szCs w:val="20"/>
          <w:color w:val="auto"/>
        </w:rPr>
      </w:pPr>
    </w:p>
    <w:p>
      <w:pPr>
        <w:ind w:left="1300" w:right="560"/>
        <w:spacing w:after="0" w:line="285" w:lineRule="auto"/>
        <w:rPr>
          <w:sz w:val="20"/>
          <w:szCs w:val="20"/>
          <w:color w:val="auto"/>
        </w:rPr>
      </w:pPr>
      <w:r>
        <w:rPr>
          <w:rFonts w:ascii="Arial" w:cs="Arial" w:eastAsia="Arial" w:hAnsi="Arial"/>
          <w:sz w:val="14"/>
          <w:szCs w:val="14"/>
          <w:color w:val="auto"/>
        </w:rPr>
        <w:t>Financial expertise and portfolio management</w:t>
      </w:r>
    </w:p>
    <w:p>
      <w:pPr>
        <w:spacing w:after="0" w:line="36" w:lineRule="exact"/>
        <w:rPr>
          <w:sz w:val="20"/>
          <w:szCs w:val="20"/>
          <w:color w:val="auto"/>
        </w:rPr>
      </w:pPr>
    </w:p>
    <w:p>
      <w:pPr>
        <w:ind w:left="1300" w:right="220"/>
        <w:spacing w:after="0" w:line="285" w:lineRule="auto"/>
        <w:rPr>
          <w:sz w:val="20"/>
          <w:szCs w:val="20"/>
          <w:color w:val="auto"/>
        </w:rPr>
      </w:pPr>
      <w:r>
        <w:rPr>
          <w:rFonts w:ascii="Arial" w:cs="Arial" w:eastAsia="Arial" w:hAnsi="Arial"/>
          <w:sz w:val="14"/>
          <w:szCs w:val="14"/>
          <w:color w:val="auto"/>
        </w:rPr>
        <w:t>Low carbon solutions technology and safety experience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Expertise provided to the Board:</w:t>
      </w:r>
    </w:p>
    <w:p>
      <w:pPr>
        <w:spacing w:after="0" w:line="117"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Mr. Kellner brings extensive experience in a highly regulated and capital-intensive industry, having served as CEO, COO, and Chair of Continental Airlines. Mr. Kellner’s deep operational understanding and executive leadership help the Board understand how best to develop a long-term strategy for a capital-intensive industry.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Qualifications: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Emerald Creek Group, LLC </w:t>
      </w:r>
      <w:r>
        <w:rPr>
          <w:sz w:val="1"/>
          <w:szCs w:val="1"/>
          <w:color w:val="auto"/>
        </w:rPr>
        <w:drawing>
          <wp:inline distT="0" distB="0" distL="0" distR="0">
            <wp:extent cx="154305" cy="154305"/>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drawing>
          <wp:inline distT="0" distB="0" distL="0" distR="0">
            <wp:extent cx="128905" cy="179705"/>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8905" cy="179705"/>
                    </a:xfrm>
                    <a:prstGeom prst="rect">
                      <a:avLst/>
                    </a:prstGeom>
                    <a:noFill/>
                    <a:ln>
                      <a:noFill/>
                    </a:ln>
                  </pic:spPr>
                </pic:pic>
              </a:graphicData>
            </a:graphic>
          </wp:inline>
        </w:drawing>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President (2010 to present)</w:t>
      </w:r>
    </w:p>
    <w:p>
      <w:pPr>
        <w:spacing w:after="0" w:line="149" w:lineRule="exact"/>
        <w:rPr>
          <w:sz w:val="20"/>
          <w:szCs w:val="20"/>
          <w:color w:val="auto"/>
        </w:rPr>
      </w:pPr>
    </w:p>
    <w:p>
      <w:pPr>
        <w:ind w:right="2820"/>
        <w:spacing w:after="0" w:line="385" w:lineRule="auto"/>
        <w:rPr>
          <w:sz w:val="20"/>
          <w:szCs w:val="20"/>
          <w:color w:val="auto"/>
        </w:rPr>
      </w:pPr>
      <w:r>
        <w:rPr>
          <w:rFonts w:ascii="Arial" w:cs="Arial" w:eastAsia="Arial" w:hAnsi="Arial"/>
          <w:sz w:val="18"/>
          <w:szCs w:val="18"/>
          <w:color w:val="auto"/>
        </w:rPr>
        <w:t xml:space="preserve">Continental Airlines, Inc. </w:t>
      </w:r>
      <w:r>
        <w:rPr>
          <w:sz w:val="1"/>
          <w:szCs w:val="1"/>
          <w:color w:val="auto"/>
        </w:rPr>
        <w:drawing>
          <wp:inline distT="0" distB="0" distL="0" distR="0">
            <wp:extent cx="188595" cy="128905"/>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88595" cy="128905"/>
                    </a:xfrm>
                    <a:prstGeom prst="rect">
                      <a:avLst/>
                    </a:prstGeom>
                    <a:noFill/>
                    <a:ln>
                      <a:noFill/>
                    </a:ln>
                  </pic:spPr>
                </pic:pic>
              </a:graphicData>
            </a:graphic>
          </wp:inline>
        </w:drawing>
        <w:drawing>
          <wp:inline distT="0" distB="0" distL="0" distR="0">
            <wp:extent cx="137160" cy="14605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7160" cy="146050"/>
                    </a:xfrm>
                    <a:prstGeom prst="rect">
                      <a:avLst/>
                    </a:prstGeom>
                    <a:noFill/>
                    <a:ln>
                      <a:noFill/>
                    </a:ln>
                  </pic:spPr>
                </pic:pic>
              </a:graphicData>
            </a:graphic>
          </wp:inline>
        </w:drawing>
        <w:drawing>
          <wp:inline distT="0" distB="0" distL="0" distR="0">
            <wp:extent cx="188595" cy="188595"/>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88595" cy="188595"/>
                    </a:xfrm>
                    <a:prstGeom prst="rect">
                      <a:avLst/>
                    </a:prstGeom>
                    <a:noFill/>
                    <a:ln>
                      <a:noFill/>
                    </a:ln>
                  </pic:spPr>
                </pic:pic>
              </a:graphicData>
            </a:graphic>
          </wp:inline>
        </w:drawing>
        <w:drawing>
          <wp:inline distT="0" distB="0" distL="0" distR="0">
            <wp:extent cx="162560" cy="163195"/>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drawing>
          <wp:inline distT="0" distB="0" distL="0" distR="0">
            <wp:extent cx="163195" cy="154305"/>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63195" cy="15430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 xml:space="preserve">    Chairman &amp; CEO (2004 to 2009)</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 xml:space="preserve">    President &amp; COO (2003 to 2004)</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 xml:space="preserve">    President (2001 to 2003)</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Current public company directorships: </w:t>
      </w:r>
      <w:r>
        <w:rPr>
          <w:sz w:val="1"/>
          <w:szCs w:val="1"/>
          <w:color w:val="auto"/>
        </w:rPr>
        <w:drawing>
          <wp:inline distT="0" distB="0" distL="0" distR="0">
            <wp:extent cx="179705" cy="179705"/>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79705" cy="179705"/>
                    </a:xfrm>
                    <a:prstGeom prst="rect">
                      <a:avLst/>
                    </a:prstGeom>
                    <a:noFill/>
                    <a:ln>
                      <a:noFill/>
                    </a:ln>
                  </pic:spPr>
                </pic:pic>
              </a:graphicData>
            </a:graphic>
          </wp:inline>
        </w:drawing>
      </w:r>
    </w:p>
    <w:p>
      <w:pPr>
        <w:spacing w:after="0" w:line="10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Boeing Company (October 2011 to present; Independent Chair December 2019 to present; member of the Aerospace Safety and Governance &amp; Public Policy Committees)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Previous public company directorships in last five years: </w:t>
      </w:r>
      <w:r>
        <w:rPr>
          <w:sz w:val="1"/>
          <w:szCs w:val="1"/>
          <w:color w:val="auto"/>
        </w:rPr>
        <w:drawing>
          <wp:inline distT="0" distB="0" distL="0" distR="0">
            <wp:extent cx="179705" cy="179705"/>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79705" cy="179705"/>
                    </a:xfrm>
                    <a:prstGeom prst="rect">
                      <a:avLst/>
                    </a:prstGeom>
                    <a:noFill/>
                    <a:ln>
                      <a:noFill/>
                    </a:ln>
                  </pic:spPr>
                </pic:pic>
              </a:graphicData>
            </a:graphic>
          </wp:inline>
        </w:drawing>
      </w:r>
    </w:p>
    <w:p>
      <w:pPr>
        <w:spacing w:after="0" w:line="105"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Marriott International, Inc. (July 2002 to May 2022; Lead Independent Director from 2013 to 2022)</w:t>
      </w:r>
    </w:p>
    <w:p>
      <w:pPr>
        <w:ind w:right="100"/>
        <w:spacing w:after="0" w:line="271" w:lineRule="auto"/>
        <w:rPr>
          <w:sz w:val="20"/>
          <w:szCs w:val="20"/>
          <w:color w:val="auto"/>
        </w:rPr>
      </w:pPr>
      <w:r>
        <w:rPr>
          <w:rFonts w:ascii="Arial" w:cs="Arial" w:eastAsia="Arial" w:hAnsi="Arial"/>
          <w:sz w:val="18"/>
          <w:szCs w:val="18"/>
          <w:color w:val="auto"/>
        </w:rPr>
        <w:t>Sabre Corporation (August 2013 to April 2020; Chair of the Board from August 2013 to January 2020)</w:t>
      </w:r>
    </w:p>
    <w:p>
      <w:pPr>
        <w:spacing w:after="0" w:line="1366" w:lineRule="exact"/>
        <w:rPr>
          <w:sz w:val="20"/>
          <w:szCs w:val="20"/>
          <w:color w:val="auto"/>
        </w:rPr>
      </w:pPr>
    </w:p>
    <w:p>
      <w:pPr>
        <w:sectPr>
          <w:pgSz w:w="11900" w:h="16838" w:orient="portrait"/>
          <w:cols w:equalWidth="0" w:num="2">
            <w:col w:w="3900" w:space="140"/>
            <w:col w:w="6340"/>
          </w:cols>
          <w:pgMar w:left="320" w:top="482" w:right="1199" w:bottom="1440" w:gutter="0" w:footer="0" w:header="0"/>
          <w:type w:val="continuous"/>
        </w:sectPr>
      </w:pPr>
    </w:p>
    <w:p>
      <w:pPr>
        <w:spacing w:after="0" w:line="122"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6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380"/>
          </w:cols>
          <w:pgMar w:left="320" w:top="482" w:right="11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208280</wp:posOffset>
            </wp:positionV>
            <wp:extent cx="6189345" cy="71494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189345" cy="7149465"/>
                    </a:xfrm>
                    <a:prstGeom prst="rect">
                      <a:avLst/>
                    </a:prstGeom>
                    <a:noFill/>
                  </pic:spPr>
                </pic:pic>
              </a:graphicData>
            </a:graphic>
          </wp:anchor>
        </w:drawing>
      </w:r>
    </w:p>
    <w:p>
      <w:pPr>
        <w:spacing w:after="0" w:line="333" w:lineRule="exact"/>
        <w:rPr>
          <w:sz w:val="20"/>
          <w:szCs w:val="20"/>
          <w:color w:val="auto"/>
        </w:rPr>
      </w:pPr>
    </w:p>
    <w:p>
      <w:pPr>
        <w:jc w:val="right"/>
        <w:ind w:right="7700"/>
        <w:spacing w:after="0"/>
        <w:rPr>
          <w:sz w:val="20"/>
          <w:szCs w:val="20"/>
          <w:color w:val="auto"/>
        </w:rPr>
      </w:pPr>
      <w:r>
        <w:rPr>
          <w:rFonts w:ascii="Arial" w:cs="Arial" w:eastAsia="Arial" w:hAnsi="Arial"/>
          <w:sz w:val="22"/>
          <w:szCs w:val="22"/>
          <w:b w:val="1"/>
          <w:bCs w:val="1"/>
          <w:color w:val="2B4C9B"/>
        </w:rPr>
        <w:t>Jeffrey W. Ubben</w:t>
      </w:r>
    </w:p>
    <w:p>
      <w:pPr>
        <w:sectPr>
          <w:pgSz w:w="11900" w:h="16838" w:orient="portrait"/>
          <w:cols w:equalWidth="0" w:num="1">
            <w:col w:w="10380"/>
          </w:cols>
          <w:pgMar w:left="320" w:top="482"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Independent director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 since 2021</w:t>
      </w:r>
    </w:p>
    <w:p>
      <w:pPr>
        <w:ind w:left="920"/>
        <w:spacing w:after="0"/>
        <w:rPr>
          <w:sz w:val="20"/>
          <w:szCs w:val="20"/>
          <w:color w:val="auto"/>
        </w:rPr>
      </w:pPr>
      <w:r>
        <w:rPr>
          <w:rFonts w:ascii="Arial" w:cs="Arial" w:eastAsia="Arial" w:hAnsi="Arial"/>
          <w:sz w:val="18"/>
          <w:szCs w:val="18"/>
          <w:color w:val="auto"/>
        </w:rPr>
        <w:t>Age 61</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Environment, Safety and</w:t>
      </w:r>
    </w:p>
    <w:p>
      <w:pPr>
        <w:ind w:left="920"/>
        <w:spacing w:after="0"/>
        <w:rPr>
          <w:sz w:val="20"/>
          <w:szCs w:val="20"/>
          <w:color w:val="auto"/>
        </w:rPr>
      </w:pPr>
      <w:r>
        <w:rPr>
          <w:rFonts w:ascii="Arial" w:cs="Arial" w:eastAsia="Arial" w:hAnsi="Arial"/>
          <w:sz w:val="18"/>
          <w:szCs w:val="18"/>
          <w:color w:val="auto"/>
        </w:rPr>
        <w:t>Public Policy; Finance</w:t>
      </w:r>
    </w:p>
    <w:p>
      <w:pPr>
        <w:spacing w:after="0" w:line="200" w:lineRule="exact"/>
        <w:rPr>
          <w:sz w:val="20"/>
          <w:szCs w:val="20"/>
          <w:color w:val="auto"/>
        </w:rPr>
      </w:pPr>
    </w:p>
    <w:p>
      <w:pPr>
        <w:spacing w:after="0" w:line="29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Attributes and Skills:</w:t>
      </w:r>
    </w:p>
    <w:p>
      <w:pPr>
        <w:spacing w:after="0" w:line="59" w:lineRule="exact"/>
        <w:rPr>
          <w:sz w:val="20"/>
          <w:szCs w:val="20"/>
          <w:color w:val="auto"/>
        </w:rPr>
      </w:pPr>
    </w:p>
    <w:p>
      <w:pPr>
        <w:ind w:left="1300" w:right="340"/>
        <w:spacing w:after="0" w:line="285" w:lineRule="auto"/>
        <w:rPr>
          <w:sz w:val="20"/>
          <w:szCs w:val="20"/>
          <w:color w:val="auto"/>
        </w:rPr>
      </w:pPr>
      <w:r>
        <w:rPr>
          <w:rFonts w:ascii="Arial" w:cs="Arial" w:eastAsia="Arial" w:hAnsi="Arial"/>
          <w:sz w:val="14"/>
          <w:szCs w:val="14"/>
          <w:color w:val="auto"/>
        </w:rPr>
        <w:t>Financial expertise and portfolio management</w:t>
      </w:r>
    </w:p>
    <w:p>
      <w:pPr>
        <w:spacing w:after="0" w:line="90" w:lineRule="exact"/>
        <w:rPr>
          <w:sz w:val="20"/>
          <w:szCs w:val="20"/>
          <w:color w:val="auto"/>
        </w:rPr>
      </w:pPr>
    </w:p>
    <w:p>
      <w:pPr>
        <w:ind w:left="1300" w:right="400"/>
        <w:spacing w:after="0" w:line="285" w:lineRule="auto"/>
        <w:rPr>
          <w:sz w:val="20"/>
          <w:szCs w:val="20"/>
          <w:color w:val="auto"/>
        </w:rPr>
      </w:pPr>
      <w:r>
        <w:rPr>
          <w:rFonts w:ascii="Arial" w:cs="Arial" w:eastAsia="Arial" w:hAnsi="Arial"/>
          <w:sz w:val="14"/>
          <w:szCs w:val="14"/>
          <w:color w:val="auto"/>
        </w:rPr>
        <w:t>Risk management / investment stewardship experience</w:t>
      </w:r>
    </w:p>
    <w:p>
      <w:pPr>
        <w:spacing w:after="0" w:line="90" w:lineRule="exact"/>
        <w:rPr>
          <w:sz w:val="20"/>
          <w:szCs w:val="20"/>
          <w:color w:val="auto"/>
        </w:rPr>
      </w:pPr>
    </w:p>
    <w:p>
      <w:pPr>
        <w:ind w:left="1300" w:right="400"/>
        <w:spacing w:after="0" w:line="285" w:lineRule="auto"/>
        <w:rPr>
          <w:sz w:val="20"/>
          <w:szCs w:val="20"/>
          <w:color w:val="auto"/>
        </w:rPr>
      </w:pPr>
      <w:r>
        <w:rPr>
          <w:rFonts w:ascii="Arial" w:cs="Arial" w:eastAsia="Arial" w:hAnsi="Arial"/>
          <w:sz w:val="14"/>
          <w:szCs w:val="14"/>
          <w:color w:val="auto"/>
        </w:rPr>
        <w:t>Relevant scientific / technology experience</w:t>
      </w:r>
    </w:p>
    <w:p>
      <w:pPr>
        <w:spacing w:after="0" w:line="104" w:lineRule="exact"/>
        <w:rPr>
          <w:sz w:val="20"/>
          <w:szCs w:val="20"/>
          <w:color w:val="auto"/>
        </w:rPr>
      </w:pPr>
    </w:p>
    <w:p>
      <w:pPr>
        <w:ind w:left="1300"/>
        <w:spacing w:after="0" w:line="285" w:lineRule="auto"/>
        <w:rPr>
          <w:sz w:val="20"/>
          <w:szCs w:val="20"/>
          <w:color w:val="auto"/>
        </w:rPr>
      </w:pPr>
      <w:r>
        <w:rPr>
          <w:rFonts w:ascii="Arial" w:cs="Arial" w:eastAsia="Arial" w:hAnsi="Arial"/>
          <w:sz w:val="14"/>
          <w:szCs w:val="14"/>
          <w:color w:val="auto"/>
        </w:rPr>
        <w:t>Low carbon solutions technology and safety experience</w:t>
      </w:r>
    </w:p>
    <w:p>
      <w:pPr>
        <w:spacing w:after="0" w:line="90" w:lineRule="exact"/>
        <w:rPr>
          <w:sz w:val="20"/>
          <w:szCs w:val="20"/>
          <w:color w:val="auto"/>
        </w:rPr>
      </w:pPr>
    </w:p>
    <w:p>
      <w:pPr>
        <w:ind w:left="1300" w:right="160"/>
        <w:spacing w:after="0" w:line="285" w:lineRule="auto"/>
        <w:rPr>
          <w:sz w:val="20"/>
          <w:szCs w:val="20"/>
          <w:color w:val="auto"/>
        </w:rPr>
      </w:pPr>
      <w:r>
        <w:rPr>
          <w:rFonts w:ascii="Arial" w:cs="Arial" w:eastAsia="Arial" w:hAnsi="Arial"/>
          <w:sz w:val="14"/>
          <w:szCs w:val="14"/>
          <w:color w:val="auto"/>
        </w:rPr>
        <w:t>Public company board governance experience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Expertise provided to the Board:</w:t>
      </w:r>
    </w:p>
    <w:p>
      <w:pPr>
        <w:spacing w:after="0" w:line="117"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Having served on over 20 public company boards, Mr. Ubben brings a long history of successfully challenging and working alongside boards and management teams to grow value for shareholders. His expertise in return-driven, environmental and socially active investing, including his unique knowledge and experience investing in the energy transition, helps the Board make better strategic and investing decisions around low carbon solutions, including carbon capture and hydrogen technologies.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Qualifications: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Inclusive Capital Partners, L.P. </w:t>
      </w:r>
      <w:r>
        <w:rPr>
          <w:sz w:val="1"/>
          <w:szCs w:val="1"/>
          <w:color w:val="auto"/>
        </w:rPr>
        <w:drawing>
          <wp:inline distT="0" distB="0" distL="0" distR="0">
            <wp:extent cx="154305" cy="154305"/>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drawing>
          <wp:inline distT="0" distB="0" distL="0" distR="0">
            <wp:extent cx="128905" cy="18034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8905" cy="180340"/>
                    </a:xfrm>
                    <a:prstGeom prst="rect">
                      <a:avLst/>
                    </a:prstGeom>
                    <a:noFill/>
                    <a:ln>
                      <a:noFill/>
                    </a:ln>
                  </pic:spPr>
                </pic:pic>
              </a:graphicData>
            </a:graphic>
          </wp:inline>
        </w:drawing>
        <w:drawing>
          <wp:inline distT="0" distB="0" distL="0" distR="0">
            <wp:extent cx="171450" cy="21463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71450" cy="214630"/>
                    </a:xfrm>
                    <a:prstGeom prst="rect">
                      <a:avLst/>
                    </a:prstGeom>
                    <a:noFill/>
                    <a:ln>
                      <a:noFill/>
                    </a:ln>
                  </pic:spPr>
                </pic:pic>
              </a:graphicData>
            </a:graphic>
          </wp:inline>
        </w:drawing>
        <w:drawing>
          <wp:inline distT="0" distB="0" distL="0" distR="0">
            <wp:extent cx="163195" cy="154305"/>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63195" cy="154305"/>
                    </a:xfrm>
                    <a:prstGeom prst="rect">
                      <a:avLst/>
                    </a:prstGeom>
                    <a:noFill/>
                    <a:ln>
                      <a:noFill/>
                    </a:ln>
                  </pic:spPr>
                </pic:pic>
              </a:graphicData>
            </a:graphic>
          </wp:inline>
        </w:drawing>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Founder, Portfolio Manager and Managing Partner (2020 to present)</w:t>
      </w:r>
    </w:p>
    <w:p>
      <w:pPr>
        <w:spacing w:after="0" w:line="130" w:lineRule="exact"/>
        <w:rPr>
          <w:sz w:val="20"/>
          <w:szCs w:val="20"/>
          <w:color w:val="auto"/>
        </w:rPr>
      </w:pPr>
    </w:p>
    <w:p>
      <w:pPr>
        <w:ind w:left="300" w:right="180" w:hanging="305"/>
        <w:spacing w:after="0" w:line="285" w:lineRule="auto"/>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Inclusive Capital Partners is focused on increasing shareholder value and</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promoting sound environmental, social, and governance practices</w:t>
      </w:r>
    </w:p>
    <w:p>
      <w:pPr>
        <w:spacing w:after="0" w:line="106" w:lineRule="exact"/>
        <w:rPr>
          <w:sz w:val="20"/>
          <w:szCs w:val="20"/>
          <w:color w:val="auto"/>
        </w:rPr>
      </w:pPr>
    </w:p>
    <w:p>
      <w:pPr>
        <w:ind w:right="2660"/>
        <w:spacing w:after="0" w:line="339" w:lineRule="auto"/>
        <w:rPr>
          <w:sz w:val="20"/>
          <w:szCs w:val="20"/>
          <w:color w:val="auto"/>
        </w:rPr>
      </w:pPr>
      <w:r>
        <w:rPr>
          <w:rFonts w:ascii="Arial" w:cs="Arial" w:eastAsia="Arial" w:hAnsi="Arial"/>
          <w:sz w:val="18"/>
          <w:szCs w:val="18"/>
          <w:color w:val="auto"/>
        </w:rPr>
        <w:t xml:space="preserve">ValueAct Capital Management, L.P. </w:t>
      </w:r>
      <w:r>
        <w:rPr>
          <w:sz w:val="1"/>
          <w:szCs w:val="1"/>
          <w:color w:val="auto"/>
        </w:rPr>
        <w:drawing>
          <wp:inline distT="0" distB="0" distL="0" distR="0">
            <wp:extent cx="154305" cy="154305"/>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drawing>
          <wp:inline distT="0" distB="0" distL="0" distR="0">
            <wp:extent cx="128905" cy="18034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8905" cy="180340"/>
                    </a:xfrm>
                    <a:prstGeom prst="rect">
                      <a:avLst/>
                    </a:prstGeom>
                    <a:noFill/>
                    <a:ln>
                      <a:noFill/>
                    </a:ln>
                  </pic:spPr>
                </pic:pic>
              </a:graphicData>
            </a:graphic>
          </wp:inline>
        </w:drawing>
        <w:drawing>
          <wp:inline distT="0" distB="0" distL="0" distR="0">
            <wp:extent cx="171450" cy="21463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71450" cy="21463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 xml:space="preserve">    Founder &amp; CEO (2000 to 2020)</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 xml:space="preserve">    CIO (2000 to 2017)</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Blum Capital Partners, L.P. </w:t>
      </w:r>
      <w:r>
        <w:rPr>
          <w:sz w:val="1"/>
          <w:szCs w:val="1"/>
          <w:color w:val="auto"/>
        </w:rPr>
        <w:drawing>
          <wp:inline distT="0" distB="0" distL="0" distR="0">
            <wp:extent cx="154305" cy="154305"/>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drawing>
          <wp:inline distT="0" distB="0" distL="0" distR="0">
            <wp:extent cx="128905" cy="179705"/>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8905" cy="179705"/>
                    </a:xfrm>
                    <a:prstGeom prst="rect">
                      <a:avLst/>
                    </a:prstGeom>
                    <a:noFill/>
                    <a:ln>
                      <a:noFill/>
                    </a:ln>
                  </pic:spPr>
                </pic:pic>
              </a:graphicData>
            </a:graphic>
          </wp:inline>
        </w:drawing>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Managing Partner (1995 to 2000)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Fidelity Investments </w:t>
      </w:r>
      <w:r>
        <w:rPr>
          <w:sz w:val="1"/>
          <w:szCs w:val="1"/>
          <w:color w:val="auto"/>
        </w:rPr>
        <w:drawing>
          <wp:inline distT="0" distB="0" distL="0" distR="0">
            <wp:extent cx="154305" cy="154305"/>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drawing>
          <wp:inline distT="0" distB="0" distL="0" distR="0">
            <wp:extent cx="128270" cy="179705"/>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8270" cy="179705"/>
                    </a:xfrm>
                    <a:prstGeom prst="rect">
                      <a:avLst/>
                    </a:prstGeom>
                    <a:noFill/>
                    <a:ln>
                      <a:noFill/>
                    </a:ln>
                  </pic:spPr>
                </pic:pic>
              </a:graphicData>
            </a:graphic>
          </wp:inline>
        </w:drawing>
      </w:r>
    </w:p>
    <w:p>
      <w:pPr>
        <w:spacing w:after="0" w:line="105" w:lineRule="exact"/>
        <w:rPr>
          <w:sz w:val="20"/>
          <w:szCs w:val="20"/>
          <w:color w:val="auto"/>
        </w:rPr>
      </w:pPr>
    </w:p>
    <w:p>
      <w:pPr>
        <w:ind w:left="300" w:right="480" w:hanging="305"/>
        <w:spacing w:after="0" w:line="285" w:lineRule="auto"/>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Served in various positions including Portfolio Manager and Research</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Analyst (1987 to 1995)</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Current public company directorships: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Vistry Group Plc (March 2023 to present)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Enviva Inc. (June 2020 to present)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Previous public company directorships in last five years: </w:t>
      </w:r>
      <w:r>
        <w:rPr>
          <w:sz w:val="1"/>
          <w:szCs w:val="1"/>
          <w:color w:val="auto"/>
        </w:rPr>
        <w:drawing>
          <wp:inline distT="0" distB="0" distL="0" distR="0">
            <wp:extent cx="179705" cy="18034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79705" cy="180340"/>
                    </a:xfrm>
                    <a:prstGeom prst="rect">
                      <a:avLst/>
                    </a:prstGeom>
                    <a:noFill/>
                    <a:ln>
                      <a:noFill/>
                    </a:ln>
                  </pic:spPr>
                </pic:pic>
              </a:graphicData>
            </a:graphic>
          </wp:inline>
        </w:drawing>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Fertiglobe Plc (November 2021 to March 2023)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AppHarvest, Inc. (May 2019 to March 2022)</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Nikola Corporation (September 2019 to February 2022; Chair of the Nominating and Corporate Governance Committee)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The AES Corporation (January 2018 to March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Twenty-First Century Fox, Inc. (November 2015 to April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affiliations:</w:t>
      </w:r>
    </w:p>
    <w:p>
      <w:pPr>
        <w:spacing w:after="0" w:line="117"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World Wildlife Fund (Board member); E.O. Wilson Biodiversity Foundation (Board member); The Redford Center (Board member); and Duke University (Board member)</w:t>
      </w:r>
    </w:p>
    <w:p>
      <w:pPr>
        <w:spacing w:after="0" w:line="108" w:lineRule="exact"/>
        <w:rPr>
          <w:sz w:val="20"/>
          <w:szCs w:val="20"/>
          <w:color w:val="auto"/>
        </w:rPr>
      </w:pPr>
    </w:p>
    <w:p>
      <w:pPr>
        <w:sectPr>
          <w:pgSz w:w="11900" w:h="16838" w:orient="portrait"/>
          <w:cols w:equalWidth="0" w:num="2">
            <w:col w:w="3660" w:space="380"/>
            <w:col w:w="6340"/>
          </w:cols>
          <w:pgMar w:left="320" w:top="482" w:right="1199" w:bottom="1440" w:gutter="0" w:footer="0" w:header="0"/>
          <w:type w:val="continuous"/>
        </w:sectPr>
      </w:pPr>
    </w:p>
    <w:p>
      <w:pPr>
        <w:ind w:left="780"/>
        <w:spacing w:after="0"/>
        <w:tabs>
          <w:tab w:leader="none" w:pos="1486" w:val="left"/>
        </w:tabs>
        <w:rPr>
          <w:sz w:val="20"/>
          <w:szCs w:val="20"/>
          <w:color w:val="auto"/>
        </w:rPr>
      </w:pPr>
      <w:r>
        <w:rPr>
          <w:rFonts w:ascii="Arial" w:cs="Arial" w:eastAsia="Arial" w:hAnsi="Arial"/>
          <w:sz w:val="18"/>
          <w:szCs w:val="18"/>
          <w:color w:val="auto"/>
        </w:rPr>
        <w:t>18</w:t>
      </w:r>
      <w:r>
        <w:rPr>
          <w:sz w:val="20"/>
          <w:szCs w:val="20"/>
          <w:color w:val="auto"/>
        </w:rPr>
        <w:tab/>
      </w:r>
      <w:r>
        <w:rPr>
          <w:sz w:val="1"/>
          <w:szCs w:val="1"/>
          <w:color w:val="auto"/>
        </w:rPr>
        <w:drawing>
          <wp:inline distT="0" distB="0" distL="0" distR="0">
            <wp:extent cx="737235" cy="14605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2023 Proxy Statement</w:t>
      </w:r>
    </w:p>
    <w:p>
      <w:pPr>
        <w:sectPr>
          <w:pgSz w:w="11900" w:h="16838" w:orient="portrait"/>
          <w:cols w:equalWidth="0" w:num="1">
            <w:col w:w="10380"/>
          </w:cols>
          <w:pgMar w:left="320" w:top="482" w:right="11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208280</wp:posOffset>
            </wp:positionV>
            <wp:extent cx="6189345" cy="58547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189345" cy="5854700"/>
                    </a:xfrm>
                    <a:prstGeom prst="rect">
                      <a:avLst/>
                    </a:prstGeom>
                    <a:noFill/>
                  </pic:spPr>
                </pic:pic>
              </a:graphicData>
            </a:graphic>
          </wp:anchor>
        </w:drawing>
      </w:r>
    </w:p>
    <w:p>
      <w:pPr>
        <w:spacing w:after="0" w:line="333" w:lineRule="exact"/>
        <w:rPr>
          <w:sz w:val="20"/>
          <w:szCs w:val="20"/>
          <w:color w:val="auto"/>
        </w:rPr>
      </w:pPr>
    </w:p>
    <w:p>
      <w:pPr>
        <w:jc w:val="right"/>
        <w:ind w:right="7720"/>
        <w:spacing w:after="0"/>
        <w:rPr>
          <w:sz w:val="20"/>
          <w:szCs w:val="20"/>
          <w:color w:val="auto"/>
        </w:rPr>
      </w:pPr>
      <w:r>
        <w:rPr>
          <w:rFonts w:ascii="Arial" w:cs="Arial" w:eastAsia="Arial" w:hAnsi="Arial"/>
          <w:sz w:val="22"/>
          <w:szCs w:val="22"/>
          <w:b w:val="1"/>
          <w:bCs w:val="1"/>
          <w:color w:val="2B4C9B"/>
        </w:rPr>
        <w:t>Darren W. Woods</w:t>
      </w:r>
    </w:p>
    <w:p>
      <w:pPr>
        <w:sectPr>
          <w:pgSz w:w="11900" w:h="16838" w:orient="portrait"/>
          <w:cols w:equalWidth="0" w:num="1">
            <w:col w:w="10420"/>
          </w:cols>
          <w:pgMar w:left="320" w:top="482"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Chief Executive Officer</w:t>
      </w:r>
    </w:p>
    <w:p>
      <w:pPr>
        <w:ind w:left="920"/>
        <w:spacing w:after="0" w:line="234" w:lineRule="auto"/>
        <w:rPr>
          <w:sz w:val="20"/>
          <w:szCs w:val="20"/>
          <w:color w:val="auto"/>
        </w:rPr>
      </w:pPr>
      <w:r>
        <w:rPr>
          <w:rFonts w:ascii="Arial" w:cs="Arial" w:eastAsia="Arial" w:hAnsi="Arial"/>
          <w:sz w:val="18"/>
          <w:szCs w:val="18"/>
          <w:color w:val="auto"/>
        </w:rPr>
        <w:t>Director since 2016</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Age 58</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Committees:</w:t>
      </w:r>
    </w:p>
    <w:p>
      <w:pPr>
        <w:spacing w:after="0" w:line="14" w:lineRule="exact"/>
        <w:rPr>
          <w:sz w:val="20"/>
          <w:szCs w:val="20"/>
          <w:color w:val="auto"/>
        </w:rPr>
      </w:pPr>
    </w:p>
    <w:p>
      <w:pPr>
        <w:jc w:val="center"/>
        <w:ind w:left="60"/>
        <w:spacing w:after="0"/>
        <w:rPr>
          <w:sz w:val="20"/>
          <w:szCs w:val="20"/>
          <w:color w:val="auto"/>
        </w:rPr>
      </w:pPr>
      <w:r>
        <w:rPr>
          <w:rFonts w:ascii="Arial" w:cs="Arial" w:eastAsia="Arial" w:hAnsi="Arial"/>
          <w:sz w:val="17"/>
          <w:szCs w:val="17"/>
          <w:color w:val="auto"/>
        </w:rPr>
        <w:t>Executive (Chair); Finance</w:t>
      </w:r>
    </w:p>
    <w:p>
      <w:pPr>
        <w:spacing w:after="0" w:line="200" w:lineRule="exact"/>
        <w:rPr>
          <w:sz w:val="20"/>
          <w:szCs w:val="20"/>
          <w:color w:val="auto"/>
        </w:rPr>
      </w:pPr>
    </w:p>
    <w:p>
      <w:pPr>
        <w:spacing w:after="0" w:line="30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Attributes and Skills:</w:t>
      </w:r>
    </w:p>
    <w:p>
      <w:pPr>
        <w:spacing w:after="0" w:line="33" w:lineRule="exact"/>
        <w:rPr>
          <w:sz w:val="20"/>
          <w:szCs w:val="20"/>
          <w:color w:val="auto"/>
        </w:rPr>
      </w:pPr>
    </w:p>
    <w:p>
      <w:pPr>
        <w:ind w:left="1300" w:right="300"/>
        <w:spacing w:after="0" w:line="264" w:lineRule="auto"/>
        <w:rPr>
          <w:sz w:val="20"/>
          <w:szCs w:val="20"/>
          <w:color w:val="auto"/>
        </w:rPr>
      </w:pPr>
      <w:r>
        <w:rPr>
          <w:rFonts w:ascii="Arial" w:cs="Arial" w:eastAsia="Arial" w:hAnsi="Arial"/>
          <w:sz w:val="14"/>
          <w:szCs w:val="14"/>
          <w:color w:val="auto"/>
        </w:rPr>
        <w:t>Current / former CEO of large public company</w:t>
      </w:r>
    </w:p>
    <w:p>
      <w:pPr>
        <w:spacing w:after="0" w:line="50"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Global business experience</w:t>
      </w:r>
    </w:p>
    <w:p>
      <w:pPr>
        <w:spacing w:after="0" w:line="163" w:lineRule="exact"/>
        <w:rPr>
          <w:sz w:val="20"/>
          <w:szCs w:val="20"/>
          <w:color w:val="auto"/>
        </w:rPr>
      </w:pPr>
    </w:p>
    <w:p>
      <w:pPr>
        <w:ind w:left="1300" w:right="240"/>
        <w:spacing w:after="0" w:line="285" w:lineRule="auto"/>
        <w:rPr>
          <w:sz w:val="20"/>
          <w:szCs w:val="20"/>
          <w:color w:val="auto"/>
        </w:rPr>
      </w:pPr>
      <w:r>
        <w:rPr>
          <w:rFonts w:ascii="Arial" w:cs="Arial" w:eastAsia="Arial" w:hAnsi="Arial"/>
          <w:sz w:val="14"/>
          <w:szCs w:val="14"/>
          <w:color w:val="auto"/>
        </w:rPr>
        <w:t>Leadership experience in large-scale energy / commodity business</w:t>
      </w:r>
    </w:p>
    <w:p>
      <w:pPr>
        <w:spacing w:after="0" w:line="36" w:lineRule="exact"/>
        <w:rPr>
          <w:sz w:val="20"/>
          <w:szCs w:val="20"/>
          <w:color w:val="auto"/>
        </w:rPr>
      </w:pPr>
    </w:p>
    <w:p>
      <w:pPr>
        <w:ind w:left="1300"/>
        <w:spacing w:after="0" w:line="285" w:lineRule="auto"/>
        <w:rPr>
          <w:sz w:val="20"/>
          <w:szCs w:val="20"/>
          <w:color w:val="auto"/>
        </w:rPr>
      </w:pPr>
      <w:r>
        <w:rPr>
          <w:rFonts w:ascii="Arial" w:cs="Arial" w:eastAsia="Arial" w:hAnsi="Arial"/>
          <w:sz w:val="14"/>
          <w:szCs w:val="14"/>
          <w:color w:val="auto"/>
        </w:rPr>
        <w:t>Operation experience in capital-intensive industry</w:t>
      </w:r>
    </w:p>
    <w:p>
      <w:pPr>
        <w:spacing w:after="0" w:line="36" w:lineRule="exact"/>
        <w:rPr>
          <w:sz w:val="20"/>
          <w:szCs w:val="20"/>
          <w:color w:val="auto"/>
        </w:rPr>
      </w:pPr>
    </w:p>
    <w:p>
      <w:pPr>
        <w:ind w:left="1300" w:right="380"/>
        <w:spacing w:after="0" w:line="285" w:lineRule="auto"/>
        <w:rPr>
          <w:sz w:val="20"/>
          <w:szCs w:val="20"/>
          <w:color w:val="auto"/>
        </w:rPr>
      </w:pPr>
      <w:r>
        <w:rPr>
          <w:rFonts w:ascii="Arial" w:cs="Arial" w:eastAsia="Arial" w:hAnsi="Arial"/>
          <w:sz w:val="14"/>
          <w:szCs w:val="14"/>
          <w:color w:val="auto"/>
        </w:rPr>
        <w:t>Public company board governance experience</w:t>
      </w:r>
    </w:p>
    <w:p>
      <w:pPr>
        <w:spacing w:after="0" w:line="36"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Public policy / regulatory experience</w:t>
      </w:r>
    </w:p>
    <w:p>
      <w:pPr>
        <w:spacing w:after="0" w:line="231" w:lineRule="exact"/>
        <w:rPr>
          <w:sz w:val="20"/>
          <w:szCs w:val="20"/>
          <w:color w:val="auto"/>
        </w:rPr>
      </w:pPr>
    </w:p>
    <w:p>
      <w:pPr>
        <w:ind w:left="1300" w:right="220"/>
        <w:spacing w:after="0" w:line="285" w:lineRule="auto"/>
        <w:rPr>
          <w:sz w:val="20"/>
          <w:szCs w:val="20"/>
          <w:color w:val="auto"/>
        </w:rPr>
      </w:pPr>
      <w:r>
        <w:rPr>
          <w:rFonts w:ascii="Arial" w:cs="Arial" w:eastAsia="Arial" w:hAnsi="Arial"/>
          <w:sz w:val="14"/>
          <w:szCs w:val="14"/>
          <w:color w:val="auto"/>
        </w:rPr>
        <w:t>Low carbon solutions technology and safety experience</w:t>
      </w:r>
    </w:p>
    <w:p>
      <w:pPr>
        <w:spacing w:after="0" w:line="104" w:lineRule="exact"/>
        <w:rPr>
          <w:sz w:val="20"/>
          <w:szCs w:val="20"/>
          <w:color w:val="auto"/>
        </w:rPr>
      </w:pPr>
    </w:p>
    <w:p>
      <w:pPr>
        <w:ind w:left="1300" w:right="560"/>
        <w:spacing w:after="0" w:line="285" w:lineRule="auto"/>
        <w:rPr>
          <w:sz w:val="20"/>
          <w:szCs w:val="20"/>
          <w:color w:val="auto"/>
        </w:rPr>
      </w:pPr>
      <w:r>
        <w:rPr>
          <w:rFonts w:ascii="Arial" w:cs="Arial" w:eastAsia="Arial" w:hAnsi="Arial"/>
          <w:sz w:val="14"/>
          <w:szCs w:val="14"/>
          <w:color w:val="auto"/>
        </w:rPr>
        <w:t>Financial expertise and portfolio management</w:t>
      </w:r>
    </w:p>
    <w:p>
      <w:pPr>
        <w:spacing w:after="0" w:line="104" w:lineRule="exact"/>
        <w:rPr>
          <w:sz w:val="20"/>
          <w:szCs w:val="20"/>
          <w:color w:val="auto"/>
        </w:rPr>
      </w:pPr>
    </w:p>
    <w:p>
      <w:pPr>
        <w:ind w:left="1300" w:right="620"/>
        <w:spacing w:after="0" w:line="285" w:lineRule="auto"/>
        <w:rPr>
          <w:sz w:val="20"/>
          <w:szCs w:val="20"/>
          <w:color w:val="auto"/>
        </w:rPr>
      </w:pPr>
      <w:r>
        <w:rPr>
          <w:rFonts w:ascii="Arial" w:cs="Arial" w:eastAsia="Arial" w:hAnsi="Arial"/>
          <w:sz w:val="14"/>
          <w:szCs w:val="14"/>
          <w:color w:val="auto"/>
        </w:rPr>
        <w:t>Risk management / investment stewardship experience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Expertise provided to the Board:</w:t>
      </w:r>
    </w:p>
    <w:p>
      <w:pPr>
        <w:spacing w:after="0" w:line="117"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Mr. Woods brings more than 30 years of global industry experience managing highly sophisticated, safety-critical operations and has held a number of senior leadership roles in multiple international business units prior to being promoted to CEO. His in-depth understanding of Company operations, knowledge of global business, markets, and strategy, and experience leading transformational change, helps the Board to better understand and navigate the complex issues associated with transforming a multi-dimensional, capital intensive, commodity business through a thoughtful, long-term energy transition.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Qualifications:</w:t>
      </w:r>
    </w:p>
    <w:p>
      <w:pPr>
        <w:spacing w:after="0" w:line="136" w:lineRule="exact"/>
        <w:rPr>
          <w:sz w:val="20"/>
          <w:szCs w:val="20"/>
          <w:color w:val="auto"/>
        </w:rPr>
      </w:pPr>
    </w:p>
    <w:p>
      <w:pPr>
        <w:ind w:right="1280"/>
        <w:spacing w:after="0" w:line="380" w:lineRule="auto"/>
        <w:rPr>
          <w:sz w:val="20"/>
          <w:szCs w:val="20"/>
          <w:color w:val="auto"/>
        </w:rPr>
      </w:pPr>
      <w:r>
        <w:rPr>
          <w:rFonts w:ascii="Arial" w:cs="Arial" w:eastAsia="Arial" w:hAnsi="Arial"/>
          <w:sz w:val="18"/>
          <w:szCs w:val="18"/>
          <w:color w:val="auto"/>
        </w:rPr>
        <w:t xml:space="preserve">ExxonMobil (1992 to present) </w:t>
      </w:r>
      <w:r>
        <w:rPr>
          <w:sz w:val="1"/>
          <w:szCs w:val="1"/>
          <w:color w:val="auto"/>
        </w:rPr>
        <w:drawing>
          <wp:inline distT="0" distB="0" distL="0" distR="0">
            <wp:extent cx="188595" cy="128905"/>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88595" cy="128905"/>
                    </a:xfrm>
                    <a:prstGeom prst="rect">
                      <a:avLst/>
                    </a:prstGeom>
                    <a:noFill/>
                    <a:ln>
                      <a:noFill/>
                    </a:ln>
                  </pic:spPr>
                </pic:pic>
              </a:graphicData>
            </a:graphic>
          </wp:inline>
        </w:drawing>
        <w:drawing>
          <wp:inline distT="0" distB="0" distL="0" distR="0">
            <wp:extent cx="137160" cy="145415"/>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7160" cy="145415"/>
                    </a:xfrm>
                    <a:prstGeom prst="rect">
                      <a:avLst/>
                    </a:prstGeom>
                    <a:noFill/>
                    <a:ln>
                      <a:noFill/>
                    </a:ln>
                  </pic:spPr>
                </pic:pic>
              </a:graphicData>
            </a:graphic>
          </wp:inline>
        </w:drawing>
        <w:drawing>
          <wp:inline distT="0" distB="0" distL="0" distR="0">
            <wp:extent cx="154305" cy="17145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54305" cy="171450"/>
                    </a:xfrm>
                    <a:prstGeom prst="rect">
                      <a:avLst/>
                    </a:prstGeom>
                    <a:noFill/>
                    <a:ln>
                      <a:noFill/>
                    </a:ln>
                  </pic:spPr>
                </pic:pic>
              </a:graphicData>
            </a:graphic>
          </wp:inline>
        </w:drawing>
        <w:drawing>
          <wp:inline distT="0" distB="0" distL="0" distR="0">
            <wp:extent cx="162560" cy="163195"/>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drawing>
          <wp:inline distT="0" distB="0" distL="0" distR="0">
            <wp:extent cx="179705" cy="179705"/>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79705" cy="179705"/>
                    </a:xfrm>
                    <a:prstGeom prst="rect">
                      <a:avLst/>
                    </a:prstGeom>
                    <a:noFill/>
                    <a:ln>
                      <a:noFill/>
                    </a:ln>
                  </pic:spPr>
                </pic:pic>
              </a:graphicData>
            </a:graphic>
          </wp:inline>
        </w:drawing>
        <w:drawing>
          <wp:inline distT="0" distB="0" distL="0" distR="0">
            <wp:extent cx="188595" cy="188595"/>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88595" cy="188595"/>
                    </a:xfrm>
                    <a:prstGeom prst="rect">
                      <a:avLst/>
                    </a:prstGeom>
                    <a:noFill/>
                    <a:ln>
                      <a:noFill/>
                    </a:ln>
                  </pic:spPr>
                </pic:pic>
              </a:graphicData>
            </a:graphic>
          </wp:inline>
        </w:drawing>
        <w:drawing>
          <wp:inline distT="0" distB="0" distL="0" distR="0">
            <wp:extent cx="163195" cy="154305"/>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63195" cy="154305"/>
                    </a:xfrm>
                    <a:prstGeom prst="rect">
                      <a:avLst/>
                    </a:prstGeom>
                    <a:noFill/>
                    <a:ln>
                      <a:noFill/>
                    </a:ln>
                  </pic:spPr>
                </pic:pic>
              </a:graphicData>
            </a:graphic>
          </wp:inline>
        </w:drawing>
        <w:drawing>
          <wp:inline distT="0" distB="0" distL="0" distR="0">
            <wp:extent cx="154305" cy="154305"/>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drawing>
          <wp:inline distT="0" distB="0" distL="0" distR="0">
            <wp:extent cx="128905" cy="179705"/>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8905" cy="17970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 xml:space="preserve">    Chair &amp; CEO (2017 to present)</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 xml:space="preserve">    President (2016 to present)</w:t>
      </w:r>
    </w:p>
    <w:p>
      <w:pPr>
        <w:ind w:left="320" w:right="360" w:hanging="305"/>
        <w:spacing w:after="0" w:line="285" w:lineRule="auto"/>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Vice President, and President, ExxonMobil Refining &amp; Supply Company</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(2012 to 2014)</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Current public company directorships: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Previous public company directorships in last five years: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affiliations:</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Business Roundtable (member); American Petroleum Institute (former Chair); Business Council (member); Center for Strategic and International Studies (Trustee); Oil and Gas Climate Initiative; and National Petroleum Council (Chair)</w:t>
      </w:r>
    </w:p>
    <w:p>
      <w:pPr>
        <w:spacing w:after="0" w:line="1931" w:lineRule="exact"/>
        <w:rPr>
          <w:sz w:val="20"/>
          <w:szCs w:val="20"/>
          <w:color w:val="auto"/>
        </w:rPr>
      </w:pPr>
    </w:p>
    <w:p>
      <w:pPr>
        <w:sectPr>
          <w:pgSz w:w="11900" w:h="16838" w:orient="portrait"/>
          <w:cols w:equalWidth="0" w:num="2">
            <w:col w:w="3900" w:space="140"/>
            <w:col w:w="6380"/>
          </w:cols>
          <w:pgMar w:left="320" w:top="482" w:right="1159" w:bottom="1440" w:gutter="0" w:footer="0" w:header="0"/>
          <w:type w:val="continuous"/>
        </w:sectPr>
      </w:pPr>
    </w:p>
    <w:p>
      <w:pPr>
        <w:spacing w:after="0" w:line="200" w:lineRule="exact"/>
        <w:rPr>
          <w:sz w:val="20"/>
          <w:szCs w:val="20"/>
          <w:color w:val="auto"/>
        </w:rPr>
      </w:pPr>
    </w:p>
    <w:p>
      <w:pPr>
        <w:spacing w:after="0" w:line="368"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60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420"/>
          </w:cols>
          <w:pgMar w:left="320" w:top="482" w:right="115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8"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2B4C9B"/>
        </w:rPr>
        <w:t>CORPORATE GOVERNANCE</w:t>
      </w:r>
    </w:p>
    <w:p>
      <w:pPr>
        <w:spacing w:after="0" w:line="12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Board of Directors and its committees perform a number of functions for ExxonMobil and its shareholders, including:</w:t>
      </w:r>
    </w:p>
    <w:p>
      <w:pPr>
        <w:spacing w:after="0" w:line="117" w:lineRule="exact"/>
        <w:rPr>
          <w:sz w:val="20"/>
          <w:szCs w:val="20"/>
          <w:color w:val="auto"/>
        </w:rPr>
      </w:pPr>
    </w:p>
    <w:p>
      <w:pPr>
        <w:ind w:left="1140" w:hanging="376"/>
        <w:spacing w:after="0"/>
        <w:tabs>
          <w:tab w:leader="none" w:pos="11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Overseeing the management of the Company on your behalf, including oversight of risk management;</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ExxonMobil’s long-term strategic plans;</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Exercising direct decision-making authority in key areas, such as declaring dividends;</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Selecting the Chief Executive Officer (CEO) and reviewing the CEO’s performance;</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development and succession plans for ExxonMobil’s top executives; and</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Gathering insights and sharing perspectives from shareholders during engagements and other communications.</w:t>
      </w:r>
    </w:p>
    <w:p>
      <w:pPr>
        <w:spacing w:after="0" w:line="224" w:lineRule="exact"/>
        <w:rPr>
          <w:sz w:val="20"/>
          <w:szCs w:val="20"/>
          <w:color w:val="auto"/>
        </w:rPr>
      </w:pPr>
    </w:p>
    <w:p>
      <w:pPr>
        <w:ind w:left="760" w:right="20"/>
        <w:spacing w:after="0" w:line="253" w:lineRule="auto"/>
        <w:rPr>
          <w:sz w:val="20"/>
          <w:szCs w:val="20"/>
          <w:color w:val="auto"/>
        </w:rPr>
      </w:pPr>
      <w:r>
        <w:rPr>
          <w:rFonts w:ascii="Arial" w:cs="Arial" w:eastAsia="Arial" w:hAnsi="Arial"/>
          <w:sz w:val="18"/>
          <w:szCs w:val="18"/>
          <w:color w:val="auto"/>
        </w:rPr>
        <w:t xml:space="preserve">The Board has adopted Corporate Governance Guidelines that govern the structure and functioning of the Board and set out the Board’s position on a number of governance issues. A copy of our current Corporate Governance Guidelines is posted on our website at </w:t>
      </w:r>
      <w:r>
        <w:rPr>
          <w:rFonts w:ascii="Arial" w:cs="Arial" w:eastAsia="Arial" w:hAnsi="Arial"/>
          <w:sz w:val="18"/>
          <w:szCs w:val="18"/>
          <w:i w:val="1"/>
          <w:iCs w:val="1"/>
          <w:color w:val="auto"/>
        </w:rPr>
        <w:t>exxonmobil.com/governanceguidelines</w:t>
      </w:r>
      <w:r>
        <w:rPr>
          <w:rFonts w:ascii="Arial" w:cs="Arial" w:eastAsia="Arial" w:hAnsi="Arial"/>
          <w:sz w:val="18"/>
          <w:szCs w:val="18"/>
          <w:color w:val="auto"/>
        </w:rPr>
        <w:t>.</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Risk Oversight</w:t>
      </w:r>
    </w:p>
    <w:p>
      <w:pPr>
        <w:spacing w:after="0" w:line="104" w:lineRule="exact"/>
        <w:rPr>
          <w:sz w:val="20"/>
          <w:szCs w:val="20"/>
          <w:color w:val="auto"/>
        </w:rPr>
      </w:pPr>
    </w:p>
    <w:p>
      <w:pPr>
        <w:ind w:left="760" w:right="80"/>
        <w:spacing w:after="0"/>
        <w:rPr>
          <w:sz w:val="20"/>
          <w:szCs w:val="20"/>
          <w:color w:val="auto"/>
        </w:rPr>
      </w:pPr>
      <w:r>
        <w:rPr>
          <w:rFonts w:ascii="Arial" w:cs="Arial" w:eastAsia="Arial" w:hAnsi="Arial"/>
          <w:sz w:val="18"/>
          <w:szCs w:val="18"/>
          <w:color w:val="auto"/>
        </w:rPr>
        <w:t>The full Board of Directors provides oversight of key risks to ExxonMobil’s business. The Board throughout the year participates in reviews with management on the Company’s business, including identified risk factors. As a whole, the Board reviews litigation and other legal matters; political contributions, budget, and policy; lobbying costs; developments in climate science and policy; the Outlook for Energy, which projects world energy supply and demand to 2050; the Advancing Climate Solutions report; stewardship of business performance; and long-term strategic plans. The Board receives updates and reviews from both internal ExxonMobil and external experts on issues of importance to the Company.</w:t>
      </w:r>
    </w:p>
    <w:p>
      <w:pPr>
        <w:spacing w:after="0" w:line="185" w:lineRule="exact"/>
        <w:rPr>
          <w:sz w:val="20"/>
          <w:szCs w:val="20"/>
          <w:color w:val="auto"/>
        </w:rPr>
      </w:pPr>
    </w:p>
    <w:p>
      <w:pPr>
        <w:ind w:left="760" w:right="80"/>
        <w:spacing w:after="0" w:line="253" w:lineRule="auto"/>
        <w:rPr>
          <w:sz w:val="20"/>
          <w:szCs w:val="20"/>
          <w:color w:val="auto"/>
        </w:rPr>
      </w:pPr>
      <w:r>
        <w:rPr>
          <w:rFonts w:ascii="Arial" w:cs="Arial" w:eastAsia="Arial" w:hAnsi="Arial"/>
          <w:sz w:val="18"/>
          <w:szCs w:val="18"/>
          <w:color w:val="auto"/>
        </w:rPr>
        <w:t>The Board, including the Environment, Safety and Public Policy Committee, periodically visits an ExxonMobil operations site. These visits enable the directors to observe and provide input on safety, operating practices, environmental performance, technology, products, industry and corporate standards, and community engagement.</w:t>
      </w:r>
    </w:p>
    <w:p>
      <w:pPr>
        <w:spacing w:after="0" w:line="169" w:lineRule="exact"/>
        <w:rPr>
          <w:sz w:val="20"/>
          <w:szCs w:val="20"/>
          <w:color w:val="auto"/>
        </w:rPr>
      </w:pPr>
    </w:p>
    <w:p>
      <w:pPr>
        <w:ind w:left="760" w:right="480"/>
        <w:spacing w:after="0" w:line="271" w:lineRule="auto"/>
        <w:rPr>
          <w:sz w:val="20"/>
          <w:szCs w:val="20"/>
          <w:color w:val="auto"/>
        </w:rPr>
      </w:pPr>
      <w:r>
        <w:rPr>
          <w:rFonts w:ascii="Arial" w:cs="Arial" w:eastAsia="Arial" w:hAnsi="Arial"/>
          <w:sz w:val="18"/>
          <w:szCs w:val="18"/>
          <w:color w:val="auto"/>
        </w:rPr>
        <w:t>The Board oversees a broad spectrum of interrelated risks with assistance from its committees. This integrated risk management approach facilitates recognition and oversight of important risk interdependencies.</w:t>
      </w:r>
    </w:p>
    <w:p>
      <w:pPr>
        <w:spacing w:after="0" w:line="154" w:lineRule="exact"/>
        <w:rPr>
          <w:sz w:val="20"/>
          <w:szCs w:val="20"/>
          <w:color w:val="auto"/>
        </w:rPr>
      </w:pPr>
    </w:p>
    <w:p>
      <w:pPr>
        <w:ind w:left="760"/>
        <w:spacing w:after="0" w:line="247" w:lineRule="auto"/>
        <w:rPr>
          <w:sz w:val="20"/>
          <w:szCs w:val="20"/>
          <w:color w:val="auto"/>
        </w:rPr>
      </w:pPr>
      <w:r>
        <w:rPr>
          <w:rFonts w:ascii="Arial" w:cs="Arial" w:eastAsia="Arial" w:hAnsi="Arial"/>
          <w:sz w:val="18"/>
          <w:szCs w:val="18"/>
          <w:u w:val="single" w:color="auto"/>
          <w:color w:val="auto"/>
        </w:rPr>
        <w:t>Audit Committee</w:t>
      </w:r>
      <w:r>
        <w:rPr>
          <w:rFonts w:ascii="Arial" w:cs="Arial" w:eastAsia="Arial" w:hAnsi="Arial"/>
          <w:sz w:val="18"/>
          <w:szCs w:val="18"/>
          <w:color w:val="auto"/>
        </w:rPr>
        <w:t xml:space="preserve"> oversees risks associated with financial and accounting matters, including compliance with legal and regulatory requirements and the Company’s financial reporting and internal control systems. At least annually, the Audit Committee also reviews ExxonMobil’s overall risk management approach and structure, including cybersecurity risks and preparedness.</w:t>
      </w:r>
    </w:p>
    <w:p>
      <w:pPr>
        <w:spacing w:after="0" w:line="174" w:lineRule="exact"/>
        <w:rPr>
          <w:sz w:val="20"/>
          <w:szCs w:val="20"/>
          <w:color w:val="auto"/>
        </w:rPr>
      </w:pPr>
    </w:p>
    <w:p>
      <w:pPr>
        <w:ind w:left="760"/>
        <w:spacing w:after="0" w:line="253" w:lineRule="auto"/>
        <w:rPr>
          <w:sz w:val="20"/>
          <w:szCs w:val="20"/>
          <w:color w:val="auto"/>
        </w:rPr>
      </w:pPr>
      <w:r>
        <w:rPr>
          <w:rFonts w:ascii="Arial" w:cs="Arial" w:eastAsia="Arial" w:hAnsi="Arial"/>
          <w:sz w:val="18"/>
          <w:szCs w:val="18"/>
          <w:u w:val="single" w:color="auto"/>
          <w:color w:val="auto"/>
        </w:rPr>
        <w:t>Nominating and Governance Committee</w:t>
      </w:r>
      <w:r>
        <w:rPr>
          <w:rFonts w:ascii="Arial" w:cs="Arial" w:eastAsia="Arial" w:hAnsi="Arial"/>
          <w:sz w:val="18"/>
          <w:szCs w:val="18"/>
          <w:color w:val="auto"/>
        </w:rPr>
        <w:t xml:space="preserve"> oversees Board structure and matters of corporate governance, including Board evaluation and director refreshment. It also coordinates identification of external experts to address the Board and sets the criteria for shareholder engagement with directors.</w:t>
      </w:r>
    </w:p>
    <w:p>
      <w:pPr>
        <w:spacing w:after="0" w:line="169" w:lineRule="exact"/>
        <w:rPr>
          <w:sz w:val="20"/>
          <w:szCs w:val="20"/>
          <w:color w:val="auto"/>
        </w:rPr>
      </w:pPr>
    </w:p>
    <w:p>
      <w:pPr>
        <w:ind w:left="760" w:right="120"/>
        <w:spacing w:after="0" w:line="244" w:lineRule="auto"/>
        <w:rPr>
          <w:sz w:val="20"/>
          <w:szCs w:val="20"/>
          <w:color w:val="auto"/>
        </w:rPr>
      </w:pPr>
      <w:r>
        <w:rPr>
          <w:rFonts w:ascii="Arial" w:cs="Arial" w:eastAsia="Arial" w:hAnsi="Arial"/>
          <w:sz w:val="18"/>
          <w:szCs w:val="18"/>
          <w:u w:val="single" w:color="auto"/>
          <w:color w:val="auto"/>
        </w:rPr>
        <w:t>Compensation Committee</w:t>
      </w:r>
      <w:r>
        <w:rPr>
          <w:rFonts w:ascii="Arial" w:cs="Arial" w:eastAsia="Arial" w:hAnsi="Arial"/>
          <w:sz w:val="18"/>
          <w:szCs w:val="18"/>
          <w:color w:val="auto"/>
        </w:rPr>
        <w:t xml:space="preserve"> reviews executive compensation, which is designed to promote accountability to maximize shareholder value over the long term while effectively managing longer-term risks, including those related to the energy transition. The Committee also assesses each element of the compensation program to ensure that these do not create any material adverse risks to the Company and do not encourage executives to take risks that may not be aligned with shareholders’ long-term interests.</w:t>
      </w:r>
    </w:p>
    <w:p>
      <w:pPr>
        <w:spacing w:after="0" w:line="176" w:lineRule="exact"/>
        <w:rPr>
          <w:sz w:val="20"/>
          <w:szCs w:val="20"/>
          <w:color w:val="auto"/>
        </w:rPr>
      </w:pPr>
    </w:p>
    <w:p>
      <w:pPr>
        <w:ind w:left="760" w:right="340"/>
        <w:spacing w:after="0" w:line="247" w:lineRule="auto"/>
        <w:rPr>
          <w:sz w:val="20"/>
          <w:szCs w:val="20"/>
          <w:color w:val="auto"/>
        </w:rPr>
      </w:pPr>
      <w:r>
        <w:rPr>
          <w:rFonts w:ascii="Arial" w:cs="Arial" w:eastAsia="Arial" w:hAnsi="Arial"/>
          <w:sz w:val="18"/>
          <w:szCs w:val="18"/>
          <w:u w:val="single" w:color="auto"/>
          <w:color w:val="auto"/>
        </w:rPr>
        <w:t>Environment, Safety and Public Policy Committee</w:t>
      </w:r>
      <w:r>
        <w:rPr>
          <w:rFonts w:ascii="Arial" w:cs="Arial" w:eastAsia="Arial" w:hAnsi="Arial"/>
          <w:sz w:val="18"/>
          <w:szCs w:val="18"/>
          <w:color w:val="auto"/>
        </w:rPr>
        <w:t xml:space="preserve"> oversees operational risks such as those relating to employee and community safety, health, environmental performance, including actions taken to address climate-related risks, and security matters. The Committee also reviews and provides advice on objectives, policies, and programs related to lobbying activities and political and other contributions.</w:t>
      </w:r>
    </w:p>
    <w:p>
      <w:pPr>
        <w:spacing w:after="0" w:line="86"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20</w:t>
      </w:r>
      <w:r>
        <w:rPr>
          <w:sz w:val="20"/>
          <w:szCs w:val="20"/>
          <w:color w:val="auto"/>
        </w:rPr>
        <w:tab/>
      </w:r>
      <w:r>
        <w:rPr>
          <w:sz w:val="1"/>
          <w:szCs w:val="1"/>
          <w:color w:val="auto"/>
        </w:rPr>
        <w:drawing>
          <wp:inline distT="0" distB="0" distL="0" distR="0">
            <wp:extent cx="737235" cy="14605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2023 Proxy Statement</w:t>
      </w:r>
    </w:p>
    <w:p>
      <w:pPr>
        <w:sectPr>
          <w:pgSz w:w="11900" w:h="16838" w:orient="portrait"/>
          <w:cols w:equalWidth="0" w:num="1">
            <w:col w:w="10380"/>
          </w:cols>
          <w:pgMar w:left="320" w:top="482" w:right="11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760" w:right="340"/>
        <w:spacing w:after="0" w:line="271" w:lineRule="auto"/>
        <w:rPr>
          <w:sz w:val="20"/>
          <w:szCs w:val="20"/>
          <w:color w:val="auto"/>
        </w:rPr>
      </w:pPr>
      <w:r>
        <w:rPr>
          <w:rFonts w:ascii="Arial" w:cs="Arial" w:eastAsia="Arial" w:hAnsi="Arial"/>
          <w:sz w:val="18"/>
          <w:szCs w:val="18"/>
          <w:u w:val="single" w:color="auto"/>
          <w:color w:val="auto"/>
        </w:rPr>
        <w:t>Finance Committee</w:t>
      </w:r>
      <w:r>
        <w:rPr>
          <w:rFonts w:ascii="Arial" w:cs="Arial" w:eastAsia="Arial" w:hAnsi="Arial"/>
          <w:sz w:val="18"/>
          <w:szCs w:val="18"/>
          <w:color w:val="auto"/>
        </w:rPr>
        <w:t xml:space="preserve"> reviews the Company’s capital structure/capital allocation, and its financial policies, practices, and strategies.</w:t>
      </w:r>
    </w:p>
    <w:p>
      <w:pPr>
        <w:spacing w:after="0" w:line="154" w:lineRule="exact"/>
        <w:rPr>
          <w:sz w:val="20"/>
          <w:szCs w:val="20"/>
          <w:color w:val="auto"/>
        </w:rPr>
      </w:pPr>
    </w:p>
    <w:p>
      <w:pPr>
        <w:jc w:val="both"/>
        <w:ind w:left="760" w:right="60"/>
        <w:spacing w:after="0" w:line="253" w:lineRule="auto"/>
        <w:rPr>
          <w:sz w:val="20"/>
          <w:szCs w:val="20"/>
          <w:color w:val="auto"/>
        </w:rPr>
      </w:pPr>
      <w:r>
        <w:rPr>
          <w:rFonts w:ascii="Arial" w:cs="Arial" w:eastAsia="Arial" w:hAnsi="Arial"/>
          <w:sz w:val="18"/>
          <w:szCs w:val="18"/>
          <w:color w:val="auto"/>
        </w:rPr>
        <w:t>Each Board committee has the authority in its sole discretion to retain and oversee the work of such outside advisors as it deems appropriate and to approve the fees and expenses of such advisors. The Board receives regular updates from the committees and believes this structure is best suited for overseeing risk.</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Board Leadership Structure</w:t>
      </w:r>
    </w:p>
    <w:p>
      <w:pPr>
        <w:spacing w:after="0" w:line="104" w:lineRule="exact"/>
        <w:rPr>
          <w:sz w:val="20"/>
          <w:szCs w:val="20"/>
          <w:color w:val="auto"/>
        </w:rPr>
      </w:pPr>
    </w:p>
    <w:p>
      <w:pPr>
        <w:ind w:left="760"/>
        <w:spacing w:after="0" w:line="246" w:lineRule="auto"/>
        <w:rPr>
          <w:sz w:val="20"/>
          <w:szCs w:val="20"/>
          <w:color w:val="auto"/>
        </w:rPr>
      </w:pPr>
      <w:r>
        <w:rPr>
          <w:rFonts w:ascii="Arial" w:cs="Arial" w:eastAsia="Arial" w:hAnsi="Arial"/>
          <w:sz w:val="18"/>
          <w:szCs w:val="18"/>
          <w:color w:val="auto"/>
        </w:rPr>
        <w:t xml:space="preserve">The Board believes that the decision as to who should serve as Chairman and/or CEO is the proper responsibility of the Board. The Board retains authority to amend the by-laws to separate the positions of Chairman and CEO at any time and regularly considers the pros and cons of such separation or combination. </w:t>
      </w:r>
      <w:r>
        <w:rPr>
          <w:rFonts w:ascii="Arial" w:cs="Arial" w:eastAsia="Arial" w:hAnsi="Arial"/>
          <w:sz w:val="18"/>
          <w:szCs w:val="18"/>
          <w:b w:val="1"/>
          <w:bCs w:val="1"/>
          <w:color w:val="auto"/>
        </w:rPr>
        <w:t>At the present time, the Board believes the</w:t>
      </w:r>
      <w:r>
        <w:rPr>
          <w:rFonts w:ascii="Arial" w:cs="Arial" w:eastAsia="Arial" w:hAnsi="Arial"/>
          <w:sz w:val="18"/>
          <w:szCs w:val="18"/>
          <w:color w:val="auto"/>
        </w:rPr>
        <w:t xml:space="preserve"> </w:t>
      </w:r>
      <w:r>
        <w:rPr>
          <w:rFonts w:ascii="Arial" w:cs="Arial" w:eastAsia="Arial" w:hAnsi="Arial"/>
          <w:sz w:val="18"/>
          <w:szCs w:val="18"/>
          <w:b w:val="1"/>
          <w:bCs w:val="1"/>
          <w:color w:val="auto"/>
        </w:rPr>
        <w:t>interests of all shareholders are best served through a leadership model with a combined Chairman/CEO position and an independent Lead Director selected by and from the independent directors.</w:t>
      </w:r>
    </w:p>
    <w:p>
      <w:pPr>
        <w:spacing w:after="0" w:line="168" w:lineRule="exact"/>
        <w:rPr>
          <w:sz w:val="20"/>
          <w:szCs w:val="20"/>
          <w:color w:val="auto"/>
        </w:rPr>
      </w:pPr>
    </w:p>
    <w:p>
      <w:pPr>
        <w:jc w:val="both"/>
        <w:ind w:left="760" w:right="40"/>
        <w:spacing w:after="0" w:line="247" w:lineRule="auto"/>
        <w:rPr>
          <w:sz w:val="20"/>
          <w:szCs w:val="20"/>
          <w:color w:val="auto"/>
        </w:rPr>
      </w:pPr>
      <w:r>
        <w:rPr>
          <w:rFonts w:ascii="Arial" w:cs="Arial" w:eastAsia="Arial" w:hAnsi="Arial"/>
          <w:sz w:val="18"/>
          <w:szCs w:val="18"/>
          <w:color w:val="auto"/>
        </w:rPr>
        <w:t>The current CEO possesses an in-depth knowledge of the Company; its integrated, multinational operations; the evolving energy industry supply and demand fundamentals; and the array of challenges and opportunities presented by the energy transition. This knowledge was gained through more than 30 years of successful experience in progressively more senior positions, including domestic and international responsibilities.</w:t>
      </w:r>
    </w:p>
    <w:p>
      <w:pPr>
        <w:spacing w:after="0" w:line="174" w:lineRule="exact"/>
        <w:rPr>
          <w:sz w:val="20"/>
          <w:szCs w:val="20"/>
          <w:color w:val="auto"/>
        </w:rPr>
      </w:pPr>
    </w:p>
    <w:p>
      <w:pPr>
        <w:ind w:left="760" w:right="20"/>
        <w:spacing w:after="0" w:line="253" w:lineRule="auto"/>
        <w:rPr>
          <w:sz w:val="20"/>
          <w:szCs w:val="20"/>
          <w:color w:val="auto"/>
        </w:rPr>
      </w:pPr>
      <w:r>
        <w:rPr>
          <w:rFonts w:ascii="Arial" w:cs="Arial" w:eastAsia="Arial" w:hAnsi="Arial"/>
          <w:sz w:val="18"/>
          <w:szCs w:val="18"/>
          <w:color w:val="auto"/>
        </w:rPr>
        <w:t>The Board believes that these experiences and other insights put the CEO in the best position to provide broad leadership for the Board as it considers strategy and exercises its fiduciary responsibilities to shareholders. Further, the Board has demonstrated its commitment and ability to provide independent oversight of management.</w:t>
      </w:r>
    </w:p>
    <w:p>
      <w:pPr>
        <w:spacing w:after="0" w:line="169" w:lineRule="exact"/>
        <w:rPr>
          <w:sz w:val="20"/>
          <w:szCs w:val="20"/>
          <w:color w:val="auto"/>
        </w:rPr>
      </w:pPr>
    </w:p>
    <w:p>
      <w:pPr>
        <w:ind w:left="760" w:right="60"/>
        <w:spacing w:after="0" w:line="244" w:lineRule="auto"/>
        <w:rPr>
          <w:sz w:val="20"/>
          <w:szCs w:val="20"/>
          <w:color w:val="auto"/>
        </w:rPr>
      </w:pPr>
      <w:r>
        <w:rPr>
          <w:rFonts w:ascii="Arial" w:cs="Arial" w:eastAsia="Arial" w:hAnsi="Arial"/>
          <w:sz w:val="18"/>
          <w:szCs w:val="18"/>
          <w:color w:val="auto"/>
        </w:rPr>
        <w:t>The Board is comprised solely of independent directors other than the CEO, and 100 percent of the Audit, Compensation, Nominating and Governance, and Environment, Safety and Public Policy Committee members are independent. Each independent director has access to the CEO and other Company executives and employees, and is empowered to call meetings of the independent directors and request agenda topics to be added or addressed in more detail at meetings of the full Board or an appropriate Board committee.</w:t>
      </w:r>
    </w:p>
    <w:p>
      <w:pPr>
        <w:spacing w:after="0" w:line="176" w:lineRule="exact"/>
        <w:rPr>
          <w:sz w:val="20"/>
          <w:szCs w:val="20"/>
          <w:color w:val="auto"/>
        </w:rPr>
      </w:pPr>
    </w:p>
    <w:p>
      <w:pPr>
        <w:ind w:left="760"/>
        <w:spacing w:after="0" w:line="271" w:lineRule="auto"/>
        <w:rPr>
          <w:sz w:val="20"/>
          <w:szCs w:val="20"/>
          <w:color w:val="auto"/>
        </w:rPr>
      </w:pPr>
      <w:r>
        <w:rPr>
          <w:rFonts w:ascii="Arial" w:cs="Arial" w:eastAsia="Arial" w:hAnsi="Arial"/>
          <w:sz w:val="18"/>
          <w:szCs w:val="18"/>
          <w:b w:val="1"/>
          <w:bCs w:val="1"/>
          <w:color w:val="auto"/>
        </w:rPr>
        <w:t xml:space="preserve">The Board believes the Lead Director provides effective independent Board leadership. </w:t>
      </w:r>
      <w:r>
        <w:rPr>
          <w:rFonts w:ascii="Arial" w:cs="Arial" w:eastAsia="Arial" w:hAnsi="Arial"/>
          <w:sz w:val="18"/>
          <w:szCs w:val="18"/>
          <w:color w:val="auto"/>
        </w:rPr>
        <w:t>Joseph L. Hooley serves as</w:t>
      </w:r>
      <w:r>
        <w:rPr>
          <w:rFonts w:ascii="Arial" w:cs="Arial" w:eastAsia="Arial" w:hAnsi="Arial"/>
          <w:sz w:val="18"/>
          <w:szCs w:val="18"/>
          <w:b w:val="1"/>
          <w:bCs w:val="1"/>
          <w:color w:val="auto"/>
        </w:rPr>
        <w:t xml:space="preserve"> </w:t>
      </w:r>
      <w:r>
        <w:rPr>
          <w:rFonts w:ascii="Arial" w:cs="Arial" w:eastAsia="Arial" w:hAnsi="Arial"/>
          <w:sz w:val="18"/>
          <w:szCs w:val="18"/>
          <w:color w:val="auto"/>
        </w:rPr>
        <w:t>Lead Director and is expected to remain in the position through the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126365</wp:posOffset>
            </wp:positionV>
            <wp:extent cx="61722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10480"/>
          </w:cols>
          <w:pgMar w:left="320" w:top="482" w:right="1099" w:bottom="1440" w:gutter="0" w:footer="0" w:header="0"/>
        </w:sectPr>
      </w:pPr>
    </w:p>
    <w:p>
      <w:pPr>
        <w:spacing w:after="0" w:line="26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The Lead Director’s authority, under the</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Corporate Governance Guidelines, includes:</w:t>
      </w:r>
    </w:p>
    <w:p>
      <w:pPr>
        <w:spacing w:after="0" w:line="113" w:lineRule="exact"/>
        <w:rPr>
          <w:sz w:val="20"/>
          <w:szCs w:val="20"/>
          <w:color w:val="auto"/>
        </w:rPr>
      </w:pPr>
    </w:p>
    <w:p>
      <w:pPr>
        <w:ind w:left="1120" w:right="80" w:hanging="359"/>
        <w:spacing w:after="0" w:line="246" w:lineRule="auto"/>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Calling, chairing, and setting the agenda for</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executive sessions of the non-employee directors;</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Providing feedback to the Chairman;</w:t>
      </w:r>
    </w:p>
    <w:p>
      <w:pPr>
        <w:spacing w:after="0" w:line="8" w:lineRule="exact"/>
        <w:rPr>
          <w:sz w:val="20"/>
          <w:szCs w:val="20"/>
          <w:color w:val="auto"/>
        </w:rPr>
      </w:pPr>
    </w:p>
    <w:p>
      <w:pPr>
        <w:ind w:left="1120" w:right="580" w:hanging="359"/>
        <w:spacing w:after="0" w:line="241" w:lineRule="auto"/>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Chairing meetings of the Board in the</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absence of the Chairman;</w:t>
      </w:r>
    </w:p>
    <w:p>
      <w:pPr>
        <w:spacing w:after="0" w:line="1" w:lineRule="exact"/>
        <w:rPr>
          <w:sz w:val="20"/>
          <w:szCs w:val="20"/>
          <w:color w:val="auto"/>
        </w:rPr>
      </w:pPr>
    </w:p>
    <w:p>
      <w:pPr>
        <w:ind w:left="1120" w:hanging="359"/>
        <w:spacing w:after="0" w:line="252" w:lineRule="auto"/>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Reviewing and approving the schedule and</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agenda for all Board meetings and reviewing associated materials distributed to the directors, in consultation with the Chairman;</w:t>
      </w:r>
    </w:p>
    <w:p>
      <w:pPr>
        <w:spacing w:after="0" w:line="1" w:lineRule="exact"/>
        <w:rPr>
          <w:sz w:val="20"/>
          <w:szCs w:val="20"/>
          <w:color w:val="auto"/>
        </w:rPr>
      </w:pPr>
    </w:p>
    <w:p>
      <w:pPr>
        <w:ind w:left="1120" w:right="120" w:hanging="359"/>
        <w:spacing w:after="0" w:line="256" w:lineRule="auto"/>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Advising the Chairman on the quality,</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quantity, and timeliness of information flow;</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Reviewing committee meeting schedules;</w:t>
      </w:r>
    </w:p>
    <w:p>
      <w:pPr>
        <w:spacing w:after="0" w:line="8" w:lineRule="exact"/>
        <w:rPr>
          <w:sz w:val="20"/>
          <w:szCs w:val="20"/>
          <w:color w:val="auto"/>
        </w:rPr>
      </w:pPr>
    </w:p>
    <w:p>
      <w:pPr>
        <w:ind w:left="1120" w:right="20" w:hanging="359"/>
        <w:spacing w:after="0" w:line="241" w:lineRule="auto"/>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Engaging with shareholders, as appropriate;</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and</w:t>
      </w:r>
    </w:p>
    <w:p>
      <w:pPr>
        <w:spacing w:after="0" w:line="1" w:lineRule="exact"/>
        <w:rPr>
          <w:sz w:val="20"/>
          <w:szCs w:val="20"/>
          <w:color w:val="auto"/>
        </w:rPr>
      </w:pPr>
    </w:p>
    <w:p>
      <w:pPr>
        <w:ind w:left="1120" w:right="80" w:hanging="359"/>
        <w:spacing w:after="0" w:line="264" w:lineRule="auto"/>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Leading the annual performance evaluation</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of the Board.</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jc w:val="both"/>
        <w:ind w:right="340"/>
        <w:spacing w:after="0" w:line="311" w:lineRule="auto"/>
        <w:rPr>
          <w:sz w:val="20"/>
          <w:szCs w:val="20"/>
          <w:color w:val="auto"/>
        </w:rPr>
      </w:pPr>
      <w:r>
        <w:rPr>
          <w:rFonts w:ascii="Arial" w:cs="Arial" w:eastAsia="Arial" w:hAnsi="Arial"/>
          <w:sz w:val="17"/>
          <w:szCs w:val="17"/>
          <w:b w:val="1"/>
          <w:bCs w:val="1"/>
          <w:color w:val="auto"/>
        </w:rPr>
        <w:t>The Lead Director also serves as Chair of the Nominating and Governance Committee with authority that includes:</w:t>
      </w:r>
    </w:p>
    <w:p>
      <w:pPr>
        <w:spacing w:after="0" w:line="33" w:lineRule="exact"/>
        <w:rPr>
          <w:sz w:val="20"/>
          <w:szCs w:val="20"/>
          <w:color w:val="auto"/>
        </w:rPr>
      </w:pPr>
    </w:p>
    <w:p>
      <w:pPr>
        <w:ind w:left="360" w:right="680" w:hanging="359"/>
        <w:spacing w:after="0" w:line="252" w:lineRule="auto"/>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Establishing the criteria for director engagement with</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shareholders;</w:t>
      </w:r>
    </w:p>
    <w:p>
      <w:pPr>
        <w:ind w:left="360" w:right="60" w:hanging="359"/>
        <w:spacing w:after="0" w:line="239" w:lineRule="auto"/>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Providing comments and suggestions to the Board on Board</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committee structure, operations, member qualification, and member appointment;</w:t>
      </w:r>
    </w:p>
    <w:p>
      <w:pPr>
        <w:spacing w:after="0" w:line="1" w:lineRule="exact"/>
        <w:rPr>
          <w:sz w:val="20"/>
          <w:szCs w:val="20"/>
          <w:color w:val="auto"/>
        </w:rPr>
      </w:pPr>
    </w:p>
    <w:p>
      <w:pPr>
        <w:ind w:left="360" w:right="100" w:hanging="359"/>
        <w:spacing w:after="0" w:line="239" w:lineRule="auto"/>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Overseeing independent director succession planning,</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remuneration, requests for additions to board memberships, and resignations;</w:t>
      </w:r>
    </w:p>
    <w:p>
      <w:pPr>
        <w:spacing w:after="0" w:line="1" w:lineRule="exact"/>
        <w:rPr>
          <w:sz w:val="20"/>
          <w:szCs w:val="20"/>
          <w:color w:val="auto"/>
        </w:rPr>
      </w:pPr>
    </w:p>
    <w:p>
      <w:pPr>
        <w:ind w:left="360" w:right="520" w:hanging="359"/>
        <w:spacing w:after="0" w:line="241" w:lineRule="auto"/>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Establishing and maintaining procedures for interested</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parties to communicate with non-employee directors;</w:t>
      </w:r>
    </w:p>
    <w:p>
      <w:pPr>
        <w:spacing w:after="0" w:line="1" w:lineRule="exact"/>
        <w:rPr>
          <w:sz w:val="20"/>
          <w:szCs w:val="20"/>
          <w:color w:val="auto"/>
        </w:rPr>
      </w:pPr>
    </w:p>
    <w:p>
      <w:pPr>
        <w:jc w:val="center"/>
        <w:ind w:right="260"/>
        <w:spacing w:after="0" w:line="241" w:lineRule="auto"/>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Considering Board governance practices and procedures,</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including any changes to governance guidelines; and</w:t>
      </w:r>
    </w:p>
    <w:p>
      <w:pPr>
        <w:spacing w:after="0" w:line="1" w:lineRule="exact"/>
        <w:rPr>
          <w:sz w:val="20"/>
          <w:szCs w:val="20"/>
          <w:color w:val="auto"/>
        </w:rPr>
      </w:pPr>
    </w:p>
    <w:p>
      <w:pPr>
        <w:ind w:left="360" w:right="120" w:hanging="359"/>
        <w:spacing w:after="0" w:line="264" w:lineRule="auto"/>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Providing oversight of the performance and effectiveness of</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the evaluation process for the Board and its committees.</w:t>
      </w:r>
    </w:p>
    <w:p>
      <w:pPr>
        <w:spacing w:after="0" w:line="726" w:lineRule="exact"/>
        <w:rPr>
          <w:sz w:val="20"/>
          <w:szCs w:val="20"/>
          <w:color w:val="auto"/>
        </w:rPr>
      </w:pPr>
    </w:p>
    <w:p>
      <w:pPr>
        <w:sectPr>
          <w:pgSz w:w="11900" w:h="16838" w:orient="portrait"/>
          <w:cols w:equalWidth="0" w:num="2">
            <w:col w:w="4680" w:space="560"/>
            <w:col w:w="5240"/>
          </w:cols>
          <w:pgMar w:left="320" w:top="482" w:right="1099" w:bottom="1440" w:gutter="0" w:footer="0" w:header="0"/>
          <w:type w:val="continuous"/>
        </w:sectPr>
      </w:pPr>
    </w:p>
    <w:p>
      <w:pPr>
        <w:ind w:left="820" w:right="40"/>
        <w:spacing w:after="0" w:line="271" w:lineRule="auto"/>
        <w:rPr>
          <w:sz w:val="20"/>
          <w:szCs w:val="20"/>
          <w:color w:val="auto"/>
        </w:rPr>
      </w:pPr>
      <w:r>
        <w:rPr>
          <w:rFonts w:ascii="Arial" w:cs="Arial" w:eastAsia="Arial" w:hAnsi="Arial"/>
          <w:sz w:val="18"/>
          <w:szCs w:val="18"/>
          <w:color w:val="auto"/>
        </w:rPr>
        <w:t>In addition, the Lead Director, working together with the Compensation Committee, oversees the annual evaluation of the CEO, the communication of resulting feedback to the CEO, and the review of CEO succession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57785</wp:posOffset>
            </wp:positionV>
            <wp:extent cx="61722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-292735</wp:posOffset>
            </wp:positionV>
            <wp:extent cx="61722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13"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6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480"/>
          </w:cols>
          <w:pgMar w:left="320" w:top="482" w:right="10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Board and Committee Self-Evaluations</w:t>
      </w:r>
    </w:p>
    <w:p>
      <w:pPr>
        <w:spacing w:after="0" w:line="104" w:lineRule="exact"/>
        <w:rPr>
          <w:sz w:val="20"/>
          <w:szCs w:val="20"/>
          <w:color w:val="auto"/>
        </w:rPr>
      </w:pPr>
    </w:p>
    <w:p>
      <w:pPr>
        <w:ind w:left="760" w:right="80"/>
        <w:spacing w:after="0" w:line="247" w:lineRule="auto"/>
        <w:rPr>
          <w:sz w:val="20"/>
          <w:szCs w:val="20"/>
          <w:color w:val="auto"/>
        </w:rPr>
      </w:pPr>
      <w:r>
        <w:rPr>
          <w:rFonts w:ascii="Arial" w:cs="Arial" w:eastAsia="Arial" w:hAnsi="Arial"/>
          <w:sz w:val="18"/>
          <w:szCs w:val="18"/>
          <w:color w:val="auto"/>
        </w:rPr>
        <w:t>Each year, the Board and each of the Board committees conduct a comprehensive evaluation of their performance and effectiveness and solicit feedback for enhancement and improvement. The Lead Director, as Chair of the Nominating and Governance Committee, oversees the Board evaluation process and will periodically engage outside counsel to bring a third-party perspective to the process.</w:t>
      </w:r>
    </w:p>
    <w:p>
      <w:pPr>
        <w:spacing w:after="0" w:line="174" w:lineRule="exact"/>
        <w:rPr>
          <w:sz w:val="20"/>
          <w:szCs w:val="20"/>
          <w:color w:val="auto"/>
        </w:rPr>
      </w:pPr>
    </w:p>
    <w:p>
      <w:pPr>
        <w:ind w:left="760" w:right="20"/>
        <w:spacing w:after="0" w:line="242" w:lineRule="auto"/>
        <w:rPr>
          <w:sz w:val="20"/>
          <w:szCs w:val="20"/>
          <w:color w:val="auto"/>
        </w:rPr>
      </w:pPr>
      <w:r>
        <w:rPr>
          <w:rFonts w:ascii="Arial" w:cs="Arial" w:eastAsia="Arial" w:hAnsi="Arial"/>
          <w:sz w:val="18"/>
          <w:szCs w:val="18"/>
          <w:color w:val="auto"/>
        </w:rPr>
        <w:t>As part of the Board’s robust assessment, the Lead Director or outside counsel, as applicable, will ask each director for suggestions to improve Board and Board committee effectiveness and feedback on a range of issues, including Board leadership, culture, purpose, and strategy; Board composition and structure; individual director performance; quality of deliberations and communication with management; and oversight of risk management. The Board reviews and discusses the feedback during an evaluation session facilitated by the Lead Director, providing an opportunity for Directors to identify areas for improvement.</w:t>
      </w:r>
    </w:p>
    <w:p>
      <w:pPr>
        <w:spacing w:after="0" w:line="179" w:lineRule="exact"/>
        <w:rPr>
          <w:sz w:val="20"/>
          <w:szCs w:val="20"/>
          <w:color w:val="auto"/>
        </w:rPr>
      </w:pPr>
    </w:p>
    <w:p>
      <w:pPr>
        <w:ind w:left="760"/>
        <w:spacing w:after="0" w:line="253" w:lineRule="auto"/>
        <w:rPr>
          <w:sz w:val="20"/>
          <w:szCs w:val="20"/>
          <w:color w:val="auto"/>
        </w:rPr>
      </w:pPr>
      <w:r>
        <w:rPr>
          <w:rFonts w:ascii="Arial" w:cs="Arial" w:eastAsia="Arial" w:hAnsi="Arial"/>
          <w:sz w:val="18"/>
          <w:szCs w:val="18"/>
          <w:color w:val="auto"/>
        </w:rPr>
        <w:t>Director feedback emphasized the need for continued focus on strategic oversight, including the development and deployment of solutions to support a lower-emissions future while helping meet society’s need for energy and products, as well as the development of the Company’s next generation of leaders.</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Director Qualifications</w:t>
      </w:r>
    </w:p>
    <w:p>
      <w:pPr>
        <w:spacing w:after="0" w:line="104" w:lineRule="exact"/>
        <w:rPr>
          <w:sz w:val="20"/>
          <w:szCs w:val="20"/>
          <w:color w:val="auto"/>
        </w:rPr>
      </w:pPr>
    </w:p>
    <w:p>
      <w:pPr>
        <w:ind w:left="760" w:right="20"/>
        <w:spacing w:after="0" w:line="271" w:lineRule="auto"/>
        <w:rPr>
          <w:sz w:val="20"/>
          <w:szCs w:val="20"/>
          <w:color w:val="auto"/>
        </w:rPr>
      </w:pPr>
      <w:r>
        <w:rPr>
          <w:rFonts w:ascii="Arial" w:cs="Arial" w:eastAsia="Arial" w:hAnsi="Arial"/>
          <w:sz w:val="18"/>
          <w:szCs w:val="18"/>
          <w:color w:val="auto"/>
        </w:rPr>
        <w:t>ExxonMobil’s Corporate Governance Guidelines outline the qualifications sought when considering non-employee director candidates. The Corporate Governance Guidelines state in part:</w:t>
      </w:r>
    </w:p>
    <w:p>
      <w:pPr>
        <w:spacing w:after="0" w:line="154" w:lineRule="exact"/>
        <w:rPr>
          <w:sz w:val="20"/>
          <w:szCs w:val="20"/>
          <w:color w:val="auto"/>
        </w:rPr>
      </w:pPr>
    </w:p>
    <w:p>
      <w:pPr>
        <w:jc w:val="both"/>
        <w:ind w:left="760" w:right="80"/>
        <w:spacing w:after="0" w:line="247" w:lineRule="auto"/>
        <w:rPr>
          <w:sz w:val="20"/>
          <w:szCs w:val="20"/>
          <w:color w:val="auto"/>
        </w:rPr>
      </w:pPr>
      <w:r>
        <w:rPr>
          <w:rFonts w:ascii="Arial" w:cs="Arial" w:eastAsia="Arial" w:hAnsi="Arial"/>
          <w:sz w:val="18"/>
          <w:szCs w:val="18"/>
          <w:color w:val="auto"/>
        </w:rPr>
        <w:t>“ExxonMobil recognizes the strength and effectiveness of the Board reflects the balance, experience, and diversity of the individual directors; their commitment; and importantly, the ability of directors to work effectively as a group in carrying out their responsibilities. ExxonMobil seeks candidates with diverse backgrounds who possess knowledge and skills in areas of importance to the Corporation.”</w:t>
      </w:r>
    </w:p>
    <w:p>
      <w:pPr>
        <w:spacing w:after="0" w:line="174" w:lineRule="exact"/>
        <w:rPr>
          <w:sz w:val="20"/>
          <w:szCs w:val="20"/>
          <w:color w:val="auto"/>
        </w:rPr>
      </w:pPr>
    </w:p>
    <w:p>
      <w:pPr>
        <w:ind w:left="760" w:right="180"/>
        <w:spacing w:after="0" w:line="253" w:lineRule="auto"/>
        <w:rPr>
          <w:sz w:val="20"/>
          <w:szCs w:val="20"/>
          <w:color w:val="auto"/>
        </w:rPr>
      </w:pPr>
      <w:r>
        <w:rPr>
          <w:rFonts w:ascii="Arial" w:cs="Arial" w:eastAsia="Arial" w:hAnsi="Arial"/>
          <w:sz w:val="18"/>
          <w:szCs w:val="18"/>
          <w:color w:val="auto"/>
        </w:rPr>
        <w:t>Within the scope of the Corporate Governance Guidelines, we seek director candidates with a diversity of experiences and backgrounds, including gender and race/ethnic diversity, with a focus on the key director competencies described in more detail in the “Competencies and Relevance” matrix below.</w:t>
      </w:r>
    </w:p>
    <w:p>
      <w:pPr>
        <w:spacing w:after="0" w:line="169" w:lineRule="exact"/>
        <w:rPr>
          <w:sz w:val="20"/>
          <w:szCs w:val="20"/>
          <w:color w:val="auto"/>
        </w:rPr>
      </w:pPr>
    </w:p>
    <w:p>
      <w:pPr>
        <w:ind w:left="760" w:right="240"/>
        <w:spacing w:after="0" w:line="244" w:lineRule="auto"/>
        <w:rPr>
          <w:sz w:val="20"/>
          <w:szCs w:val="20"/>
          <w:color w:val="auto"/>
        </w:rPr>
      </w:pPr>
      <w:r>
        <w:rPr>
          <w:rFonts w:ascii="Arial" w:cs="Arial" w:eastAsia="Arial" w:hAnsi="Arial"/>
          <w:sz w:val="18"/>
          <w:szCs w:val="18"/>
          <w:color w:val="auto"/>
        </w:rPr>
        <w:t>Additional considerations for director candidates include: a substantial majority of the Board must meet independence standards as described in the Corporate Governance Guidelines; all candidates must be free from any relationship with management or the Corporation that would interfere with the exercise of independent judgment; candidates should be committed to representing the interests of all shareholders and not any particular constituency; and the Board must include members who satisfy legal and stock exchange requirements for certain Board committees.</w:t>
      </w:r>
    </w:p>
    <w:p>
      <w:pPr>
        <w:spacing w:after="0" w:line="176" w:lineRule="exact"/>
        <w:rPr>
          <w:sz w:val="20"/>
          <w:szCs w:val="20"/>
          <w:color w:val="auto"/>
        </w:rPr>
      </w:pPr>
    </w:p>
    <w:p>
      <w:pPr>
        <w:ind w:left="760" w:right="340"/>
        <w:spacing w:after="0" w:line="271" w:lineRule="auto"/>
        <w:rPr>
          <w:sz w:val="20"/>
          <w:szCs w:val="20"/>
          <w:color w:val="auto"/>
        </w:rPr>
      </w:pPr>
      <w:r>
        <w:rPr>
          <w:rFonts w:ascii="Arial" w:cs="Arial" w:eastAsia="Arial" w:hAnsi="Arial"/>
          <w:sz w:val="18"/>
          <w:szCs w:val="18"/>
          <w:color w:val="auto"/>
        </w:rPr>
        <w:t>All directors are expected to adhere to the Company’s policies and procedures, including the Conflict of Interest Policy and Ethics Policy. See the Code of Ethics and Business Conduct section below for additional information.</w:t>
      </w:r>
    </w:p>
    <w:p>
      <w:pPr>
        <w:spacing w:after="0" w:line="66"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22</w:t>
      </w:r>
      <w:r>
        <w:rPr>
          <w:sz w:val="20"/>
          <w:szCs w:val="20"/>
          <w:color w:val="auto"/>
        </w:rPr>
        <w:tab/>
      </w:r>
      <w:r>
        <w:rPr>
          <w:sz w:val="1"/>
          <w:szCs w:val="1"/>
          <w:color w:val="auto"/>
        </w:rPr>
        <w:drawing>
          <wp:inline distT="0" distB="0" distL="0" distR="0">
            <wp:extent cx="737235" cy="14605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2023 Proxy Statement</w:t>
      </w:r>
    </w:p>
    <w:p>
      <w:pPr>
        <w:sectPr>
          <w:pgSz w:w="11900" w:h="16838" w:orient="portrait"/>
          <w:cols w:equalWidth="0" w:num="1">
            <w:col w:w="10480"/>
          </w:cols>
          <w:pgMar w:left="320" w:top="482" w:right="10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760" w:right="80"/>
        <w:spacing w:after="0" w:line="253" w:lineRule="auto"/>
        <w:rPr>
          <w:sz w:val="20"/>
          <w:szCs w:val="20"/>
          <w:color w:val="auto"/>
        </w:rPr>
      </w:pPr>
      <w:r>
        <w:rPr>
          <w:rFonts w:ascii="Arial" w:cs="Arial" w:eastAsia="Arial" w:hAnsi="Arial"/>
          <w:sz w:val="18"/>
          <w:szCs w:val="18"/>
          <w:color w:val="auto"/>
        </w:rPr>
        <w:t>The Board is comprised of directors with an effective mix of backgrounds, knowledge, and skills that the Board considers relevant and beneficial in fulfilling its oversight role. The chart below provides a summary of the competencies of the current ExxonMobil Board and explains why these are important.</w:t>
      </w:r>
    </w:p>
    <w:p>
      <w:pPr>
        <w:spacing w:after="0" w:line="101"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ExxonMobil Board competencies and Director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103505</wp:posOffset>
            </wp:positionV>
            <wp:extent cx="6181090" cy="70123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181090" cy="701230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auto"/>
        </w:rPr>
        <w:t>Current / former CEO of large public company</w:t>
      </w:r>
    </w:p>
    <w:p>
      <w:pPr>
        <w:spacing w:after="0" w:line="21" w:lineRule="exact"/>
        <w:rPr>
          <w:sz w:val="20"/>
          <w:szCs w:val="20"/>
          <w:color w:val="auto"/>
        </w:rPr>
      </w:pPr>
    </w:p>
    <w:p>
      <w:pPr>
        <w:ind w:left="940" w:right="60"/>
        <w:spacing w:after="0" w:line="256" w:lineRule="auto"/>
        <w:rPr>
          <w:sz w:val="20"/>
          <w:szCs w:val="20"/>
          <w:color w:val="auto"/>
        </w:rPr>
      </w:pPr>
      <w:r>
        <w:rPr>
          <w:rFonts w:ascii="Arial" w:cs="Arial" w:eastAsia="Arial" w:hAnsi="Arial"/>
          <w:sz w:val="16"/>
          <w:szCs w:val="16"/>
          <w:color w:val="auto"/>
        </w:rPr>
        <w:t>An understanding of the complexities inherent in running a large public company provides a unique perspective that helps the Board independently oversee the Company’s management, long-term strategic planning, shareholder value creation, human capital management, risk oversight, governance, and shareholder engagement.</w:t>
      </w:r>
    </w:p>
    <w:p>
      <w:pPr>
        <w:spacing w:after="0" w:line="300"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auto"/>
        </w:rPr>
        <w:t>Global business experience</w:t>
      </w:r>
    </w:p>
    <w:p>
      <w:pPr>
        <w:spacing w:after="0" w:line="21" w:lineRule="exact"/>
        <w:rPr>
          <w:sz w:val="20"/>
          <w:szCs w:val="20"/>
          <w:color w:val="auto"/>
        </w:rPr>
      </w:pPr>
    </w:p>
    <w:p>
      <w:pPr>
        <w:ind w:left="940" w:right="60"/>
        <w:spacing w:after="0" w:line="256" w:lineRule="auto"/>
        <w:rPr>
          <w:sz w:val="20"/>
          <w:szCs w:val="20"/>
          <w:color w:val="auto"/>
        </w:rPr>
      </w:pPr>
      <w:r>
        <w:rPr>
          <w:rFonts w:ascii="Arial" w:cs="Arial" w:eastAsia="Arial" w:hAnsi="Arial"/>
          <w:sz w:val="16"/>
          <w:szCs w:val="16"/>
          <w:color w:val="auto"/>
        </w:rPr>
        <w:t>Leadership experience in a multinational business that operates across diverse and evolving political conditions, economic systems, and cultures provides valuable perspectives for oversight of the risks and opportunities within the Company’s extensive global business and operations.</w:t>
      </w:r>
    </w:p>
    <w:p>
      <w:pPr>
        <w:spacing w:after="0" w:line="327"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auto"/>
        </w:rPr>
        <w:t>Operation experience in capital-intensive industry</w:t>
      </w:r>
    </w:p>
    <w:p>
      <w:pPr>
        <w:spacing w:after="0" w:line="21" w:lineRule="exact"/>
        <w:rPr>
          <w:sz w:val="20"/>
          <w:szCs w:val="20"/>
          <w:color w:val="auto"/>
        </w:rPr>
      </w:pPr>
    </w:p>
    <w:p>
      <w:pPr>
        <w:ind w:left="940" w:right="200"/>
        <w:spacing w:after="0" w:line="256" w:lineRule="auto"/>
        <w:rPr>
          <w:sz w:val="20"/>
          <w:szCs w:val="20"/>
          <w:color w:val="auto"/>
        </w:rPr>
      </w:pPr>
      <w:r>
        <w:rPr>
          <w:rFonts w:ascii="Arial" w:cs="Arial" w:eastAsia="Arial" w:hAnsi="Arial"/>
          <w:sz w:val="16"/>
          <w:szCs w:val="16"/>
          <w:color w:val="auto"/>
        </w:rPr>
        <w:t>Leadership experience in a business with capital-intensive industrial operations, involving complex engineering and long-lived assets, provides critical insight for assessing the risks and opportunities that face the Company in its long-term capital deployment decisions and for overseeing its financial and operational performance.</w:t>
      </w:r>
    </w:p>
    <w:p>
      <w:pPr>
        <w:spacing w:after="0" w:line="200" w:lineRule="exact"/>
        <w:rPr>
          <w:sz w:val="20"/>
          <w:szCs w:val="20"/>
          <w:color w:val="auto"/>
        </w:rPr>
      </w:pPr>
    </w:p>
    <w:p>
      <w:pPr>
        <w:spacing w:after="0" w:line="208"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auto"/>
        </w:rPr>
        <w:t>Leadership experience in large-scale energy / commodity business</w:t>
      </w:r>
    </w:p>
    <w:p>
      <w:pPr>
        <w:spacing w:after="0" w:line="21" w:lineRule="exact"/>
        <w:rPr>
          <w:sz w:val="20"/>
          <w:szCs w:val="20"/>
          <w:color w:val="auto"/>
        </w:rPr>
      </w:pPr>
    </w:p>
    <w:p>
      <w:pPr>
        <w:ind w:left="940" w:right="320"/>
        <w:spacing w:after="0" w:line="265" w:lineRule="auto"/>
        <w:rPr>
          <w:sz w:val="20"/>
          <w:szCs w:val="20"/>
          <w:color w:val="auto"/>
        </w:rPr>
      </w:pPr>
      <w:r>
        <w:rPr>
          <w:rFonts w:ascii="Arial" w:cs="Arial" w:eastAsia="Arial" w:hAnsi="Arial"/>
          <w:sz w:val="16"/>
          <w:szCs w:val="16"/>
          <w:color w:val="auto"/>
        </w:rPr>
        <w:t>Understanding the unique challenges of large-scale energy or other cyclical or commodity businesses provides critical insight for assessing Company strategies, challenges, and opportunities in operations, risks, and business transitions.</w:t>
      </w:r>
    </w:p>
    <w:p>
      <w:pPr>
        <w:spacing w:after="0" w:line="307"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auto"/>
        </w:rPr>
        <w:t>Financial expertise and portfolio management</w:t>
      </w:r>
    </w:p>
    <w:p>
      <w:pPr>
        <w:spacing w:after="0" w:line="21" w:lineRule="exact"/>
        <w:rPr>
          <w:sz w:val="20"/>
          <w:szCs w:val="20"/>
          <w:color w:val="auto"/>
        </w:rPr>
      </w:pPr>
    </w:p>
    <w:p>
      <w:pPr>
        <w:ind w:left="940" w:right="840"/>
        <w:spacing w:after="0" w:line="265" w:lineRule="auto"/>
        <w:rPr>
          <w:sz w:val="20"/>
          <w:szCs w:val="20"/>
          <w:color w:val="auto"/>
        </w:rPr>
      </w:pPr>
      <w:r>
        <w:rPr>
          <w:rFonts w:ascii="Arial" w:cs="Arial" w:eastAsia="Arial" w:hAnsi="Arial"/>
          <w:sz w:val="16"/>
          <w:szCs w:val="16"/>
          <w:color w:val="auto"/>
        </w:rPr>
        <w:t>Expertise in finance, accounting, financial reporting, and portfolio management is essential to the Board’s oversight of the Company’s capital allocation, risk management strategies, and internal financial controls and procedures.</w:t>
      </w:r>
    </w:p>
    <w:p>
      <w:pPr>
        <w:spacing w:after="0" w:line="347"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auto"/>
        </w:rPr>
        <w:t>Risk management / investment stewardship experience</w:t>
      </w:r>
    </w:p>
    <w:p>
      <w:pPr>
        <w:spacing w:after="0" w:line="21" w:lineRule="exact"/>
        <w:rPr>
          <w:sz w:val="20"/>
          <w:szCs w:val="20"/>
          <w:color w:val="auto"/>
        </w:rPr>
      </w:pPr>
    </w:p>
    <w:p>
      <w:pPr>
        <w:jc w:val="both"/>
        <w:ind w:left="940" w:right="480"/>
        <w:spacing w:after="0" w:line="256" w:lineRule="auto"/>
        <w:rPr>
          <w:sz w:val="20"/>
          <w:szCs w:val="20"/>
          <w:color w:val="auto"/>
        </w:rPr>
      </w:pPr>
      <w:r>
        <w:rPr>
          <w:rFonts w:ascii="Arial" w:cs="Arial" w:eastAsia="Arial" w:hAnsi="Arial"/>
          <w:sz w:val="16"/>
          <w:szCs w:val="16"/>
          <w:color w:val="auto"/>
        </w:rPr>
        <w:t>Experience managing a broad array of enterprise risks and stewarding investor capital through varied and challenging market conditions, business cycles, and business transitions provides critical expertise to better develop and oversee execution of the Company’s long-term strategies.</w:t>
      </w:r>
    </w:p>
    <w:p>
      <w:pPr>
        <w:spacing w:after="0" w:line="200" w:lineRule="exact"/>
        <w:rPr>
          <w:sz w:val="20"/>
          <w:szCs w:val="20"/>
          <w:color w:val="auto"/>
        </w:rPr>
      </w:pPr>
    </w:p>
    <w:p>
      <w:pPr>
        <w:spacing w:after="0" w:line="289"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auto"/>
        </w:rPr>
        <w:t>Public policy / regulatory experience</w:t>
      </w:r>
    </w:p>
    <w:p>
      <w:pPr>
        <w:spacing w:after="0" w:line="21" w:lineRule="exact"/>
        <w:rPr>
          <w:sz w:val="20"/>
          <w:szCs w:val="20"/>
          <w:color w:val="auto"/>
        </w:rPr>
      </w:pPr>
    </w:p>
    <w:p>
      <w:pPr>
        <w:ind w:left="940" w:right="440"/>
        <w:spacing w:after="0" w:line="265" w:lineRule="auto"/>
        <w:rPr>
          <w:sz w:val="20"/>
          <w:szCs w:val="20"/>
          <w:color w:val="auto"/>
        </w:rPr>
      </w:pPr>
      <w:r>
        <w:rPr>
          <w:rFonts w:ascii="Arial" w:cs="Arial" w:eastAsia="Arial" w:hAnsi="Arial"/>
          <w:sz w:val="16"/>
          <w:szCs w:val="16"/>
          <w:color w:val="auto"/>
        </w:rPr>
        <w:t>Deep understanding of public policy and regulatory matters relevant to the Company’s businesses and global reach assists the Board in developing its long-term strategies by incorporating current and potential changes in public policy and regulation.</w:t>
      </w:r>
    </w:p>
    <w:p>
      <w:pPr>
        <w:spacing w:after="0" w:line="200" w:lineRule="exact"/>
        <w:rPr>
          <w:sz w:val="20"/>
          <w:szCs w:val="20"/>
          <w:color w:val="auto"/>
        </w:rPr>
      </w:pPr>
    </w:p>
    <w:p>
      <w:pPr>
        <w:spacing w:after="0" w:line="215"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auto"/>
        </w:rPr>
        <w:t>Public company board governance experience</w:t>
      </w:r>
    </w:p>
    <w:p>
      <w:pPr>
        <w:spacing w:after="0" w:line="21" w:lineRule="exact"/>
        <w:rPr>
          <w:sz w:val="20"/>
          <w:szCs w:val="20"/>
          <w:color w:val="auto"/>
        </w:rPr>
      </w:pPr>
    </w:p>
    <w:p>
      <w:pPr>
        <w:ind w:left="940"/>
        <w:spacing w:after="0" w:line="252" w:lineRule="auto"/>
        <w:rPr>
          <w:sz w:val="20"/>
          <w:szCs w:val="20"/>
          <w:color w:val="auto"/>
        </w:rPr>
      </w:pPr>
      <w:r>
        <w:rPr>
          <w:rFonts w:ascii="Arial" w:cs="Arial" w:eastAsia="Arial" w:hAnsi="Arial"/>
          <w:sz w:val="16"/>
          <w:szCs w:val="16"/>
          <w:color w:val="auto"/>
        </w:rPr>
        <w:t>Current or prior service as a Chair, Lead Director, Committee Chair, or other significant leadership position on the board of other public companies provides governance experience essential to ensure that the Board continues to maintain the right balance of skills and attributes needed to address the Company’s current and evolving risks and opportunities and to ensure that the Board is focusing on appropriate matters and functioning as an effective and cohesive independent oversight body.</w:t>
      </w:r>
    </w:p>
    <w:p>
      <w:pPr>
        <w:spacing w:after="0" w:line="200" w:lineRule="exact"/>
        <w:rPr>
          <w:sz w:val="20"/>
          <w:szCs w:val="20"/>
          <w:color w:val="auto"/>
        </w:rPr>
      </w:pPr>
    </w:p>
    <w:p>
      <w:pPr>
        <w:spacing w:after="0" w:line="267"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auto"/>
        </w:rPr>
        <w:t>Relevant scientific / technology experience</w:t>
      </w:r>
    </w:p>
    <w:p>
      <w:pPr>
        <w:spacing w:after="0" w:line="21" w:lineRule="exact"/>
        <w:rPr>
          <w:sz w:val="20"/>
          <w:szCs w:val="20"/>
          <w:color w:val="auto"/>
        </w:rPr>
      </w:pPr>
    </w:p>
    <w:p>
      <w:pPr>
        <w:ind w:left="940" w:right="280"/>
        <w:spacing w:after="0" w:line="256" w:lineRule="auto"/>
        <w:rPr>
          <w:sz w:val="20"/>
          <w:szCs w:val="20"/>
          <w:color w:val="auto"/>
        </w:rPr>
      </w:pPr>
      <w:r>
        <w:rPr>
          <w:rFonts w:ascii="Arial" w:cs="Arial" w:eastAsia="Arial" w:hAnsi="Arial"/>
          <w:sz w:val="16"/>
          <w:szCs w:val="16"/>
          <w:color w:val="auto"/>
        </w:rPr>
        <w:t>Experience applying science and technology, including climate science, to large-scale challenges and investments in new and emerging technologies relevant to the Company’s businesses and scale provides sound guidance as the Company navigates the complex challenges of helping society meet the world’s energy needs and reduce carbon emissions.</w:t>
      </w:r>
    </w:p>
    <w:p>
      <w:pPr>
        <w:spacing w:after="0" w:line="313"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auto"/>
        </w:rPr>
        <w:t>Low carbon solutions technology and safety experience</w:t>
      </w:r>
    </w:p>
    <w:p>
      <w:pPr>
        <w:spacing w:after="0" w:line="21" w:lineRule="exact"/>
        <w:rPr>
          <w:sz w:val="20"/>
          <w:szCs w:val="20"/>
          <w:color w:val="auto"/>
        </w:rPr>
      </w:pPr>
    </w:p>
    <w:p>
      <w:pPr>
        <w:ind w:left="940" w:right="260"/>
        <w:spacing w:after="0" w:line="265" w:lineRule="auto"/>
        <w:rPr>
          <w:sz w:val="20"/>
          <w:szCs w:val="20"/>
          <w:color w:val="auto"/>
        </w:rPr>
      </w:pPr>
      <w:r>
        <w:rPr>
          <w:rFonts w:ascii="Arial" w:cs="Arial" w:eastAsia="Arial" w:hAnsi="Arial"/>
          <w:sz w:val="16"/>
          <w:szCs w:val="16"/>
          <w:color w:val="auto"/>
        </w:rPr>
        <w:t>Experience in environmental and safety operations, including lower carbon technologies, strengthens the Board’s oversight of the Company’s current and future business operations and promotes long-term sustainability.</w:t>
      </w:r>
    </w:p>
    <w:p>
      <w:pPr>
        <w:spacing w:after="0" w:line="125"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54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440"/>
          </w:cols>
          <w:pgMar w:left="320" w:top="482" w:right="11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208280</wp:posOffset>
            </wp:positionV>
            <wp:extent cx="822960" cy="12001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2960" cy="120015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208280</wp:posOffset>
            </wp:positionV>
            <wp:extent cx="3360420" cy="12001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6042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Director &amp; key</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62230</wp:posOffset>
            </wp:positionV>
            <wp:extent cx="5923280" cy="7912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923280" cy="7912100"/>
                    </a:xfrm>
                    <a:prstGeom prst="rect">
                      <a:avLst/>
                    </a:prstGeom>
                    <a:noFill/>
                  </pic:spPr>
                </pic:pic>
              </a:graphicData>
            </a:graphic>
          </wp:anchor>
        </w:drawing>
      </w:r>
    </w:p>
    <w:p>
      <w:pPr>
        <w:spacing w:after="0" w:line="85"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Michael J. Angelakis</w:t>
      </w:r>
    </w:p>
    <w:p>
      <w:pPr>
        <w:ind w:left="760"/>
        <w:spacing w:after="0" w:line="233" w:lineRule="auto"/>
        <w:rPr>
          <w:sz w:val="20"/>
          <w:szCs w:val="20"/>
          <w:color w:val="auto"/>
        </w:rPr>
      </w:pPr>
      <w:r>
        <w:rPr>
          <w:rFonts w:ascii="Arial" w:cs="Arial" w:eastAsia="Arial" w:hAnsi="Arial"/>
          <w:sz w:val="15"/>
          <w:szCs w:val="15"/>
          <w:color w:val="auto"/>
        </w:rPr>
        <w:t>Mr. Angelakis’ financial</w:t>
      </w:r>
    </w:p>
    <w:p>
      <w:pPr>
        <w:ind w:left="760"/>
        <w:spacing w:after="0" w:line="225" w:lineRule="auto"/>
        <w:rPr>
          <w:sz w:val="20"/>
          <w:szCs w:val="20"/>
          <w:color w:val="auto"/>
        </w:rPr>
      </w:pPr>
      <w:r>
        <w:rPr>
          <w:rFonts w:ascii="Arial" w:cs="Arial" w:eastAsia="Arial" w:hAnsi="Arial"/>
          <w:sz w:val="15"/>
          <w:szCs w:val="15"/>
          <w:color w:val="auto"/>
        </w:rPr>
        <w:t>experience, highlighted</w:t>
      </w:r>
    </w:p>
    <w:p>
      <w:pPr>
        <w:ind w:left="760"/>
        <w:spacing w:after="0" w:line="225" w:lineRule="auto"/>
        <w:rPr>
          <w:sz w:val="20"/>
          <w:szCs w:val="20"/>
          <w:color w:val="auto"/>
        </w:rPr>
      </w:pPr>
      <w:r>
        <w:rPr>
          <w:rFonts w:ascii="Arial" w:cs="Arial" w:eastAsia="Arial" w:hAnsi="Arial"/>
          <w:sz w:val="15"/>
          <w:szCs w:val="15"/>
          <w:color w:val="auto"/>
        </w:rPr>
        <w:t>by his executive</w:t>
      </w:r>
    </w:p>
    <w:p>
      <w:pPr>
        <w:ind w:left="760"/>
        <w:spacing w:after="0" w:line="226" w:lineRule="auto"/>
        <w:rPr>
          <w:sz w:val="20"/>
          <w:szCs w:val="20"/>
          <w:color w:val="auto"/>
        </w:rPr>
      </w:pPr>
      <w:r>
        <w:rPr>
          <w:rFonts w:ascii="Arial" w:cs="Arial" w:eastAsia="Arial" w:hAnsi="Arial"/>
          <w:sz w:val="15"/>
          <w:szCs w:val="15"/>
          <w:color w:val="auto"/>
        </w:rPr>
        <w:t>leadership position</w:t>
      </w:r>
    </w:p>
    <w:p>
      <w:pPr>
        <w:ind w:left="760"/>
        <w:spacing w:after="0" w:line="225" w:lineRule="auto"/>
        <w:rPr>
          <w:sz w:val="20"/>
          <w:szCs w:val="20"/>
          <w:color w:val="auto"/>
        </w:rPr>
      </w:pPr>
      <w:r>
        <w:rPr>
          <w:rFonts w:ascii="Arial" w:cs="Arial" w:eastAsia="Arial" w:hAnsi="Arial"/>
          <w:sz w:val="15"/>
          <w:szCs w:val="15"/>
          <w:color w:val="auto"/>
        </w:rPr>
        <w:t>(CFO) transforming</w:t>
      </w:r>
    </w:p>
    <w:p>
      <w:pPr>
        <w:ind w:left="760"/>
        <w:spacing w:after="0" w:line="226" w:lineRule="auto"/>
        <w:rPr>
          <w:sz w:val="20"/>
          <w:szCs w:val="20"/>
          <w:color w:val="auto"/>
        </w:rPr>
      </w:pPr>
      <w:r>
        <w:rPr>
          <w:rFonts w:ascii="Arial" w:cs="Arial" w:eastAsia="Arial" w:hAnsi="Arial"/>
          <w:sz w:val="15"/>
          <w:szCs w:val="15"/>
          <w:color w:val="auto"/>
        </w:rPr>
        <w:t>Comcast while</w:t>
      </w:r>
    </w:p>
    <w:p>
      <w:pPr>
        <w:ind w:left="760"/>
        <w:spacing w:after="0" w:line="225" w:lineRule="auto"/>
        <w:rPr>
          <w:sz w:val="20"/>
          <w:szCs w:val="20"/>
          <w:color w:val="auto"/>
        </w:rPr>
      </w:pPr>
      <w:r>
        <w:rPr>
          <w:rFonts w:ascii="Arial" w:cs="Arial" w:eastAsia="Arial" w:hAnsi="Arial"/>
          <w:sz w:val="15"/>
          <w:szCs w:val="15"/>
          <w:color w:val="auto"/>
        </w:rPr>
        <w:t>navigating the financial</w:t>
      </w:r>
    </w:p>
    <w:p>
      <w:pPr>
        <w:ind w:left="760"/>
        <w:spacing w:after="0" w:line="225" w:lineRule="auto"/>
        <w:rPr>
          <w:sz w:val="20"/>
          <w:szCs w:val="20"/>
          <w:color w:val="auto"/>
        </w:rPr>
      </w:pPr>
      <w:r>
        <w:rPr>
          <w:rFonts w:ascii="Arial" w:cs="Arial" w:eastAsia="Arial" w:hAnsi="Arial"/>
          <w:sz w:val="15"/>
          <w:szCs w:val="15"/>
          <w:color w:val="auto"/>
        </w:rPr>
        <w:t>crisis of 2008, helps</w:t>
      </w:r>
    </w:p>
    <w:p>
      <w:pPr>
        <w:ind w:left="760"/>
        <w:spacing w:after="0" w:line="226" w:lineRule="auto"/>
        <w:rPr>
          <w:sz w:val="20"/>
          <w:szCs w:val="20"/>
          <w:color w:val="auto"/>
        </w:rPr>
      </w:pPr>
      <w:r>
        <w:rPr>
          <w:rFonts w:ascii="Arial" w:cs="Arial" w:eastAsia="Arial" w:hAnsi="Arial"/>
          <w:sz w:val="15"/>
          <w:szCs w:val="15"/>
          <w:color w:val="auto"/>
        </w:rPr>
        <w:t>the Board to better</w:t>
      </w:r>
    </w:p>
    <w:p>
      <w:pPr>
        <w:ind w:left="760"/>
        <w:spacing w:after="0" w:line="225" w:lineRule="auto"/>
        <w:rPr>
          <w:sz w:val="20"/>
          <w:szCs w:val="20"/>
          <w:color w:val="auto"/>
        </w:rPr>
      </w:pPr>
      <w:r>
        <w:rPr>
          <w:rFonts w:ascii="Arial" w:cs="Arial" w:eastAsia="Arial" w:hAnsi="Arial"/>
          <w:sz w:val="15"/>
          <w:szCs w:val="15"/>
          <w:color w:val="auto"/>
        </w:rPr>
        <w:t>understand financial</w:t>
      </w:r>
    </w:p>
    <w:p>
      <w:pPr>
        <w:ind w:left="760"/>
        <w:spacing w:after="0" w:line="226" w:lineRule="auto"/>
        <w:rPr>
          <w:sz w:val="20"/>
          <w:szCs w:val="20"/>
          <w:color w:val="auto"/>
        </w:rPr>
      </w:pPr>
      <w:r>
        <w:rPr>
          <w:rFonts w:ascii="Arial" w:cs="Arial" w:eastAsia="Arial" w:hAnsi="Arial"/>
          <w:sz w:val="15"/>
          <w:szCs w:val="15"/>
          <w:color w:val="auto"/>
        </w:rPr>
        <w:t>risk and opportunities</w:t>
      </w:r>
    </w:p>
    <w:p>
      <w:pPr>
        <w:ind w:left="760"/>
        <w:spacing w:after="0" w:line="225" w:lineRule="auto"/>
        <w:rPr>
          <w:sz w:val="20"/>
          <w:szCs w:val="20"/>
          <w:color w:val="auto"/>
        </w:rPr>
      </w:pPr>
      <w:r>
        <w:rPr>
          <w:rFonts w:ascii="Arial" w:cs="Arial" w:eastAsia="Arial" w:hAnsi="Arial"/>
          <w:sz w:val="15"/>
          <w:szCs w:val="15"/>
          <w:color w:val="auto"/>
        </w:rPr>
        <w:t>facing ExxonMobil. In</w:t>
      </w:r>
    </w:p>
    <w:p>
      <w:pPr>
        <w:ind w:left="760"/>
        <w:spacing w:after="0" w:line="226" w:lineRule="auto"/>
        <w:rPr>
          <w:sz w:val="20"/>
          <w:szCs w:val="20"/>
          <w:color w:val="auto"/>
        </w:rPr>
      </w:pPr>
      <w:r>
        <w:rPr>
          <w:rFonts w:ascii="Arial" w:cs="Arial" w:eastAsia="Arial" w:hAnsi="Arial"/>
          <w:sz w:val="15"/>
          <w:szCs w:val="15"/>
          <w:color w:val="auto"/>
        </w:rPr>
        <w:t>addition to his</w:t>
      </w:r>
    </w:p>
    <w:p>
      <w:pPr>
        <w:ind w:left="760"/>
        <w:spacing w:after="0" w:line="225" w:lineRule="auto"/>
        <w:rPr>
          <w:sz w:val="20"/>
          <w:szCs w:val="20"/>
          <w:color w:val="auto"/>
        </w:rPr>
      </w:pPr>
      <w:r>
        <w:rPr>
          <w:rFonts w:ascii="Arial" w:cs="Arial" w:eastAsia="Arial" w:hAnsi="Arial"/>
          <w:sz w:val="15"/>
          <w:szCs w:val="15"/>
          <w:color w:val="auto"/>
        </w:rPr>
        <w:t>extensive business</w:t>
      </w:r>
    </w:p>
    <w:p>
      <w:pPr>
        <w:ind w:left="760"/>
        <w:spacing w:after="0" w:line="225" w:lineRule="auto"/>
        <w:rPr>
          <w:sz w:val="20"/>
          <w:szCs w:val="20"/>
          <w:color w:val="auto"/>
        </w:rPr>
      </w:pPr>
      <w:r>
        <w:rPr>
          <w:rFonts w:ascii="Arial" w:cs="Arial" w:eastAsia="Arial" w:hAnsi="Arial"/>
          <w:sz w:val="15"/>
          <w:szCs w:val="15"/>
          <w:color w:val="auto"/>
        </w:rPr>
        <w:t>career, Mr. Angelakis’</w:t>
      </w:r>
    </w:p>
    <w:p>
      <w:pPr>
        <w:ind w:left="760"/>
        <w:spacing w:after="0" w:line="226" w:lineRule="auto"/>
        <w:rPr>
          <w:sz w:val="20"/>
          <w:szCs w:val="20"/>
          <w:color w:val="auto"/>
        </w:rPr>
      </w:pPr>
      <w:r>
        <w:rPr>
          <w:rFonts w:ascii="Arial" w:cs="Arial" w:eastAsia="Arial" w:hAnsi="Arial"/>
          <w:sz w:val="15"/>
          <w:szCs w:val="15"/>
          <w:color w:val="auto"/>
        </w:rPr>
        <w:t>experience as</w:t>
      </w:r>
    </w:p>
    <w:p>
      <w:pPr>
        <w:ind w:left="760"/>
        <w:spacing w:after="0" w:line="225" w:lineRule="auto"/>
        <w:rPr>
          <w:sz w:val="20"/>
          <w:szCs w:val="20"/>
          <w:color w:val="auto"/>
        </w:rPr>
      </w:pPr>
      <w:r>
        <w:rPr>
          <w:rFonts w:ascii="Arial" w:cs="Arial" w:eastAsia="Arial" w:hAnsi="Arial"/>
          <w:sz w:val="15"/>
          <w:szCs w:val="15"/>
          <w:color w:val="auto"/>
        </w:rPr>
        <w:t>Chairman of the</w:t>
      </w:r>
    </w:p>
    <w:p>
      <w:pPr>
        <w:ind w:left="760"/>
        <w:spacing w:after="0" w:line="226" w:lineRule="auto"/>
        <w:rPr>
          <w:sz w:val="20"/>
          <w:szCs w:val="20"/>
          <w:color w:val="auto"/>
        </w:rPr>
      </w:pPr>
      <w:r>
        <w:rPr>
          <w:rFonts w:ascii="Arial" w:cs="Arial" w:eastAsia="Arial" w:hAnsi="Arial"/>
          <w:sz w:val="15"/>
          <w:szCs w:val="15"/>
          <w:color w:val="auto"/>
        </w:rPr>
        <w:t>Federal Reserve Bank</w:t>
      </w:r>
    </w:p>
    <w:p>
      <w:pPr>
        <w:ind w:left="760"/>
        <w:spacing w:after="0" w:line="225" w:lineRule="auto"/>
        <w:rPr>
          <w:sz w:val="20"/>
          <w:szCs w:val="20"/>
          <w:color w:val="auto"/>
        </w:rPr>
      </w:pPr>
      <w:r>
        <w:rPr>
          <w:rFonts w:ascii="Arial" w:cs="Arial" w:eastAsia="Arial" w:hAnsi="Arial"/>
          <w:sz w:val="15"/>
          <w:szCs w:val="15"/>
          <w:color w:val="auto"/>
        </w:rPr>
        <w:t>of Philadelphia</w:t>
      </w:r>
    </w:p>
    <w:p>
      <w:pPr>
        <w:ind w:left="760"/>
        <w:spacing w:after="0" w:line="225" w:lineRule="auto"/>
        <w:rPr>
          <w:sz w:val="20"/>
          <w:szCs w:val="20"/>
          <w:color w:val="auto"/>
        </w:rPr>
      </w:pPr>
      <w:r>
        <w:rPr>
          <w:rFonts w:ascii="Arial" w:cs="Arial" w:eastAsia="Arial" w:hAnsi="Arial"/>
          <w:sz w:val="15"/>
          <w:szCs w:val="15"/>
          <w:color w:val="auto"/>
        </w:rPr>
        <w:t>provides a vital</w:t>
      </w:r>
    </w:p>
    <w:p>
      <w:pPr>
        <w:ind w:left="760"/>
        <w:spacing w:after="0" w:line="226" w:lineRule="auto"/>
        <w:rPr>
          <w:sz w:val="20"/>
          <w:szCs w:val="20"/>
          <w:color w:val="auto"/>
        </w:rPr>
      </w:pPr>
      <w:r>
        <w:rPr>
          <w:rFonts w:ascii="Arial" w:cs="Arial" w:eastAsia="Arial" w:hAnsi="Arial"/>
          <w:sz w:val="15"/>
          <w:szCs w:val="15"/>
          <w:color w:val="auto"/>
        </w:rPr>
        <w:t>perspective to the</w:t>
      </w:r>
    </w:p>
    <w:p>
      <w:pPr>
        <w:ind w:left="760"/>
        <w:spacing w:after="0" w:line="225" w:lineRule="auto"/>
        <w:rPr>
          <w:sz w:val="20"/>
          <w:szCs w:val="20"/>
          <w:color w:val="auto"/>
        </w:rPr>
      </w:pPr>
      <w:r>
        <w:rPr>
          <w:rFonts w:ascii="Arial" w:cs="Arial" w:eastAsia="Arial" w:hAnsi="Arial"/>
          <w:sz w:val="15"/>
          <w:szCs w:val="15"/>
          <w:color w:val="auto"/>
        </w:rPr>
        <w:t>challenges ExxonMobil</w:t>
      </w:r>
    </w:p>
    <w:p>
      <w:pPr>
        <w:ind w:left="760"/>
        <w:spacing w:after="0" w:line="226" w:lineRule="auto"/>
        <w:rPr>
          <w:sz w:val="20"/>
          <w:szCs w:val="20"/>
          <w:color w:val="auto"/>
        </w:rPr>
      </w:pPr>
      <w:r>
        <w:rPr>
          <w:rFonts w:ascii="Arial" w:cs="Arial" w:eastAsia="Arial" w:hAnsi="Arial"/>
          <w:sz w:val="15"/>
          <w:szCs w:val="15"/>
          <w:color w:val="auto"/>
        </w:rPr>
        <w:t>faces related to policy</w:t>
      </w:r>
    </w:p>
    <w:p>
      <w:pPr>
        <w:ind w:left="760"/>
        <w:spacing w:after="0"/>
        <w:rPr>
          <w:sz w:val="20"/>
          <w:szCs w:val="20"/>
          <w:color w:val="auto"/>
        </w:rPr>
      </w:pPr>
      <w:r>
        <w:rPr>
          <w:rFonts w:ascii="Arial" w:cs="Arial" w:eastAsia="Arial" w:hAnsi="Arial"/>
          <w:sz w:val="15"/>
          <w:szCs w:val="15"/>
          <w:color w:val="auto"/>
        </w:rPr>
        <w:t>risk.</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Susan K. Avery</w:t>
      </w:r>
    </w:p>
    <w:p>
      <w:pPr>
        <w:ind w:left="760"/>
        <w:spacing w:after="0" w:line="233" w:lineRule="auto"/>
        <w:rPr>
          <w:sz w:val="20"/>
          <w:szCs w:val="20"/>
          <w:color w:val="auto"/>
        </w:rPr>
      </w:pPr>
      <w:r>
        <w:rPr>
          <w:rFonts w:ascii="Arial" w:cs="Arial" w:eastAsia="Arial" w:hAnsi="Arial"/>
          <w:sz w:val="15"/>
          <w:szCs w:val="15"/>
          <w:color w:val="auto"/>
        </w:rPr>
        <w:t>Dr. Avery brings</w:t>
      </w:r>
    </w:p>
    <w:p>
      <w:pPr>
        <w:ind w:left="760"/>
        <w:spacing w:after="0" w:line="225" w:lineRule="auto"/>
        <w:rPr>
          <w:sz w:val="20"/>
          <w:szCs w:val="20"/>
          <w:color w:val="auto"/>
        </w:rPr>
      </w:pPr>
      <w:r>
        <w:rPr>
          <w:rFonts w:ascii="Arial" w:cs="Arial" w:eastAsia="Arial" w:hAnsi="Arial"/>
          <w:sz w:val="15"/>
          <w:szCs w:val="15"/>
          <w:color w:val="auto"/>
        </w:rPr>
        <w:t>extensive experience</w:t>
      </w:r>
    </w:p>
    <w:p>
      <w:pPr>
        <w:ind w:left="760"/>
        <w:spacing w:after="0" w:line="225" w:lineRule="auto"/>
        <w:rPr>
          <w:sz w:val="20"/>
          <w:szCs w:val="20"/>
          <w:color w:val="auto"/>
        </w:rPr>
      </w:pPr>
      <w:r>
        <w:rPr>
          <w:rFonts w:ascii="Arial" w:cs="Arial" w:eastAsia="Arial" w:hAnsi="Arial"/>
          <w:sz w:val="15"/>
          <w:szCs w:val="15"/>
          <w:color w:val="auto"/>
        </w:rPr>
        <w:t>as an atmospheric</w:t>
      </w:r>
    </w:p>
    <w:p>
      <w:pPr>
        <w:ind w:left="760"/>
        <w:spacing w:after="0" w:line="226" w:lineRule="auto"/>
        <w:rPr>
          <w:sz w:val="20"/>
          <w:szCs w:val="20"/>
          <w:color w:val="auto"/>
        </w:rPr>
      </w:pPr>
      <w:r>
        <w:rPr>
          <w:rFonts w:ascii="Arial" w:cs="Arial" w:eastAsia="Arial" w:hAnsi="Arial"/>
          <w:sz w:val="15"/>
          <w:szCs w:val="15"/>
          <w:color w:val="auto"/>
        </w:rPr>
        <w:t>scientist and engineer.</w:t>
      </w:r>
    </w:p>
    <w:p>
      <w:pPr>
        <w:ind w:left="760"/>
        <w:spacing w:after="0" w:line="225" w:lineRule="auto"/>
        <w:rPr>
          <w:sz w:val="20"/>
          <w:szCs w:val="20"/>
          <w:color w:val="auto"/>
        </w:rPr>
      </w:pPr>
      <w:r>
        <w:rPr>
          <w:rFonts w:ascii="Arial" w:cs="Arial" w:eastAsia="Arial" w:hAnsi="Arial"/>
          <w:sz w:val="15"/>
          <w:szCs w:val="15"/>
          <w:color w:val="auto"/>
        </w:rPr>
        <w:t>Her work at the</w:t>
      </w:r>
    </w:p>
    <w:p>
      <w:pPr>
        <w:ind w:left="760"/>
        <w:spacing w:after="0" w:line="226" w:lineRule="auto"/>
        <w:rPr>
          <w:sz w:val="20"/>
          <w:szCs w:val="20"/>
          <w:color w:val="auto"/>
        </w:rPr>
      </w:pPr>
      <w:r>
        <w:rPr>
          <w:rFonts w:ascii="Arial" w:cs="Arial" w:eastAsia="Arial" w:hAnsi="Arial"/>
          <w:sz w:val="15"/>
          <w:szCs w:val="15"/>
          <w:color w:val="auto"/>
        </w:rPr>
        <w:t>University of Colorado-</w:t>
      </w:r>
    </w:p>
    <w:p>
      <w:pPr>
        <w:ind w:left="760"/>
        <w:spacing w:after="0" w:line="225" w:lineRule="auto"/>
        <w:rPr>
          <w:sz w:val="20"/>
          <w:szCs w:val="20"/>
          <w:color w:val="auto"/>
        </w:rPr>
      </w:pPr>
      <w:r>
        <w:rPr>
          <w:rFonts w:ascii="Arial" w:cs="Arial" w:eastAsia="Arial" w:hAnsi="Arial"/>
          <w:sz w:val="15"/>
          <w:szCs w:val="15"/>
          <w:color w:val="auto"/>
        </w:rPr>
        <w:t>Boulder and Woods</w:t>
      </w:r>
    </w:p>
    <w:p>
      <w:pPr>
        <w:ind w:left="760"/>
        <w:spacing w:after="0" w:line="225" w:lineRule="auto"/>
        <w:rPr>
          <w:sz w:val="20"/>
          <w:szCs w:val="20"/>
          <w:color w:val="auto"/>
        </w:rPr>
      </w:pPr>
      <w:r>
        <w:rPr>
          <w:rFonts w:ascii="Arial" w:cs="Arial" w:eastAsia="Arial" w:hAnsi="Arial"/>
          <w:sz w:val="15"/>
          <w:szCs w:val="15"/>
          <w:color w:val="auto"/>
        </w:rPr>
        <w:t>Hole Oceanographic</w:t>
      </w:r>
    </w:p>
    <w:p>
      <w:pPr>
        <w:ind w:left="760"/>
        <w:spacing w:after="0" w:line="226" w:lineRule="auto"/>
        <w:rPr>
          <w:sz w:val="20"/>
          <w:szCs w:val="20"/>
          <w:color w:val="auto"/>
        </w:rPr>
      </w:pPr>
      <w:r>
        <w:rPr>
          <w:rFonts w:ascii="Arial" w:cs="Arial" w:eastAsia="Arial" w:hAnsi="Arial"/>
          <w:sz w:val="15"/>
          <w:szCs w:val="15"/>
          <w:color w:val="auto"/>
        </w:rPr>
        <w:t>Institution puts her at</w:t>
      </w:r>
    </w:p>
    <w:p>
      <w:pPr>
        <w:ind w:left="760"/>
        <w:spacing w:after="0" w:line="225" w:lineRule="auto"/>
        <w:rPr>
          <w:sz w:val="20"/>
          <w:szCs w:val="20"/>
          <w:color w:val="auto"/>
        </w:rPr>
      </w:pPr>
      <w:r>
        <w:rPr>
          <w:rFonts w:ascii="Arial" w:cs="Arial" w:eastAsia="Arial" w:hAnsi="Arial"/>
          <w:sz w:val="15"/>
          <w:szCs w:val="15"/>
          <w:color w:val="auto"/>
        </w:rPr>
        <w:t>the leading edge of</w:t>
      </w:r>
    </w:p>
    <w:p>
      <w:pPr>
        <w:ind w:left="760"/>
        <w:spacing w:after="0" w:line="226" w:lineRule="auto"/>
        <w:rPr>
          <w:sz w:val="20"/>
          <w:szCs w:val="20"/>
          <w:color w:val="auto"/>
        </w:rPr>
      </w:pPr>
      <w:r>
        <w:rPr>
          <w:rFonts w:ascii="Arial" w:cs="Arial" w:eastAsia="Arial" w:hAnsi="Arial"/>
          <w:sz w:val="15"/>
          <w:szCs w:val="15"/>
          <w:color w:val="auto"/>
        </w:rPr>
        <w:t>climate research,</w:t>
      </w:r>
    </w:p>
    <w:p>
      <w:pPr>
        <w:ind w:left="760"/>
        <w:spacing w:after="0" w:line="225" w:lineRule="auto"/>
        <w:rPr>
          <w:sz w:val="20"/>
          <w:szCs w:val="20"/>
          <w:color w:val="auto"/>
        </w:rPr>
      </w:pPr>
      <w:r>
        <w:rPr>
          <w:rFonts w:ascii="Arial" w:cs="Arial" w:eastAsia="Arial" w:hAnsi="Arial"/>
          <w:sz w:val="15"/>
          <w:szCs w:val="15"/>
          <w:color w:val="auto"/>
        </w:rPr>
        <w:t>including the evolving</w:t>
      </w:r>
    </w:p>
    <w:p>
      <w:pPr>
        <w:ind w:left="760"/>
        <w:spacing w:after="0" w:line="226" w:lineRule="auto"/>
        <w:rPr>
          <w:sz w:val="20"/>
          <w:szCs w:val="20"/>
          <w:color w:val="auto"/>
        </w:rPr>
      </w:pPr>
      <w:r>
        <w:rPr>
          <w:rFonts w:ascii="Arial" w:cs="Arial" w:eastAsia="Arial" w:hAnsi="Arial"/>
          <w:sz w:val="15"/>
          <w:szCs w:val="15"/>
          <w:color w:val="auto"/>
        </w:rPr>
        <w:t>field of earth system</w:t>
      </w:r>
    </w:p>
    <w:p>
      <w:pPr>
        <w:ind w:left="760"/>
        <w:spacing w:after="0" w:line="225" w:lineRule="auto"/>
        <w:rPr>
          <w:sz w:val="20"/>
          <w:szCs w:val="20"/>
          <w:color w:val="auto"/>
        </w:rPr>
      </w:pPr>
      <w:r>
        <w:rPr>
          <w:rFonts w:ascii="Arial" w:cs="Arial" w:eastAsia="Arial" w:hAnsi="Arial"/>
          <w:sz w:val="15"/>
          <w:szCs w:val="15"/>
          <w:color w:val="auto"/>
        </w:rPr>
        <w:t>science. This unique</w:t>
      </w:r>
    </w:p>
    <w:p>
      <w:pPr>
        <w:ind w:left="760"/>
        <w:spacing w:after="0" w:line="225" w:lineRule="auto"/>
        <w:rPr>
          <w:sz w:val="20"/>
          <w:szCs w:val="20"/>
          <w:color w:val="auto"/>
        </w:rPr>
      </w:pPr>
      <w:r>
        <w:rPr>
          <w:rFonts w:ascii="Arial" w:cs="Arial" w:eastAsia="Arial" w:hAnsi="Arial"/>
          <w:sz w:val="15"/>
          <w:szCs w:val="15"/>
          <w:color w:val="auto"/>
        </w:rPr>
        <w:t>perspective helps the</w:t>
      </w:r>
    </w:p>
    <w:p>
      <w:pPr>
        <w:ind w:left="760"/>
        <w:spacing w:after="0" w:line="226" w:lineRule="auto"/>
        <w:rPr>
          <w:sz w:val="20"/>
          <w:szCs w:val="20"/>
          <w:color w:val="auto"/>
        </w:rPr>
      </w:pPr>
      <w:r>
        <w:rPr>
          <w:rFonts w:ascii="Arial" w:cs="Arial" w:eastAsia="Arial" w:hAnsi="Arial"/>
          <w:sz w:val="15"/>
          <w:szCs w:val="15"/>
          <w:color w:val="auto"/>
        </w:rPr>
        <w:t>Board better</w:t>
      </w:r>
    </w:p>
    <w:p>
      <w:pPr>
        <w:ind w:left="760"/>
        <w:spacing w:after="0" w:line="225" w:lineRule="auto"/>
        <w:rPr>
          <w:sz w:val="20"/>
          <w:szCs w:val="20"/>
          <w:color w:val="auto"/>
        </w:rPr>
      </w:pPr>
      <w:r>
        <w:rPr>
          <w:rFonts w:ascii="Arial" w:cs="Arial" w:eastAsia="Arial" w:hAnsi="Arial"/>
          <w:sz w:val="15"/>
          <w:szCs w:val="15"/>
          <w:color w:val="auto"/>
        </w:rPr>
        <w:t>understand the</w:t>
      </w:r>
    </w:p>
    <w:p>
      <w:pPr>
        <w:ind w:left="760"/>
        <w:spacing w:after="0" w:line="226" w:lineRule="auto"/>
        <w:rPr>
          <w:sz w:val="20"/>
          <w:szCs w:val="20"/>
          <w:color w:val="auto"/>
        </w:rPr>
      </w:pPr>
      <w:r>
        <w:rPr>
          <w:rFonts w:ascii="Arial" w:cs="Arial" w:eastAsia="Arial" w:hAnsi="Arial"/>
          <w:sz w:val="15"/>
          <w:szCs w:val="15"/>
          <w:color w:val="auto"/>
        </w:rPr>
        <w:t>technological</w:t>
      </w:r>
    </w:p>
    <w:p>
      <w:pPr>
        <w:ind w:left="760"/>
        <w:spacing w:after="0" w:line="225" w:lineRule="auto"/>
        <w:rPr>
          <w:sz w:val="20"/>
          <w:szCs w:val="20"/>
          <w:color w:val="auto"/>
        </w:rPr>
      </w:pPr>
      <w:r>
        <w:rPr>
          <w:rFonts w:ascii="Arial" w:cs="Arial" w:eastAsia="Arial" w:hAnsi="Arial"/>
          <w:sz w:val="15"/>
          <w:szCs w:val="15"/>
          <w:color w:val="auto"/>
        </w:rPr>
        <w:t>opportunities available</w:t>
      </w:r>
    </w:p>
    <w:p>
      <w:pPr>
        <w:ind w:left="760"/>
        <w:spacing w:after="0" w:line="225" w:lineRule="auto"/>
        <w:rPr>
          <w:sz w:val="20"/>
          <w:szCs w:val="20"/>
          <w:color w:val="auto"/>
        </w:rPr>
      </w:pPr>
      <w:r>
        <w:rPr>
          <w:rFonts w:ascii="Arial" w:cs="Arial" w:eastAsia="Arial" w:hAnsi="Arial"/>
          <w:sz w:val="15"/>
          <w:szCs w:val="15"/>
          <w:color w:val="auto"/>
        </w:rPr>
        <w:t>in low carbon solutions</w:t>
      </w:r>
    </w:p>
    <w:p>
      <w:pPr>
        <w:ind w:left="760"/>
        <w:spacing w:after="0" w:line="226" w:lineRule="auto"/>
        <w:rPr>
          <w:sz w:val="20"/>
          <w:szCs w:val="20"/>
          <w:color w:val="auto"/>
        </w:rPr>
      </w:pPr>
      <w:r>
        <w:rPr>
          <w:rFonts w:ascii="Arial" w:cs="Arial" w:eastAsia="Arial" w:hAnsi="Arial"/>
          <w:sz w:val="15"/>
          <w:szCs w:val="15"/>
          <w:color w:val="auto"/>
        </w:rPr>
        <w:t>as well as providing</w:t>
      </w:r>
    </w:p>
    <w:p>
      <w:pPr>
        <w:ind w:left="760"/>
        <w:spacing w:after="0" w:line="225" w:lineRule="auto"/>
        <w:rPr>
          <w:sz w:val="20"/>
          <w:szCs w:val="20"/>
          <w:color w:val="auto"/>
        </w:rPr>
      </w:pPr>
      <w:r>
        <w:rPr>
          <w:rFonts w:ascii="Arial" w:cs="Arial" w:eastAsia="Arial" w:hAnsi="Arial"/>
          <w:sz w:val="15"/>
          <w:szCs w:val="15"/>
          <w:color w:val="auto"/>
        </w:rPr>
        <w:t>effective oversight to</w:t>
      </w:r>
    </w:p>
    <w:p>
      <w:pPr>
        <w:ind w:left="760"/>
        <w:spacing w:after="0" w:line="226" w:lineRule="auto"/>
        <w:rPr>
          <w:sz w:val="20"/>
          <w:szCs w:val="20"/>
          <w:color w:val="auto"/>
        </w:rPr>
      </w:pPr>
      <w:r>
        <w:rPr>
          <w:rFonts w:ascii="Arial" w:cs="Arial" w:eastAsia="Arial" w:hAnsi="Arial"/>
          <w:sz w:val="15"/>
          <w:szCs w:val="15"/>
          <w:color w:val="auto"/>
        </w:rPr>
        <w:t>the climate-related</w:t>
      </w:r>
    </w:p>
    <w:p>
      <w:pPr>
        <w:ind w:left="760"/>
        <w:spacing w:after="0" w:line="225" w:lineRule="auto"/>
        <w:rPr>
          <w:sz w:val="20"/>
          <w:szCs w:val="20"/>
          <w:color w:val="auto"/>
        </w:rPr>
      </w:pPr>
      <w:r>
        <w:rPr>
          <w:rFonts w:ascii="Arial" w:cs="Arial" w:eastAsia="Arial" w:hAnsi="Arial"/>
          <w:sz w:val="15"/>
          <w:szCs w:val="15"/>
          <w:color w:val="auto"/>
        </w:rPr>
        <w:t>risks facing</w:t>
      </w:r>
    </w:p>
    <w:p>
      <w:pPr>
        <w:ind w:left="760"/>
        <w:spacing w:after="0"/>
        <w:rPr>
          <w:sz w:val="20"/>
          <w:szCs w:val="20"/>
          <w:color w:val="auto"/>
        </w:rPr>
      </w:pPr>
      <w:r>
        <w:rPr>
          <w:rFonts w:ascii="Arial" w:cs="Arial" w:eastAsia="Arial" w:hAnsi="Arial"/>
          <w:sz w:val="15"/>
          <w:szCs w:val="15"/>
          <w:color w:val="auto"/>
        </w:rPr>
        <w:t>ExxonMobil.</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Angela F. Braly</w:t>
      </w:r>
    </w:p>
    <w:p>
      <w:pPr>
        <w:ind w:left="760"/>
        <w:spacing w:after="0" w:line="233" w:lineRule="auto"/>
        <w:rPr>
          <w:sz w:val="20"/>
          <w:szCs w:val="20"/>
          <w:color w:val="auto"/>
        </w:rPr>
      </w:pPr>
      <w:r>
        <w:rPr>
          <w:rFonts w:ascii="Arial" w:cs="Arial" w:eastAsia="Arial" w:hAnsi="Arial"/>
          <w:sz w:val="15"/>
          <w:szCs w:val="15"/>
          <w:color w:val="auto"/>
        </w:rPr>
        <w:t>Ms. Braly’s experience</w:t>
      </w:r>
    </w:p>
    <w:p>
      <w:pPr>
        <w:ind w:left="760"/>
        <w:spacing w:after="0" w:line="225" w:lineRule="auto"/>
        <w:rPr>
          <w:sz w:val="20"/>
          <w:szCs w:val="20"/>
          <w:color w:val="auto"/>
        </w:rPr>
      </w:pPr>
      <w:r>
        <w:rPr>
          <w:rFonts w:ascii="Arial" w:cs="Arial" w:eastAsia="Arial" w:hAnsi="Arial"/>
          <w:sz w:val="15"/>
          <w:szCs w:val="15"/>
          <w:color w:val="auto"/>
        </w:rPr>
        <w:t>successfully leading</w:t>
      </w:r>
    </w:p>
    <w:p>
      <w:pPr>
        <w:ind w:left="760"/>
        <w:spacing w:after="0" w:line="225" w:lineRule="auto"/>
        <w:rPr>
          <w:sz w:val="20"/>
          <w:szCs w:val="20"/>
          <w:color w:val="auto"/>
        </w:rPr>
      </w:pPr>
      <w:r>
        <w:rPr>
          <w:rFonts w:ascii="Arial" w:cs="Arial" w:eastAsia="Arial" w:hAnsi="Arial"/>
          <w:sz w:val="15"/>
          <w:szCs w:val="15"/>
          <w:color w:val="auto"/>
        </w:rPr>
        <w:t>WellPoint through the</w:t>
      </w:r>
    </w:p>
    <w:p>
      <w:pPr>
        <w:ind w:left="760"/>
        <w:spacing w:after="0" w:line="226" w:lineRule="auto"/>
        <w:rPr>
          <w:sz w:val="20"/>
          <w:szCs w:val="20"/>
          <w:color w:val="auto"/>
        </w:rPr>
      </w:pPr>
      <w:r>
        <w:rPr>
          <w:rFonts w:ascii="Arial" w:cs="Arial" w:eastAsia="Arial" w:hAnsi="Arial"/>
          <w:sz w:val="15"/>
          <w:szCs w:val="15"/>
          <w:color w:val="auto"/>
        </w:rPr>
        <w:t>regulatory changes</w:t>
      </w:r>
    </w:p>
    <w:p>
      <w:pPr>
        <w:ind w:left="760"/>
        <w:spacing w:after="0" w:line="225" w:lineRule="auto"/>
        <w:rPr>
          <w:sz w:val="20"/>
          <w:szCs w:val="20"/>
          <w:color w:val="auto"/>
        </w:rPr>
      </w:pPr>
      <w:r>
        <w:rPr>
          <w:rFonts w:ascii="Arial" w:cs="Arial" w:eastAsia="Arial" w:hAnsi="Arial"/>
          <w:sz w:val="15"/>
          <w:szCs w:val="15"/>
          <w:color w:val="auto"/>
        </w:rPr>
        <w:t>stemming from the</w:t>
      </w:r>
    </w:p>
    <w:p>
      <w:pPr>
        <w:ind w:left="760"/>
        <w:spacing w:after="0" w:line="226" w:lineRule="auto"/>
        <w:rPr>
          <w:sz w:val="20"/>
          <w:szCs w:val="20"/>
          <w:color w:val="auto"/>
        </w:rPr>
      </w:pPr>
      <w:r>
        <w:rPr>
          <w:rFonts w:ascii="Arial" w:cs="Arial" w:eastAsia="Arial" w:hAnsi="Arial"/>
          <w:sz w:val="15"/>
          <w:szCs w:val="15"/>
          <w:color w:val="auto"/>
        </w:rPr>
        <w:t>Affordable Care Act</w:t>
      </w:r>
    </w:p>
    <w:p>
      <w:pPr>
        <w:ind w:left="760"/>
        <w:spacing w:after="0" w:line="225" w:lineRule="auto"/>
        <w:rPr>
          <w:sz w:val="20"/>
          <w:szCs w:val="20"/>
          <w:color w:val="auto"/>
        </w:rPr>
      </w:pPr>
      <w:r>
        <w:rPr>
          <w:rFonts w:ascii="Arial" w:cs="Arial" w:eastAsia="Arial" w:hAnsi="Arial"/>
          <w:sz w:val="15"/>
          <w:szCs w:val="15"/>
          <w:color w:val="auto"/>
        </w:rPr>
        <w:t>helps the Board to</w:t>
      </w:r>
    </w:p>
    <w:p>
      <w:pPr>
        <w:ind w:left="760"/>
        <w:spacing w:after="0" w:line="225" w:lineRule="auto"/>
        <w:rPr>
          <w:sz w:val="20"/>
          <w:szCs w:val="20"/>
          <w:color w:val="auto"/>
        </w:rPr>
      </w:pPr>
      <w:r>
        <w:rPr>
          <w:rFonts w:ascii="Arial" w:cs="Arial" w:eastAsia="Arial" w:hAnsi="Arial"/>
          <w:sz w:val="15"/>
          <w:szCs w:val="15"/>
          <w:color w:val="auto"/>
        </w:rPr>
        <w:t>better understand the</w:t>
      </w:r>
    </w:p>
    <w:p>
      <w:pPr>
        <w:ind w:left="760"/>
        <w:spacing w:after="0" w:line="226" w:lineRule="auto"/>
        <w:rPr>
          <w:sz w:val="20"/>
          <w:szCs w:val="20"/>
          <w:color w:val="auto"/>
        </w:rPr>
      </w:pPr>
      <w:r>
        <w:rPr>
          <w:rFonts w:ascii="Arial" w:cs="Arial" w:eastAsia="Arial" w:hAnsi="Arial"/>
          <w:sz w:val="15"/>
          <w:szCs w:val="15"/>
          <w:color w:val="auto"/>
        </w:rPr>
        <w:t>risks and opportunities</w:t>
      </w:r>
    </w:p>
    <w:p>
      <w:pPr>
        <w:ind w:left="760"/>
        <w:spacing w:after="0" w:line="225" w:lineRule="auto"/>
        <w:rPr>
          <w:sz w:val="20"/>
          <w:szCs w:val="20"/>
          <w:color w:val="auto"/>
        </w:rPr>
      </w:pPr>
      <w:r>
        <w:rPr>
          <w:rFonts w:ascii="Arial" w:cs="Arial" w:eastAsia="Arial" w:hAnsi="Arial"/>
          <w:sz w:val="15"/>
          <w:szCs w:val="15"/>
          <w:color w:val="auto"/>
        </w:rPr>
        <w:t>in industries that are</w:t>
      </w:r>
    </w:p>
    <w:p>
      <w:pPr>
        <w:ind w:left="760"/>
        <w:spacing w:after="0" w:line="226" w:lineRule="auto"/>
        <w:rPr>
          <w:sz w:val="20"/>
          <w:szCs w:val="20"/>
          <w:color w:val="auto"/>
        </w:rPr>
      </w:pPr>
      <w:r>
        <w:rPr>
          <w:rFonts w:ascii="Arial" w:cs="Arial" w:eastAsia="Arial" w:hAnsi="Arial"/>
          <w:sz w:val="15"/>
          <w:szCs w:val="15"/>
          <w:color w:val="auto"/>
        </w:rPr>
        <w:t>challenged by</w:t>
      </w:r>
    </w:p>
    <w:p>
      <w:pPr>
        <w:ind w:left="760"/>
        <w:spacing w:after="0" w:line="225" w:lineRule="auto"/>
        <w:rPr>
          <w:sz w:val="20"/>
          <w:szCs w:val="20"/>
          <w:color w:val="auto"/>
        </w:rPr>
      </w:pPr>
      <w:r>
        <w:rPr>
          <w:rFonts w:ascii="Arial" w:cs="Arial" w:eastAsia="Arial" w:hAnsi="Arial"/>
          <w:sz w:val="15"/>
          <w:szCs w:val="15"/>
          <w:color w:val="auto"/>
        </w:rPr>
        <w:t>government-led</w:t>
      </w:r>
    </w:p>
    <w:p>
      <w:pPr>
        <w:ind w:left="760"/>
        <w:spacing w:after="0" w:line="226" w:lineRule="auto"/>
        <w:rPr>
          <w:sz w:val="20"/>
          <w:szCs w:val="20"/>
          <w:color w:val="auto"/>
        </w:rPr>
      </w:pPr>
      <w:r>
        <w:rPr>
          <w:rFonts w:ascii="Arial" w:cs="Arial" w:eastAsia="Arial" w:hAnsi="Arial"/>
          <w:sz w:val="15"/>
          <w:szCs w:val="15"/>
          <w:color w:val="auto"/>
        </w:rPr>
        <w:t>transformation. Her</w:t>
      </w:r>
    </w:p>
    <w:p>
      <w:pPr>
        <w:ind w:left="760"/>
        <w:spacing w:after="0" w:line="225" w:lineRule="auto"/>
        <w:rPr>
          <w:sz w:val="20"/>
          <w:szCs w:val="20"/>
          <w:color w:val="auto"/>
        </w:rPr>
      </w:pPr>
      <w:r>
        <w:rPr>
          <w:rFonts w:ascii="Arial" w:cs="Arial" w:eastAsia="Arial" w:hAnsi="Arial"/>
          <w:sz w:val="15"/>
          <w:szCs w:val="15"/>
          <w:color w:val="auto"/>
        </w:rPr>
        <w:t>continued work in</w:t>
      </w:r>
    </w:p>
    <w:p>
      <w:pPr>
        <w:ind w:left="760"/>
        <w:spacing w:after="0" w:line="225" w:lineRule="auto"/>
        <w:rPr>
          <w:sz w:val="20"/>
          <w:szCs w:val="20"/>
          <w:color w:val="auto"/>
        </w:rPr>
      </w:pPr>
      <w:r>
        <w:rPr>
          <w:rFonts w:ascii="Arial" w:cs="Arial" w:eastAsia="Arial" w:hAnsi="Arial"/>
          <w:sz w:val="15"/>
          <w:szCs w:val="15"/>
          <w:color w:val="auto"/>
        </w:rPr>
        <w:t>public policy and</w:t>
      </w:r>
    </w:p>
    <w:p>
      <w:pPr>
        <w:ind w:left="760"/>
        <w:spacing w:after="0" w:line="226" w:lineRule="auto"/>
        <w:rPr>
          <w:sz w:val="20"/>
          <w:szCs w:val="20"/>
          <w:color w:val="auto"/>
        </w:rPr>
      </w:pPr>
      <w:r>
        <w:rPr>
          <w:rFonts w:ascii="Arial" w:cs="Arial" w:eastAsia="Arial" w:hAnsi="Arial"/>
          <w:sz w:val="15"/>
          <w:szCs w:val="15"/>
          <w:color w:val="auto"/>
        </w:rPr>
        <w:t>governance</w:t>
      </w:r>
    </w:p>
    <w:p>
      <w:pPr>
        <w:ind w:left="760"/>
        <w:spacing w:after="0" w:line="225" w:lineRule="auto"/>
        <w:rPr>
          <w:sz w:val="20"/>
          <w:szCs w:val="20"/>
          <w:color w:val="auto"/>
        </w:rPr>
      </w:pPr>
      <w:r>
        <w:rPr>
          <w:rFonts w:ascii="Arial" w:cs="Arial" w:eastAsia="Arial" w:hAnsi="Arial"/>
          <w:sz w:val="15"/>
          <w:szCs w:val="15"/>
          <w:color w:val="auto"/>
        </w:rPr>
        <w:t>experience on the</w:t>
      </w:r>
    </w:p>
    <w:p>
      <w:pPr>
        <w:ind w:left="760"/>
        <w:spacing w:after="0" w:line="226" w:lineRule="auto"/>
        <w:rPr>
          <w:sz w:val="20"/>
          <w:szCs w:val="20"/>
          <w:color w:val="auto"/>
        </w:rPr>
      </w:pPr>
      <w:r>
        <w:rPr>
          <w:rFonts w:ascii="Arial" w:cs="Arial" w:eastAsia="Arial" w:hAnsi="Arial"/>
          <w:sz w:val="15"/>
          <w:szCs w:val="15"/>
          <w:color w:val="auto"/>
        </w:rPr>
        <w:t>Board of Procter &amp;</w:t>
      </w:r>
    </w:p>
    <w:p>
      <w:pPr>
        <w:ind w:left="760"/>
        <w:spacing w:after="0" w:line="225" w:lineRule="auto"/>
        <w:rPr>
          <w:sz w:val="20"/>
          <w:szCs w:val="20"/>
          <w:color w:val="auto"/>
        </w:rPr>
      </w:pPr>
      <w:r>
        <w:rPr>
          <w:rFonts w:ascii="Arial" w:cs="Arial" w:eastAsia="Arial" w:hAnsi="Arial"/>
          <w:sz w:val="15"/>
          <w:szCs w:val="15"/>
          <w:color w:val="auto"/>
        </w:rPr>
        <w:t>Gamble, a 100,000+</w:t>
      </w:r>
    </w:p>
    <w:p>
      <w:pPr>
        <w:ind w:left="760"/>
        <w:spacing w:after="0" w:line="225" w:lineRule="auto"/>
        <w:rPr>
          <w:sz w:val="20"/>
          <w:szCs w:val="20"/>
          <w:color w:val="auto"/>
        </w:rPr>
      </w:pPr>
      <w:r>
        <w:rPr>
          <w:rFonts w:ascii="Arial" w:cs="Arial" w:eastAsia="Arial" w:hAnsi="Arial"/>
          <w:sz w:val="15"/>
          <w:szCs w:val="15"/>
          <w:color w:val="auto"/>
        </w:rPr>
        <w:t>employee company,</w:t>
      </w:r>
    </w:p>
    <w:p>
      <w:pPr>
        <w:ind w:left="760"/>
        <w:spacing w:after="0" w:line="226" w:lineRule="auto"/>
        <w:rPr>
          <w:sz w:val="20"/>
          <w:szCs w:val="20"/>
          <w:color w:val="auto"/>
        </w:rPr>
      </w:pPr>
      <w:r>
        <w:rPr>
          <w:rFonts w:ascii="Arial" w:cs="Arial" w:eastAsia="Arial" w:hAnsi="Arial"/>
          <w:sz w:val="15"/>
          <w:szCs w:val="15"/>
          <w:color w:val="auto"/>
        </w:rPr>
        <w:t>further helps the Board</w:t>
      </w:r>
    </w:p>
    <w:p>
      <w:pPr>
        <w:ind w:left="760"/>
        <w:spacing w:after="0" w:line="225" w:lineRule="auto"/>
        <w:rPr>
          <w:sz w:val="20"/>
          <w:szCs w:val="20"/>
          <w:color w:val="auto"/>
        </w:rPr>
      </w:pPr>
      <w:r>
        <w:rPr>
          <w:rFonts w:ascii="Arial" w:cs="Arial" w:eastAsia="Arial" w:hAnsi="Arial"/>
          <w:sz w:val="15"/>
          <w:szCs w:val="15"/>
          <w:color w:val="auto"/>
        </w:rPr>
        <w:t>navigate public policy</w:t>
      </w:r>
    </w:p>
    <w:p>
      <w:pPr>
        <w:ind w:left="760"/>
        <w:spacing w:after="0" w:line="226" w:lineRule="auto"/>
        <w:rPr>
          <w:sz w:val="20"/>
          <w:szCs w:val="20"/>
          <w:color w:val="auto"/>
        </w:rPr>
      </w:pPr>
      <w:r>
        <w:rPr>
          <w:rFonts w:ascii="Arial" w:cs="Arial" w:eastAsia="Arial" w:hAnsi="Arial"/>
          <w:sz w:val="15"/>
          <w:szCs w:val="15"/>
          <w:color w:val="auto"/>
        </w:rPr>
        <w:t>issues that arise at a</w:t>
      </w:r>
    </w:p>
    <w:p>
      <w:pPr>
        <w:ind w:left="760"/>
        <w:spacing w:after="0"/>
        <w:rPr>
          <w:sz w:val="20"/>
          <w:szCs w:val="20"/>
          <w:color w:val="auto"/>
        </w:rPr>
      </w:pPr>
      <w:r>
        <w:rPr>
          <w:rFonts w:ascii="Arial" w:cs="Arial" w:eastAsia="Arial" w:hAnsi="Arial"/>
          <w:sz w:val="15"/>
          <w:szCs w:val="15"/>
          <w:color w:val="auto"/>
        </w:rPr>
        <w:t>global public company.</w:t>
      </w:r>
    </w:p>
    <w:p>
      <w:pPr>
        <w:sectPr>
          <w:pgSz w:w="11900" w:h="16838" w:orient="portrait"/>
          <w:cols w:equalWidth="0" w:num="1">
            <w:col w:w="10139"/>
          </w:cols>
          <w:pgMar w:left="320" w:top="482" w:right="1440" w:bottom="939" w:gutter="0" w:footer="0" w:header="0"/>
        </w:sectPr>
      </w:pPr>
    </w:p>
    <w:bookmarkStart w:id="29" w:name="page30"/>
    <w:bookmarkEnd w:id="29"/>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688340</wp:posOffset>
            </wp:positionH>
            <wp:positionV relativeFrom="page">
              <wp:posOffset>88900</wp:posOffset>
            </wp:positionV>
            <wp:extent cx="5923280" cy="57264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923280" cy="5726430"/>
                    </a:xfrm>
                    <a:prstGeom prst="rect">
                      <a:avLst/>
                    </a:prstGeom>
                    <a:noFill/>
                  </pic:spPr>
                </pic:pic>
              </a:graphicData>
            </a:graphic>
          </wp:anchor>
        </w:drawing>
        <w:t xml:space="preserve">Ursula M. Burns </w:t>
      </w:r>
      <w:r>
        <w:rPr>
          <w:rFonts w:ascii="Arial" w:cs="Arial" w:eastAsia="Arial" w:hAnsi="Arial"/>
          <w:sz w:val="15"/>
          <w:szCs w:val="15"/>
          <w:color w:val="auto"/>
        </w:rPr>
        <w:t>(not</w:t>
      </w:r>
    </w:p>
    <w:p>
      <w:pPr>
        <w:spacing w:after="0" w:line="233" w:lineRule="auto"/>
        <w:rPr>
          <w:sz w:val="20"/>
          <w:szCs w:val="20"/>
          <w:color w:val="auto"/>
        </w:rPr>
      </w:pPr>
      <w:r>
        <w:rPr>
          <w:rFonts w:ascii="Arial" w:cs="Arial" w:eastAsia="Arial" w:hAnsi="Arial"/>
          <w:sz w:val="15"/>
          <w:szCs w:val="15"/>
          <w:color w:val="auto"/>
        </w:rPr>
        <w:t>standing for</w:t>
      </w:r>
    </w:p>
    <w:p>
      <w:pPr>
        <w:spacing w:after="0" w:line="225" w:lineRule="auto"/>
        <w:rPr>
          <w:sz w:val="20"/>
          <w:szCs w:val="20"/>
          <w:color w:val="auto"/>
        </w:rPr>
      </w:pPr>
      <w:r>
        <w:rPr>
          <w:rFonts w:ascii="Arial" w:cs="Arial" w:eastAsia="Arial" w:hAnsi="Arial"/>
          <w:sz w:val="15"/>
          <w:szCs w:val="15"/>
          <w:color w:val="auto"/>
        </w:rPr>
        <w:t>re-election)</w:t>
      </w:r>
    </w:p>
    <w:p>
      <w:pPr>
        <w:spacing w:after="0" w:line="225" w:lineRule="auto"/>
        <w:rPr>
          <w:sz w:val="20"/>
          <w:szCs w:val="20"/>
          <w:color w:val="auto"/>
        </w:rPr>
      </w:pPr>
      <w:r>
        <w:rPr>
          <w:rFonts w:ascii="Arial" w:cs="Arial" w:eastAsia="Arial" w:hAnsi="Arial"/>
          <w:sz w:val="15"/>
          <w:szCs w:val="15"/>
          <w:color w:val="auto"/>
        </w:rPr>
        <w:t>Ms. Burns has deep</w:t>
      </w:r>
    </w:p>
    <w:p>
      <w:pPr>
        <w:spacing w:after="0" w:line="226" w:lineRule="auto"/>
        <w:rPr>
          <w:sz w:val="20"/>
          <w:szCs w:val="20"/>
          <w:color w:val="auto"/>
        </w:rPr>
      </w:pPr>
      <w:r>
        <w:rPr>
          <w:rFonts w:ascii="Arial" w:cs="Arial" w:eastAsia="Arial" w:hAnsi="Arial"/>
          <w:sz w:val="15"/>
          <w:szCs w:val="15"/>
          <w:color w:val="auto"/>
        </w:rPr>
        <w:t>expertise running a</w:t>
      </w:r>
    </w:p>
    <w:p>
      <w:pPr>
        <w:spacing w:after="0" w:line="225" w:lineRule="auto"/>
        <w:rPr>
          <w:sz w:val="20"/>
          <w:szCs w:val="20"/>
          <w:color w:val="auto"/>
        </w:rPr>
      </w:pPr>
      <w:r>
        <w:rPr>
          <w:rFonts w:ascii="Arial" w:cs="Arial" w:eastAsia="Arial" w:hAnsi="Arial"/>
          <w:sz w:val="15"/>
          <w:szCs w:val="15"/>
          <w:color w:val="auto"/>
        </w:rPr>
        <w:t>large, complex global</w:t>
      </w:r>
    </w:p>
    <w:p>
      <w:pPr>
        <w:spacing w:after="0" w:line="226" w:lineRule="auto"/>
        <w:rPr>
          <w:sz w:val="20"/>
          <w:szCs w:val="20"/>
          <w:color w:val="auto"/>
        </w:rPr>
      </w:pPr>
      <w:r>
        <w:rPr>
          <w:rFonts w:ascii="Arial" w:cs="Arial" w:eastAsia="Arial" w:hAnsi="Arial"/>
          <w:sz w:val="15"/>
          <w:szCs w:val="15"/>
          <w:color w:val="auto"/>
        </w:rPr>
        <w:t>corporation. As CEO of</w:t>
      </w:r>
    </w:p>
    <w:p>
      <w:pPr>
        <w:spacing w:after="0" w:line="225" w:lineRule="auto"/>
        <w:rPr>
          <w:sz w:val="20"/>
          <w:szCs w:val="20"/>
          <w:color w:val="auto"/>
        </w:rPr>
      </w:pPr>
      <w:r>
        <w:rPr>
          <w:rFonts w:ascii="Arial" w:cs="Arial" w:eastAsia="Arial" w:hAnsi="Arial"/>
          <w:sz w:val="15"/>
          <w:szCs w:val="15"/>
          <w:color w:val="auto"/>
        </w:rPr>
        <w:t>Xerox, Ms. Burns</w:t>
      </w:r>
    </w:p>
    <w:p>
      <w:pPr>
        <w:spacing w:after="0" w:line="225" w:lineRule="auto"/>
        <w:rPr>
          <w:sz w:val="20"/>
          <w:szCs w:val="20"/>
          <w:color w:val="auto"/>
        </w:rPr>
      </w:pPr>
      <w:r>
        <w:rPr>
          <w:rFonts w:ascii="Arial" w:cs="Arial" w:eastAsia="Arial" w:hAnsi="Arial"/>
          <w:sz w:val="15"/>
          <w:szCs w:val="15"/>
          <w:color w:val="auto"/>
        </w:rPr>
        <w:t>successfully led its</w:t>
      </w:r>
    </w:p>
    <w:p>
      <w:pPr>
        <w:spacing w:after="0" w:line="226" w:lineRule="auto"/>
        <w:rPr>
          <w:sz w:val="20"/>
          <w:szCs w:val="20"/>
          <w:color w:val="auto"/>
        </w:rPr>
      </w:pPr>
      <w:r>
        <w:rPr>
          <w:rFonts w:ascii="Arial" w:cs="Arial" w:eastAsia="Arial" w:hAnsi="Arial"/>
          <w:sz w:val="15"/>
          <w:szCs w:val="15"/>
          <w:color w:val="auto"/>
        </w:rPr>
        <w:t>transformation from a</w:t>
      </w:r>
    </w:p>
    <w:p>
      <w:pPr>
        <w:spacing w:after="0" w:line="225" w:lineRule="auto"/>
        <w:rPr>
          <w:sz w:val="20"/>
          <w:szCs w:val="20"/>
          <w:color w:val="auto"/>
        </w:rPr>
      </w:pPr>
      <w:r>
        <w:rPr>
          <w:rFonts w:ascii="Arial" w:cs="Arial" w:eastAsia="Arial" w:hAnsi="Arial"/>
          <w:sz w:val="15"/>
          <w:szCs w:val="15"/>
          <w:color w:val="auto"/>
        </w:rPr>
        <w:t>printing business to a</w:t>
      </w:r>
    </w:p>
    <w:p>
      <w:pPr>
        <w:spacing w:after="0" w:line="226" w:lineRule="auto"/>
        <w:rPr>
          <w:sz w:val="20"/>
          <w:szCs w:val="20"/>
          <w:color w:val="auto"/>
        </w:rPr>
      </w:pPr>
      <w:r>
        <w:rPr>
          <w:rFonts w:ascii="Arial" w:cs="Arial" w:eastAsia="Arial" w:hAnsi="Arial"/>
          <w:sz w:val="15"/>
          <w:szCs w:val="15"/>
          <w:color w:val="auto"/>
        </w:rPr>
        <w:t>tech-forward document</w:t>
      </w:r>
    </w:p>
    <w:p>
      <w:pPr>
        <w:spacing w:after="0" w:line="225" w:lineRule="auto"/>
        <w:rPr>
          <w:sz w:val="20"/>
          <w:szCs w:val="20"/>
          <w:color w:val="auto"/>
        </w:rPr>
      </w:pPr>
      <w:r>
        <w:rPr>
          <w:rFonts w:ascii="Arial" w:cs="Arial" w:eastAsia="Arial" w:hAnsi="Arial"/>
          <w:sz w:val="15"/>
          <w:szCs w:val="15"/>
          <w:color w:val="auto"/>
        </w:rPr>
        <w:t>management</w:t>
      </w:r>
    </w:p>
    <w:p>
      <w:pPr>
        <w:spacing w:after="0" w:line="226" w:lineRule="auto"/>
        <w:rPr>
          <w:sz w:val="20"/>
          <w:szCs w:val="20"/>
          <w:color w:val="auto"/>
        </w:rPr>
      </w:pPr>
      <w:r>
        <w:rPr>
          <w:rFonts w:ascii="Arial" w:cs="Arial" w:eastAsia="Arial" w:hAnsi="Arial"/>
          <w:sz w:val="15"/>
          <w:szCs w:val="15"/>
          <w:color w:val="auto"/>
        </w:rPr>
        <w:t>business. This, along</w:t>
      </w:r>
    </w:p>
    <w:p>
      <w:pPr>
        <w:spacing w:after="0" w:line="225" w:lineRule="auto"/>
        <w:rPr>
          <w:sz w:val="20"/>
          <w:szCs w:val="20"/>
          <w:color w:val="auto"/>
        </w:rPr>
      </w:pPr>
      <w:r>
        <w:rPr>
          <w:rFonts w:ascii="Arial" w:cs="Arial" w:eastAsia="Arial" w:hAnsi="Arial"/>
          <w:sz w:val="15"/>
          <w:szCs w:val="15"/>
          <w:color w:val="auto"/>
        </w:rPr>
        <w:t>with her extensive</w:t>
      </w:r>
    </w:p>
    <w:p>
      <w:pPr>
        <w:spacing w:after="0" w:line="225" w:lineRule="auto"/>
        <w:rPr>
          <w:sz w:val="20"/>
          <w:szCs w:val="20"/>
          <w:color w:val="auto"/>
        </w:rPr>
      </w:pPr>
      <w:r>
        <w:rPr>
          <w:rFonts w:ascii="Arial" w:cs="Arial" w:eastAsia="Arial" w:hAnsi="Arial"/>
          <w:sz w:val="15"/>
          <w:szCs w:val="15"/>
          <w:color w:val="auto"/>
        </w:rPr>
        <w:t>engineering and</w:t>
      </w:r>
    </w:p>
    <w:p>
      <w:pPr>
        <w:spacing w:after="0" w:line="226" w:lineRule="auto"/>
        <w:rPr>
          <w:sz w:val="20"/>
          <w:szCs w:val="20"/>
          <w:color w:val="auto"/>
        </w:rPr>
      </w:pPr>
      <w:r>
        <w:rPr>
          <w:rFonts w:ascii="Arial" w:cs="Arial" w:eastAsia="Arial" w:hAnsi="Arial"/>
          <w:sz w:val="15"/>
          <w:szCs w:val="15"/>
          <w:color w:val="auto"/>
        </w:rPr>
        <w:t>operational</w:t>
      </w:r>
    </w:p>
    <w:p>
      <w:pPr>
        <w:spacing w:after="0" w:line="225" w:lineRule="auto"/>
        <w:rPr>
          <w:sz w:val="20"/>
          <w:szCs w:val="20"/>
          <w:color w:val="auto"/>
        </w:rPr>
      </w:pPr>
      <w:r>
        <w:rPr>
          <w:rFonts w:ascii="Arial" w:cs="Arial" w:eastAsia="Arial" w:hAnsi="Arial"/>
          <w:sz w:val="15"/>
          <w:szCs w:val="15"/>
          <w:color w:val="auto"/>
        </w:rPr>
        <w:t>background, provides</w:t>
      </w:r>
    </w:p>
    <w:p>
      <w:pPr>
        <w:spacing w:after="0" w:line="226" w:lineRule="auto"/>
        <w:rPr>
          <w:sz w:val="20"/>
          <w:szCs w:val="20"/>
          <w:color w:val="auto"/>
        </w:rPr>
      </w:pPr>
      <w:r>
        <w:rPr>
          <w:rFonts w:ascii="Arial" w:cs="Arial" w:eastAsia="Arial" w:hAnsi="Arial"/>
          <w:sz w:val="15"/>
          <w:szCs w:val="15"/>
          <w:color w:val="auto"/>
        </w:rPr>
        <w:t>a critical perspective to</w:t>
      </w:r>
    </w:p>
    <w:p>
      <w:pPr>
        <w:spacing w:after="0" w:line="225" w:lineRule="auto"/>
        <w:rPr>
          <w:sz w:val="20"/>
          <w:szCs w:val="20"/>
          <w:color w:val="auto"/>
        </w:rPr>
      </w:pPr>
      <w:r>
        <w:rPr>
          <w:rFonts w:ascii="Arial" w:cs="Arial" w:eastAsia="Arial" w:hAnsi="Arial"/>
          <w:sz w:val="15"/>
          <w:szCs w:val="15"/>
          <w:color w:val="auto"/>
        </w:rPr>
        <w:t>the Board when</w:t>
      </w:r>
    </w:p>
    <w:p>
      <w:pPr>
        <w:spacing w:after="0" w:line="225" w:lineRule="auto"/>
        <w:rPr>
          <w:sz w:val="20"/>
          <w:szCs w:val="20"/>
          <w:color w:val="auto"/>
        </w:rPr>
      </w:pPr>
      <w:r>
        <w:rPr>
          <w:rFonts w:ascii="Arial" w:cs="Arial" w:eastAsia="Arial" w:hAnsi="Arial"/>
          <w:sz w:val="15"/>
          <w:szCs w:val="15"/>
          <w:color w:val="auto"/>
        </w:rPr>
        <w:t>developing its long-</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term strategy.</w:t>
      </w:r>
    </w:p>
    <w:p>
      <w:pPr>
        <w:spacing w:after="0" w:line="14" w:lineRule="exact"/>
        <w:rPr>
          <w:sz w:val="20"/>
          <w:szCs w:val="20"/>
          <w:color w:val="auto"/>
        </w:rPr>
      </w:pPr>
    </w:p>
    <w:p>
      <w:pPr>
        <w:ind w:right="7879"/>
        <w:spacing w:after="0" w:line="236" w:lineRule="auto"/>
        <w:rPr>
          <w:sz w:val="20"/>
          <w:szCs w:val="20"/>
          <w:color w:val="auto"/>
        </w:rPr>
      </w:pPr>
      <w:r>
        <w:rPr>
          <w:rFonts w:ascii="Arial" w:cs="Arial" w:eastAsia="Arial" w:hAnsi="Arial"/>
          <w:sz w:val="15"/>
          <w:szCs w:val="15"/>
          <w:b w:val="1"/>
          <w:bCs w:val="1"/>
          <w:color w:val="auto"/>
        </w:rPr>
        <w:t xml:space="preserve">Gregory J. Goff </w:t>
      </w:r>
      <w:r>
        <w:rPr>
          <w:rFonts w:ascii="Arial" w:cs="Arial" w:eastAsia="Arial" w:hAnsi="Arial"/>
          <w:sz w:val="15"/>
          <w:szCs w:val="15"/>
          <w:color w:val="auto"/>
        </w:rPr>
        <w:t>Mr. Goff brings significant industry experience in the areas of exploration and production, marketing and logistics, refining, trading, and lower carbon solutions, including renewable fuels, from his leadership roles at ConocoPhillips and Andeavor. This deep understanding of operational processes at scale helps the Board refine its long-term strategies while providing effective oversight of management.</w:t>
      </w:r>
    </w:p>
    <w:p>
      <w:pPr>
        <w:spacing w:after="0"/>
        <w:rPr>
          <w:sz w:val="20"/>
          <w:szCs w:val="20"/>
          <w:color w:val="auto"/>
        </w:rPr>
      </w:pPr>
      <w:r>
        <w:rPr>
          <w:rFonts w:ascii="Arial" w:cs="Arial" w:eastAsia="Arial" w:hAnsi="Arial"/>
          <w:sz w:val="15"/>
          <w:szCs w:val="15"/>
          <w:color w:val="auto"/>
        </w:rPr>
        <w:t>Mr. Goff’s extensive</w:t>
      </w:r>
    </w:p>
    <w:p>
      <w:pPr>
        <w:spacing w:after="0" w:line="225" w:lineRule="auto"/>
        <w:rPr>
          <w:sz w:val="20"/>
          <w:szCs w:val="20"/>
          <w:color w:val="auto"/>
        </w:rPr>
      </w:pPr>
      <w:r>
        <w:rPr>
          <w:rFonts w:ascii="Arial" w:cs="Arial" w:eastAsia="Arial" w:hAnsi="Arial"/>
          <w:sz w:val="15"/>
          <w:szCs w:val="15"/>
          <w:color w:val="auto"/>
        </w:rPr>
        <w:t>transaction</w:t>
      </w:r>
    </w:p>
    <w:p>
      <w:pPr>
        <w:spacing w:after="0" w:line="225" w:lineRule="auto"/>
        <w:rPr>
          <w:sz w:val="20"/>
          <w:szCs w:val="20"/>
          <w:color w:val="auto"/>
        </w:rPr>
      </w:pPr>
      <w:r>
        <w:rPr>
          <w:rFonts w:ascii="Arial" w:cs="Arial" w:eastAsia="Arial" w:hAnsi="Arial"/>
          <w:sz w:val="15"/>
          <w:szCs w:val="15"/>
          <w:color w:val="auto"/>
        </w:rPr>
        <w:t>experience, in addition</w:t>
      </w:r>
    </w:p>
    <w:p>
      <w:pPr>
        <w:spacing w:after="0" w:line="226" w:lineRule="auto"/>
        <w:rPr>
          <w:sz w:val="20"/>
          <w:szCs w:val="20"/>
          <w:color w:val="auto"/>
        </w:rPr>
      </w:pPr>
      <w:r>
        <w:rPr>
          <w:rFonts w:ascii="Arial" w:cs="Arial" w:eastAsia="Arial" w:hAnsi="Arial"/>
          <w:sz w:val="15"/>
          <w:szCs w:val="15"/>
          <w:color w:val="auto"/>
        </w:rPr>
        <w:t>to his unique</w:t>
      </w:r>
    </w:p>
    <w:p>
      <w:pPr>
        <w:spacing w:after="0" w:line="225" w:lineRule="auto"/>
        <w:rPr>
          <w:sz w:val="20"/>
          <w:szCs w:val="20"/>
          <w:color w:val="auto"/>
        </w:rPr>
      </w:pPr>
      <w:r>
        <w:rPr>
          <w:rFonts w:ascii="Arial" w:cs="Arial" w:eastAsia="Arial" w:hAnsi="Arial"/>
          <w:sz w:val="15"/>
          <w:szCs w:val="15"/>
          <w:color w:val="auto"/>
        </w:rPr>
        <w:t>understanding of the</w:t>
      </w:r>
    </w:p>
    <w:p>
      <w:pPr>
        <w:spacing w:after="0" w:line="226" w:lineRule="auto"/>
        <w:rPr>
          <w:sz w:val="20"/>
          <w:szCs w:val="20"/>
          <w:color w:val="auto"/>
        </w:rPr>
      </w:pPr>
      <w:r>
        <w:rPr>
          <w:rFonts w:ascii="Arial" w:cs="Arial" w:eastAsia="Arial" w:hAnsi="Arial"/>
          <w:sz w:val="15"/>
          <w:szCs w:val="15"/>
          <w:color w:val="auto"/>
        </w:rPr>
        <w:t>regulatory risks related</w:t>
      </w:r>
    </w:p>
    <w:p>
      <w:pPr>
        <w:spacing w:after="0" w:line="225" w:lineRule="auto"/>
        <w:rPr>
          <w:sz w:val="20"/>
          <w:szCs w:val="20"/>
          <w:color w:val="auto"/>
        </w:rPr>
      </w:pPr>
      <w:r>
        <w:rPr>
          <w:rFonts w:ascii="Arial" w:cs="Arial" w:eastAsia="Arial" w:hAnsi="Arial"/>
          <w:sz w:val="15"/>
          <w:szCs w:val="15"/>
          <w:color w:val="auto"/>
        </w:rPr>
        <w:t>to the industry,</w:t>
      </w:r>
    </w:p>
    <w:p>
      <w:pPr>
        <w:spacing w:after="0" w:line="225" w:lineRule="auto"/>
        <w:rPr>
          <w:sz w:val="20"/>
          <w:szCs w:val="20"/>
          <w:color w:val="auto"/>
        </w:rPr>
      </w:pPr>
      <w:r>
        <w:rPr>
          <w:rFonts w:ascii="Arial" w:cs="Arial" w:eastAsia="Arial" w:hAnsi="Arial"/>
          <w:sz w:val="15"/>
          <w:szCs w:val="15"/>
          <w:color w:val="auto"/>
        </w:rPr>
        <w:t>provides a vital</w:t>
      </w:r>
    </w:p>
    <w:p>
      <w:pPr>
        <w:spacing w:after="0" w:line="226" w:lineRule="auto"/>
        <w:rPr>
          <w:sz w:val="20"/>
          <w:szCs w:val="20"/>
          <w:color w:val="auto"/>
        </w:rPr>
      </w:pPr>
      <w:r>
        <w:rPr>
          <w:rFonts w:ascii="Arial" w:cs="Arial" w:eastAsia="Arial" w:hAnsi="Arial"/>
          <w:sz w:val="15"/>
          <w:szCs w:val="15"/>
          <w:color w:val="auto"/>
        </w:rPr>
        <w:t>perspective to the</w:t>
      </w:r>
    </w:p>
    <w:p>
      <w:pPr>
        <w:spacing w:after="0"/>
        <w:rPr>
          <w:sz w:val="20"/>
          <w:szCs w:val="20"/>
          <w:color w:val="auto"/>
        </w:rPr>
      </w:pPr>
      <w:r>
        <w:rPr>
          <w:rFonts w:ascii="Arial" w:cs="Arial" w:eastAsia="Arial" w:hAnsi="Arial"/>
          <w:sz w:val="15"/>
          <w:szCs w:val="15"/>
          <w:color w:val="auto"/>
        </w:rPr>
        <w:t>ExxonMobil Board.</w:t>
      </w:r>
    </w:p>
    <w:p>
      <w:pPr>
        <w:spacing w:after="0" w:line="143" w:lineRule="exact"/>
        <w:rPr>
          <w:sz w:val="20"/>
          <w:szCs w:val="20"/>
          <w:color w:val="auto"/>
        </w:rPr>
      </w:pPr>
    </w:p>
    <w:p>
      <w:pPr>
        <w:ind w:left="20"/>
        <w:spacing w:after="0"/>
        <w:tabs>
          <w:tab w:leader="none" w:pos="726" w:val="left"/>
        </w:tabs>
        <w:rPr>
          <w:sz w:val="20"/>
          <w:szCs w:val="20"/>
          <w:color w:val="auto"/>
        </w:rPr>
      </w:pPr>
      <w:r>
        <w:rPr>
          <w:rFonts w:ascii="Arial" w:cs="Arial" w:eastAsia="Arial" w:hAnsi="Arial"/>
          <w:sz w:val="18"/>
          <w:szCs w:val="18"/>
          <w:color w:val="auto"/>
        </w:rPr>
        <w:t>24</w:t>
      </w:r>
      <w:r>
        <w:rPr>
          <w:sz w:val="20"/>
          <w:szCs w:val="20"/>
          <w:color w:val="auto"/>
        </w:rPr>
        <w:tab/>
      </w:r>
      <w:r>
        <w:rPr>
          <w:sz w:val="1"/>
          <w:szCs w:val="1"/>
          <w:color w:val="auto"/>
        </w:rPr>
        <w:drawing>
          <wp:inline distT="0" distB="0" distL="0" distR="0">
            <wp:extent cx="737235" cy="14605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2023 Proxy Statement</w:t>
      </w:r>
    </w:p>
    <w:p>
      <w:pPr>
        <w:sectPr>
          <w:pgSz w:w="11900" w:h="16838" w:orient="portrait"/>
          <w:cols w:equalWidth="0" w:num="1">
            <w:col w:w="9379"/>
          </w:cols>
          <w:pgMar w:left="1080" w:top="147"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208280</wp:posOffset>
            </wp:positionV>
            <wp:extent cx="822960" cy="12001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22960" cy="120015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208280</wp:posOffset>
            </wp:positionV>
            <wp:extent cx="3360420" cy="12001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6042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Director &amp; key</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62230</wp:posOffset>
            </wp:positionV>
            <wp:extent cx="5923280" cy="7912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923280" cy="7912100"/>
                    </a:xfrm>
                    <a:prstGeom prst="rect">
                      <a:avLst/>
                    </a:prstGeom>
                    <a:noFill/>
                  </pic:spPr>
                </pic:pic>
              </a:graphicData>
            </a:graphic>
          </wp:anchor>
        </w:drawing>
      </w:r>
    </w:p>
    <w:p>
      <w:pPr>
        <w:spacing w:after="0" w:line="85"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John D. Harris II</w:t>
      </w:r>
    </w:p>
    <w:p>
      <w:pPr>
        <w:ind w:left="760"/>
        <w:spacing w:after="0" w:line="233" w:lineRule="auto"/>
        <w:rPr>
          <w:sz w:val="20"/>
          <w:szCs w:val="20"/>
          <w:color w:val="auto"/>
        </w:rPr>
      </w:pPr>
      <w:r>
        <w:rPr>
          <w:rFonts w:ascii="Arial" w:cs="Arial" w:eastAsia="Arial" w:hAnsi="Arial"/>
          <w:sz w:val="15"/>
          <w:szCs w:val="15"/>
          <w:color w:val="auto"/>
        </w:rPr>
        <w:t>Mr. Harris brings to the</w:t>
      </w:r>
    </w:p>
    <w:p>
      <w:pPr>
        <w:ind w:left="760"/>
        <w:spacing w:after="0" w:line="225" w:lineRule="auto"/>
        <w:rPr>
          <w:sz w:val="20"/>
          <w:szCs w:val="20"/>
          <w:color w:val="auto"/>
        </w:rPr>
      </w:pPr>
      <w:r>
        <w:rPr>
          <w:rFonts w:ascii="Arial" w:cs="Arial" w:eastAsia="Arial" w:hAnsi="Arial"/>
          <w:sz w:val="15"/>
          <w:szCs w:val="15"/>
          <w:color w:val="auto"/>
        </w:rPr>
        <w:t>Board a global</w:t>
      </w:r>
    </w:p>
    <w:p>
      <w:pPr>
        <w:ind w:left="760"/>
        <w:spacing w:after="0" w:line="225" w:lineRule="auto"/>
        <w:rPr>
          <w:sz w:val="20"/>
          <w:szCs w:val="20"/>
          <w:color w:val="auto"/>
        </w:rPr>
      </w:pPr>
      <w:r>
        <w:rPr>
          <w:rFonts w:ascii="Arial" w:cs="Arial" w:eastAsia="Arial" w:hAnsi="Arial"/>
          <w:sz w:val="15"/>
          <w:szCs w:val="15"/>
          <w:color w:val="auto"/>
        </w:rPr>
        <w:t>perspective, as well as</w:t>
      </w:r>
    </w:p>
    <w:p>
      <w:pPr>
        <w:ind w:left="760"/>
        <w:spacing w:after="0" w:line="226" w:lineRule="auto"/>
        <w:rPr>
          <w:sz w:val="20"/>
          <w:szCs w:val="20"/>
          <w:color w:val="auto"/>
        </w:rPr>
      </w:pPr>
      <w:r>
        <w:rPr>
          <w:rFonts w:ascii="Arial" w:cs="Arial" w:eastAsia="Arial" w:hAnsi="Arial"/>
          <w:sz w:val="15"/>
          <w:szCs w:val="15"/>
          <w:color w:val="auto"/>
        </w:rPr>
        <w:t>strategic, functional,</w:t>
      </w:r>
    </w:p>
    <w:p>
      <w:pPr>
        <w:ind w:left="760"/>
        <w:spacing w:after="0" w:line="225" w:lineRule="auto"/>
        <w:rPr>
          <w:sz w:val="20"/>
          <w:szCs w:val="20"/>
          <w:color w:val="auto"/>
        </w:rPr>
      </w:pPr>
      <w:r>
        <w:rPr>
          <w:rFonts w:ascii="Arial" w:cs="Arial" w:eastAsia="Arial" w:hAnsi="Arial"/>
          <w:sz w:val="15"/>
          <w:szCs w:val="15"/>
          <w:color w:val="auto"/>
        </w:rPr>
        <w:t>and operational skills</w:t>
      </w:r>
    </w:p>
    <w:p>
      <w:pPr>
        <w:ind w:left="760"/>
        <w:spacing w:after="0" w:line="226" w:lineRule="auto"/>
        <w:rPr>
          <w:sz w:val="20"/>
          <w:szCs w:val="20"/>
          <w:color w:val="auto"/>
        </w:rPr>
      </w:pPr>
      <w:r>
        <w:rPr>
          <w:rFonts w:ascii="Arial" w:cs="Arial" w:eastAsia="Arial" w:hAnsi="Arial"/>
          <w:sz w:val="15"/>
          <w:szCs w:val="15"/>
          <w:color w:val="auto"/>
        </w:rPr>
        <w:t>with a focus on</w:t>
      </w:r>
    </w:p>
    <w:p>
      <w:pPr>
        <w:ind w:left="760"/>
        <w:spacing w:after="0" w:line="225" w:lineRule="auto"/>
        <w:rPr>
          <w:sz w:val="20"/>
          <w:szCs w:val="20"/>
          <w:color w:val="auto"/>
        </w:rPr>
      </w:pPr>
      <w:r>
        <w:rPr>
          <w:rFonts w:ascii="Arial" w:cs="Arial" w:eastAsia="Arial" w:hAnsi="Arial"/>
          <w:sz w:val="15"/>
          <w:szCs w:val="15"/>
          <w:color w:val="auto"/>
        </w:rPr>
        <w:t>customer success. He</w:t>
      </w:r>
    </w:p>
    <w:p>
      <w:pPr>
        <w:ind w:left="760"/>
        <w:spacing w:after="0" w:line="225" w:lineRule="auto"/>
        <w:rPr>
          <w:sz w:val="20"/>
          <w:szCs w:val="20"/>
          <w:color w:val="auto"/>
        </w:rPr>
      </w:pPr>
      <w:r>
        <w:rPr>
          <w:rFonts w:ascii="Arial" w:cs="Arial" w:eastAsia="Arial" w:hAnsi="Arial"/>
          <w:sz w:val="15"/>
          <w:szCs w:val="15"/>
          <w:color w:val="auto"/>
        </w:rPr>
        <w:t>is a committed</w:t>
      </w:r>
    </w:p>
    <w:p>
      <w:pPr>
        <w:ind w:left="760"/>
        <w:spacing w:after="0" w:line="226" w:lineRule="auto"/>
        <w:rPr>
          <w:sz w:val="20"/>
          <w:szCs w:val="20"/>
          <w:color w:val="auto"/>
        </w:rPr>
      </w:pPr>
      <w:r>
        <w:rPr>
          <w:rFonts w:ascii="Arial" w:cs="Arial" w:eastAsia="Arial" w:hAnsi="Arial"/>
          <w:sz w:val="15"/>
          <w:szCs w:val="15"/>
          <w:color w:val="auto"/>
        </w:rPr>
        <w:t>innovator and leader</w:t>
      </w:r>
    </w:p>
    <w:p>
      <w:pPr>
        <w:ind w:left="760"/>
        <w:spacing w:after="0" w:line="225" w:lineRule="auto"/>
        <w:rPr>
          <w:sz w:val="20"/>
          <w:szCs w:val="20"/>
          <w:color w:val="auto"/>
        </w:rPr>
      </w:pPr>
      <w:r>
        <w:rPr>
          <w:rFonts w:ascii="Arial" w:cs="Arial" w:eastAsia="Arial" w:hAnsi="Arial"/>
          <w:sz w:val="15"/>
          <w:szCs w:val="15"/>
          <w:color w:val="auto"/>
        </w:rPr>
        <w:t>with a deep</w:t>
      </w:r>
    </w:p>
    <w:p>
      <w:pPr>
        <w:ind w:left="760"/>
        <w:spacing w:after="0" w:line="226" w:lineRule="auto"/>
        <w:rPr>
          <w:sz w:val="20"/>
          <w:szCs w:val="20"/>
          <w:color w:val="auto"/>
        </w:rPr>
      </w:pPr>
      <w:r>
        <w:rPr>
          <w:rFonts w:ascii="Arial" w:cs="Arial" w:eastAsia="Arial" w:hAnsi="Arial"/>
          <w:sz w:val="15"/>
          <w:szCs w:val="15"/>
          <w:color w:val="auto"/>
        </w:rPr>
        <w:t>understanding of</w:t>
      </w:r>
    </w:p>
    <w:p>
      <w:pPr>
        <w:ind w:left="760"/>
        <w:spacing w:after="0" w:line="225" w:lineRule="auto"/>
        <w:rPr>
          <w:sz w:val="20"/>
          <w:szCs w:val="20"/>
          <w:color w:val="auto"/>
        </w:rPr>
      </w:pPr>
      <w:r>
        <w:rPr>
          <w:rFonts w:ascii="Arial" w:cs="Arial" w:eastAsia="Arial" w:hAnsi="Arial"/>
          <w:sz w:val="15"/>
          <w:szCs w:val="15"/>
          <w:color w:val="auto"/>
        </w:rPr>
        <w:t>business</w:t>
      </w:r>
    </w:p>
    <w:p>
      <w:pPr>
        <w:ind w:left="760"/>
        <w:spacing w:after="0" w:line="226" w:lineRule="auto"/>
        <w:rPr>
          <w:sz w:val="20"/>
          <w:szCs w:val="20"/>
          <w:color w:val="auto"/>
        </w:rPr>
      </w:pPr>
      <w:r>
        <w:rPr>
          <w:rFonts w:ascii="Arial" w:cs="Arial" w:eastAsia="Arial" w:hAnsi="Arial"/>
          <w:sz w:val="15"/>
          <w:szCs w:val="15"/>
          <w:color w:val="auto"/>
        </w:rPr>
        <w:t>transformation. Mr.</w:t>
      </w:r>
    </w:p>
    <w:p>
      <w:pPr>
        <w:ind w:left="760"/>
        <w:spacing w:after="0" w:line="225" w:lineRule="auto"/>
        <w:rPr>
          <w:sz w:val="20"/>
          <w:szCs w:val="20"/>
          <w:color w:val="auto"/>
        </w:rPr>
      </w:pPr>
      <w:r>
        <w:rPr>
          <w:rFonts w:ascii="Arial" w:cs="Arial" w:eastAsia="Arial" w:hAnsi="Arial"/>
          <w:sz w:val="15"/>
          <w:szCs w:val="15"/>
          <w:color w:val="auto"/>
        </w:rPr>
        <w:t>Harris’ CEO and</w:t>
      </w:r>
    </w:p>
    <w:p>
      <w:pPr>
        <w:ind w:left="760"/>
        <w:spacing w:after="0" w:line="225" w:lineRule="auto"/>
        <w:rPr>
          <w:sz w:val="20"/>
          <w:szCs w:val="20"/>
          <w:color w:val="auto"/>
        </w:rPr>
      </w:pPr>
      <w:r>
        <w:rPr>
          <w:rFonts w:ascii="Arial" w:cs="Arial" w:eastAsia="Arial" w:hAnsi="Arial"/>
          <w:sz w:val="15"/>
          <w:szCs w:val="15"/>
          <w:color w:val="auto"/>
        </w:rPr>
        <w:t>functional experience</w:t>
      </w:r>
    </w:p>
    <w:p>
      <w:pPr>
        <w:ind w:left="760"/>
        <w:spacing w:after="0" w:line="226" w:lineRule="auto"/>
        <w:rPr>
          <w:sz w:val="20"/>
          <w:szCs w:val="20"/>
          <w:color w:val="auto"/>
        </w:rPr>
      </w:pPr>
      <w:r>
        <w:rPr>
          <w:rFonts w:ascii="Arial" w:cs="Arial" w:eastAsia="Arial" w:hAnsi="Arial"/>
          <w:sz w:val="15"/>
          <w:szCs w:val="15"/>
          <w:color w:val="auto"/>
        </w:rPr>
        <w:t>includes competencies</w:t>
      </w:r>
    </w:p>
    <w:p>
      <w:pPr>
        <w:ind w:left="760"/>
        <w:spacing w:after="0" w:line="225" w:lineRule="auto"/>
        <w:rPr>
          <w:sz w:val="20"/>
          <w:szCs w:val="20"/>
          <w:color w:val="auto"/>
        </w:rPr>
      </w:pPr>
      <w:r>
        <w:rPr>
          <w:rFonts w:ascii="Arial" w:cs="Arial" w:eastAsia="Arial" w:hAnsi="Arial"/>
          <w:sz w:val="15"/>
          <w:szCs w:val="15"/>
          <w:color w:val="auto"/>
        </w:rPr>
        <w:t>in talent management,</w:t>
      </w:r>
    </w:p>
    <w:p>
      <w:pPr>
        <w:ind w:left="760"/>
        <w:spacing w:after="0" w:line="226" w:lineRule="auto"/>
        <w:rPr>
          <w:sz w:val="20"/>
          <w:szCs w:val="20"/>
          <w:color w:val="auto"/>
        </w:rPr>
      </w:pPr>
      <w:r>
        <w:rPr>
          <w:rFonts w:ascii="Arial" w:cs="Arial" w:eastAsia="Arial" w:hAnsi="Arial"/>
          <w:sz w:val="15"/>
          <w:szCs w:val="15"/>
          <w:color w:val="auto"/>
        </w:rPr>
        <w:t>culture development,</w:t>
      </w:r>
    </w:p>
    <w:p>
      <w:pPr>
        <w:ind w:left="760"/>
        <w:spacing w:after="0"/>
        <w:rPr>
          <w:sz w:val="20"/>
          <w:szCs w:val="20"/>
          <w:color w:val="auto"/>
        </w:rPr>
      </w:pPr>
      <w:r>
        <w:rPr>
          <w:rFonts w:ascii="Arial" w:cs="Arial" w:eastAsia="Arial" w:hAnsi="Arial"/>
          <w:sz w:val="15"/>
          <w:szCs w:val="15"/>
          <w:color w:val="auto"/>
        </w:rPr>
        <w:t>and strategic planning.</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Kaisa H. Hietala</w:t>
      </w:r>
    </w:p>
    <w:p>
      <w:pPr>
        <w:ind w:left="760"/>
        <w:spacing w:after="0" w:line="233" w:lineRule="auto"/>
        <w:rPr>
          <w:sz w:val="20"/>
          <w:szCs w:val="20"/>
          <w:color w:val="auto"/>
        </w:rPr>
      </w:pPr>
      <w:r>
        <w:rPr>
          <w:rFonts w:ascii="Arial" w:cs="Arial" w:eastAsia="Arial" w:hAnsi="Arial"/>
          <w:sz w:val="15"/>
          <w:szCs w:val="15"/>
          <w:color w:val="auto"/>
        </w:rPr>
        <w:t>Ms. Hietala brings a</w:t>
      </w:r>
    </w:p>
    <w:p>
      <w:pPr>
        <w:ind w:left="760"/>
        <w:spacing w:after="0" w:line="225" w:lineRule="auto"/>
        <w:rPr>
          <w:sz w:val="20"/>
          <w:szCs w:val="20"/>
          <w:color w:val="auto"/>
        </w:rPr>
      </w:pPr>
      <w:r>
        <w:rPr>
          <w:rFonts w:ascii="Arial" w:cs="Arial" w:eastAsia="Arial" w:hAnsi="Arial"/>
          <w:sz w:val="15"/>
          <w:szCs w:val="15"/>
          <w:color w:val="auto"/>
        </w:rPr>
        <w:t>breadth of industry</w:t>
      </w:r>
    </w:p>
    <w:p>
      <w:pPr>
        <w:ind w:left="760"/>
        <w:spacing w:after="0" w:line="225" w:lineRule="auto"/>
        <w:rPr>
          <w:sz w:val="20"/>
          <w:szCs w:val="20"/>
          <w:color w:val="auto"/>
        </w:rPr>
      </w:pPr>
      <w:r>
        <w:rPr>
          <w:rFonts w:ascii="Arial" w:cs="Arial" w:eastAsia="Arial" w:hAnsi="Arial"/>
          <w:sz w:val="15"/>
          <w:szCs w:val="15"/>
          <w:color w:val="auto"/>
        </w:rPr>
        <w:t>experience, having led</w:t>
      </w:r>
    </w:p>
    <w:p>
      <w:pPr>
        <w:ind w:left="760"/>
        <w:spacing w:after="0" w:line="226" w:lineRule="auto"/>
        <w:rPr>
          <w:sz w:val="20"/>
          <w:szCs w:val="20"/>
          <w:color w:val="auto"/>
        </w:rPr>
      </w:pPr>
      <w:r>
        <w:rPr>
          <w:rFonts w:ascii="Arial" w:cs="Arial" w:eastAsia="Arial" w:hAnsi="Arial"/>
          <w:sz w:val="15"/>
          <w:szCs w:val="15"/>
          <w:color w:val="auto"/>
        </w:rPr>
        <w:t>the transformation of</w:t>
      </w:r>
    </w:p>
    <w:p>
      <w:pPr>
        <w:ind w:left="760"/>
        <w:spacing w:after="0" w:line="225" w:lineRule="auto"/>
        <w:rPr>
          <w:sz w:val="20"/>
          <w:szCs w:val="20"/>
          <w:color w:val="auto"/>
        </w:rPr>
      </w:pPr>
      <w:r>
        <w:rPr>
          <w:rFonts w:ascii="Arial" w:cs="Arial" w:eastAsia="Arial" w:hAnsi="Arial"/>
          <w:sz w:val="15"/>
          <w:szCs w:val="15"/>
          <w:color w:val="auto"/>
        </w:rPr>
        <w:t>an oil and gas</w:t>
      </w:r>
    </w:p>
    <w:p>
      <w:pPr>
        <w:ind w:left="760"/>
        <w:spacing w:after="0" w:line="226" w:lineRule="auto"/>
        <w:rPr>
          <w:sz w:val="20"/>
          <w:szCs w:val="20"/>
          <w:color w:val="auto"/>
        </w:rPr>
      </w:pPr>
      <w:r>
        <w:rPr>
          <w:rFonts w:ascii="Arial" w:cs="Arial" w:eastAsia="Arial" w:hAnsi="Arial"/>
          <w:sz w:val="15"/>
          <w:szCs w:val="15"/>
          <w:color w:val="auto"/>
        </w:rPr>
        <w:t>company into one of</w:t>
      </w:r>
    </w:p>
    <w:p>
      <w:pPr>
        <w:ind w:left="760"/>
        <w:spacing w:after="0" w:line="225" w:lineRule="auto"/>
        <w:rPr>
          <w:sz w:val="20"/>
          <w:szCs w:val="20"/>
          <w:color w:val="auto"/>
        </w:rPr>
      </w:pPr>
      <w:r>
        <w:rPr>
          <w:rFonts w:ascii="Arial" w:cs="Arial" w:eastAsia="Arial" w:hAnsi="Arial"/>
          <w:sz w:val="15"/>
          <w:szCs w:val="15"/>
          <w:color w:val="auto"/>
        </w:rPr>
        <w:t>the world’s largest</w:t>
      </w:r>
    </w:p>
    <w:p>
      <w:pPr>
        <w:ind w:left="760"/>
        <w:spacing w:after="0" w:line="225" w:lineRule="auto"/>
        <w:rPr>
          <w:sz w:val="20"/>
          <w:szCs w:val="20"/>
          <w:color w:val="auto"/>
        </w:rPr>
      </w:pPr>
      <w:r>
        <w:rPr>
          <w:rFonts w:ascii="Arial" w:cs="Arial" w:eastAsia="Arial" w:hAnsi="Arial"/>
          <w:sz w:val="15"/>
          <w:szCs w:val="15"/>
          <w:color w:val="auto"/>
        </w:rPr>
        <w:t>producers of</w:t>
      </w:r>
    </w:p>
    <w:p>
      <w:pPr>
        <w:ind w:left="760"/>
        <w:spacing w:after="0" w:line="226" w:lineRule="auto"/>
        <w:rPr>
          <w:sz w:val="20"/>
          <w:szCs w:val="20"/>
          <w:color w:val="auto"/>
        </w:rPr>
      </w:pPr>
      <w:r>
        <w:rPr>
          <w:rFonts w:ascii="Arial" w:cs="Arial" w:eastAsia="Arial" w:hAnsi="Arial"/>
          <w:sz w:val="15"/>
          <w:szCs w:val="15"/>
          <w:color w:val="auto"/>
        </w:rPr>
        <w:t>renewable diesel. In</w:t>
      </w:r>
    </w:p>
    <w:p>
      <w:pPr>
        <w:ind w:left="760"/>
        <w:spacing w:after="0" w:line="225" w:lineRule="auto"/>
        <w:rPr>
          <w:sz w:val="20"/>
          <w:szCs w:val="20"/>
          <w:color w:val="auto"/>
        </w:rPr>
      </w:pPr>
      <w:r>
        <w:rPr>
          <w:rFonts w:ascii="Arial" w:cs="Arial" w:eastAsia="Arial" w:hAnsi="Arial"/>
          <w:sz w:val="15"/>
          <w:szCs w:val="15"/>
          <w:color w:val="auto"/>
        </w:rPr>
        <w:t>addition to her vast</w:t>
      </w:r>
    </w:p>
    <w:p>
      <w:pPr>
        <w:ind w:left="760"/>
        <w:spacing w:after="0" w:line="226" w:lineRule="auto"/>
        <w:rPr>
          <w:sz w:val="20"/>
          <w:szCs w:val="20"/>
          <w:color w:val="auto"/>
        </w:rPr>
      </w:pPr>
      <w:r>
        <w:rPr>
          <w:rFonts w:ascii="Arial" w:cs="Arial" w:eastAsia="Arial" w:hAnsi="Arial"/>
          <w:sz w:val="15"/>
          <w:szCs w:val="15"/>
          <w:color w:val="auto"/>
        </w:rPr>
        <w:t>industry experience,</w:t>
      </w:r>
    </w:p>
    <w:p>
      <w:pPr>
        <w:ind w:left="760"/>
        <w:spacing w:after="0" w:line="225" w:lineRule="auto"/>
        <w:rPr>
          <w:sz w:val="20"/>
          <w:szCs w:val="20"/>
          <w:color w:val="auto"/>
        </w:rPr>
      </w:pPr>
      <w:r>
        <w:rPr>
          <w:rFonts w:ascii="Arial" w:cs="Arial" w:eastAsia="Arial" w:hAnsi="Arial"/>
          <w:sz w:val="15"/>
          <w:szCs w:val="15"/>
          <w:color w:val="auto"/>
        </w:rPr>
        <w:t>Ms. Hietala’s academic</w:t>
      </w:r>
    </w:p>
    <w:p>
      <w:pPr>
        <w:ind w:left="760"/>
        <w:spacing w:after="0" w:line="226" w:lineRule="auto"/>
        <w:rPr>
          <w:sz w:val="20"/>
          <w:szCs w:val="20"/>
          <w:color w:val="auto"/>
        </w:rPr>
      </w:pPr>
      <w:r>
        <w:rPr>
          <w:rFonts w:ascii="Arial" w:cs="Arial" w:eastAsia="Arial" w:hAnsi="Arial"/>
          <w:sz w:val="15"/>
          <w:szCs w:val="15"/>
          <w:color w:val="auto"/>
        </w:rPr>
        <w:t>background in</w:t>
      </w:r>
    </w:p>
    <w:p>
      <w:pPr>
        <w:ind w:left="760"/>
        <w:spacing w:after="0" w:line="225" w:lineRule="auto"/>
        <w:rPr>
          <w:sz w:val="20"/>
          <w:szCs w:val="20"/>
          <w:color w:val="auto"/>
        </w:rPr>
      </w:pPr>
      <w:r>
        <w:rPr>
          <w:rFonts w:ascii="Arial" w:cs="Arial" w:eastAsia="Arial" w:hAnsi="Arial"/>
          <w:sz w:val="15"/>
          <w:szCs w:val="15"/>
          <w:color w:val="auto"/>
        </w:rPr>
        <w:t>geophysics helps the</w:t>
      </w:r>
    </w:p>
    <w:p>
      <w:pPr>
        <w:ind w:left="760"/>
        <w:spacing w:after="0" w:line="225" w:lineRule="auto"/>
        <w:rPr>
          <w:sz w:val="20"/>
          <w:szCs w:val="20"/>
          <w:color w:val="auto"/>
        </w:rPr>
      </w:pPr>
      <w:r>
        <w:rPr>
          <w:rFonts w:ascii="Arial" w:cs="Arial" w:eastAsia="Arial" w:hAnsi="Arial"/>
          <w:sz w:val="15"/>
          <w:szCs w:val="15"/>
          <w:color w:val="auto"/>
        </w:rPr>
        <w:t>Board to better</w:t>
      </w:r>
    </w:p>
    <w:p>
      <w:pPr>
        <w:ind w:left="760"/>
        <w:spacing w:after="0" w:line="226" w:lineRule="auto"/>
        <w:rPr>
          <w:sz w:val="20"/>
          <w:szCs w:val="20"/>
          <w:color w:val="auto"/>
        </w:rPr>
      </w:pPr>
      <w:r>
        <w:rPr>
          <w:rFonts w:ascii="Arial" w:cs="Arial" w:eastAsia="Arial" w:hAnsi="Arial"/>
          <w:sz w:val="15"/>
          <w:szCs w:val="15"/>
          <w:color w:val="auto"/>
        </w:rPr>
        <w:t>understand both the</w:t>
      </w:r>
    </w:p>
    <w:p>
      <w:pPr>
        <w:ind w:left="760"/>
        <w:spacing w:after="0" w:line="225" w:lineRule="auto"/>
        <w:rPr>
          <w:sz w:val="20"/>
          <w:szCs w:val="20"/>
          <w:color w:val="auto"/>
        </w:rPr>
      </w:pPr>
      <w:r>
        <w:rPr>
          <w:rFonts w:ascii="Arial" w:cs="Arial" w:eastAsia="Arial" w:hAnsi="Arial"/>
          <w:sz w:val="15"/>
          <w:szCs w:val="15"/>
          <w:color w:val="auto"/>
        </w:rPr>
        <w:t>risks and opportunities</w:t>
      </w:r>
    </w:p>
    <w:p>
      <w:pPr>
        <w:ind w:left="760"/>
        <w:spacing w:after="0" w:line="226" w:lineRule="auto"/>
        <w:rPr>
          <w:sz w:val="20"/>
          <w:szCs w:val="20"/>
          <w:color w:val="auto"/>
        </w:rPr>
      </w:pPr>
      <w:r>
        <w:rPr>
          <w:rFonts w:ascii="Arial" w:cs="Arial" w:eastAsia="Arial" w:hAnsi="Arial"/>
          <w:sz w:val="15"/>
          <w:szCs w:val="15"/>
          <w:color w:val="auto"/>
        </w:rPr>
        <w:t>ExxonMobil faces in its</w:t>
      </w:r>
    </w:p>
    <w:p>
      <w:pPr>
        <w:ind w:left="760"/>
        <w:spacing w:after="0" w:line="225" w:lineRule="auto"/>
        <w:rPr>
          <w:sz w:val="20"/>
          <w:szCs w:val="20"/>
          <w:color w:val="auto"/>
        </w:rPr>
      </w:pPr>
      <w:r>
        <w:rPr>
          <w:rFonts w:ascii="Arial" w:cs="Arial" w:eastAsia="Arial" w:hAnsi="Arial"/>
          <w:sz w:val="15"/>
          <w:szCs w:val="15"/>
          <w:color w:val="auto"/>
        </w:rPr>
        <w:t>low carbon solutions</w:t>
      </w:r>
    </w:p>
    <w:p>
      <w:pPr>
        <w:ind w:left="760"/>
        <w:spacing w:after="0"/>
        <w:rPr>
          <w:sz w:val="20"/>
          <w:szCs w:val="20"/>
          <w:color w:val="auto"/>
        </w:rPr>
      </w:pPr>
      <w:r>
        <w:rPr>
          <w:rFonts w:ascii="Arial" w:cs="Arial" w:eastAsia="Arial" w:hAnsi="Arial"/>
          <w:sz w:val="15"/>
          <w:szCs w:val="15"/>
          <w:color w:val="auto"/>
        </w:rPr>
        <w:t>technologies.</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Joseph L. Hooley</w:t>
      </w:r>
    </w:p>
    <w:p>
      <w:pPr>
        <w:ind w:left="760"/>
        <w:spacing w:after="0" w:line="233" w:lineRule="auto"/>
        <w:rPr>
          <w:sz w:val="20"/>
          <w:szCs w:val="20"/>
          <w:color w:val="auto"/>
        </w:rPr>
      </w:pPr>
      <w:r>
        <w:rPr>
          <w:rFonts w:ascii="Arial" w:cs="Arial" w:eastAsia="Arial" w:hAnsi="Arial"/>
          <w:sz w:val="15"/>
          <w:szCs w:val="15"/>
          <w:color w:val="auto"/>
        </w:rPr>
        <w:t>Mr. Hooley has</w:t>
      </w:r>
    </w:p>
    <w:p>
      <w:pPr>
        <w:ind w:left="760"/>
        <w:spacing w:after="0" w:line="225" w:lineRule="auto"/>
        <w:rPr>
          <w:sz w:val="20"/>
          <w:szCs w:val="20"/>
          <w:color w:val="auto"/>
        </w:rPr>
      </w:pPr>
      <w:r>
        <w:rPr>
          <w:rFonts w:ascii="Arial" w:cs="Arial" w:eastAsia="Arial" w:hAnsi="Arial"/>
          <w:sz w:val="15"/>
          <w:szCs w:val="15"/>
          <w:color w:val="auto"/>
        </w:rPr>
        <w:t>extensive experience</w:t>
      </w:r>
    </w:p>
    <w:p>
      <w:pPr>
        <w:ind w:left="760"/>
        <w:spacing w:after="0" w:line="225" w:lineRule="auto"/>
        <w:rPr>
          <w:sz w:val="20"/>
          <w:szCs w:val="20"/>
          <w:color w:val="auto"/>
        </w:rPr>
      </w:pPr>
      <w:r>
        <w:rPr>
          <w:rFonts w:ascii="Arial" w:cs="Arial" w:eastAsia="Arial" w:hAnsi="Arial"/>
          <w:sz w:val="15"/>
          <w:szCs w:val="15"/>
          <w:color w:val="auto"/>
        </w:rPr>
        <w:t>with institutional</w:t>
      </w:r>
    </w:p>
    <w:p>
      <w:pPr>
        <w:ind w:left="760"/>
        <w:spacing w:after="0" w:line="226" w:lineRule="auto"/>
        <w:rPr>
          <w:sz w:val="20"/>
          <w:szCs w:val="20"/>
          <w:color w:val="auto"/>
        </w:rPr>
      </w:pPr>
      <w:r>
        <w:rPr>
          <w:rFonts w:ascii="Arial" w:cs="Arial" w:eastAsia="Arial" w:hAnsi="Arial"/>
          <w:sz w:val="15"/>
          <w:szCs w:val="15"/>
          <w:color w:val="auto"/>
        </w:rPr>
        <w:t>investors having</w:t>
      </w:r>
    </w:p>
    <w:p>
      <w:pPr>
        <w:ind w:left="760"/>
        <w:spacing w:after="0" w:line="225" w:lineRule="auto"/>
        <w:rPr>
          <w:sz w:val="20"/>
          <w:szCs w:val="20"/>
          <w:color w:val="auto"/>
        </w:rPr>
      </w:pPr>
      <w:r>
        <w:rPr>
          <w:rFonts w:ascii="Arial" w:cs="Arial" w:eastAsia="Arial" w:hAnsi="Arial"/>
          <w:sz w:val="15"/>
          <w:szCs w:val="15"/>
          <w:color w:val="auto"/>
        </w:rPr>
        <w:t>overseen the servicing</w:t>
      </w:r>
    </w:p>
    <w:p>
      <w:pPr>
        <w:ind w:left="760"/>
        <w:spacing w:after="0" w:line="226" w:lineRule="auto"/>
        <w:rPr>
          <w:sz w:val="20"/>
          <w:szCs w:val="20"/>
          <w:color w:val="auto"/>
        </w:rPr>
      </w:pPr>
      <w:r>
        <w:rPr>
          <w:rFonts w:ascii="Arial" w:cs="Arial" w:eastAsia="Arial" w:hAnsi="Arial"/>
          <w:sz w:val="15"/>
          <w:szCs w:val="15"/>
          <w:color w:val="auto"/>
        </w:rPr>
        <w:t>of over $35 trillion of</w:t>
      </w:r>
    </w:p>
    <w:p>
      <w:pPr>
        <w:ind w:left="760"/>
        <w:spacing w:after="0" w:line="225" w:lineRule="auto"/>
        <w:rPr>
          <w:sz w:val="20"/>
          <w:szCs w:val="20"/>
          <w:color w:val="auto"/>
        </w:rPr>
      </w:pPr>
      <w:r>
        <w:rPr>
          <w:rFonts w:ascii="Arial" w:cs="Arial" w:eastAsia="Arial" w:hAnsi="Arial"/>
          <w:sz w:val="15"/>
          <w:szCs w:val="15"/>
          <w:color w:val="auto"/>
        </w:rPr>
        <w:t>assets as well as the</w:t>
      </w:r>
    </w:p>
    <w:p>
      <w:pPr>
        <w:ind w:left="760"/>
        <w:spacing w:after="0" w:line="225" w:lineRule="auto"/>
        <w:rPr>
          <w:sz w:val="20"/>
          <w:szCs w:val="20"/>
          <w:color w:val="auto"/>
        </w:rPr>
      </w:pPr>
      <w:r>
        <w:rPr>
          <w:rFonts w:ascii="Arial" w:cs="Arial" w:eastAsia="Arial" w:hAnsi="Arial"/>
          <w:sz w:val="15"/>
          <w:szCs w:val="15"/>
          <w:color w:val="auto"/>
        </w:rPr>
        <w:t>stewardship of over $4</w:t>
      </w:r>
    </w:p>
    <w:p>
      <w:pPr>
        <w:ind w:left="760"/>
        <w:spacing w:after="0" w:line="226" w:lineRule="auto"/>
        <w:rPr>
          <w:sz w:val="20"/>
          <w:szCs w:val="20"/>
          <w:color w:val="auto"/>
        </w:rPr>
      </w:pPr>
      <w:r>
        <w:rPr>
          <w:rFonts w:ascii="Arial" w:cs="Arial" w:eastAsia="Arial" w:hAnsi="Arial"/>
          <w:sz w:val="15"/>
          <w:szCs w:val="15"/>
          <w:color w:val="auto"/>
        </w:rPr>
        <w:t>trillion in capital as</w:t>
      </w:r>
    </w:p>
    <w:p>
      <w:pPr>
        <w:ind w:left="760"/>
        <w:spacing w:after="0" w:line="225" w:lineRule="auto"/>
        <w:rPr>
          <w:sz w:val="20"/>
          <w:szCs w:val="20"/>
          <w:color w:val="auto"/>
        </w:rPr>
      </w:pPr>
      <w:r>
        <w:rPr>
          <w:rFonts w:ascii="Arial" w:cs="Arial" w:eastAsia="Arial" w:hAnsi="Arial"/>
          <w:sz w:val="15"/>
          <w:szCs w:val="15"/>
          <w:color w:val="auto"/>
        </w:rPr>
        <w:t>Chair and CEO at</w:t>
      </w:r>
    </w:p>
    <w:p>
      <w:pPr>
        <w:ind w:left="760"/>
        <w:spacing w:after="0" w:line="226" w:lineRule="auto"/>
        <w:rPr>
          <w:sz w:val="20"/>
          <w:szCs w:val="20"/>
          <w:color w:val="auto"/>
        </w:rPr>
      </w:pPr>
      <w:r>
        <w:rPr>
          <w:rFonts w:ascii="Arial" w:cs="Arial" w:eastAsia="Arial" w:hAnsi="Arial"/>
          <w:sz w:val="15"/>
          <w:szCs w:val="15"/>
          <w:color w:val="auto"/>
        </w:rPr>
        <w:t>State Street. Mr.</w:t>
      </w:r>
    </w:p>
    <w:p>
      <w:pPr>
        <w:ind w:left="760"/>
        <w:spacing w:after="0" w:line="225" w:lineRule="auto"/>
        <w:rPr>
          <w:sz w:val="20"/>
          <w:szCs w:val="20"/>
          <w:color w:val="auto"/>
        </w:rPr>
      </w:pPr>
      <w:r>
        <w:rPr>
          <w:rFonts w:ascii="Arial" w:cs="Arial" w:eastAsia="Arial" w:hAnsi="Arial"/>
          <w:sz w:val="15"/>
          <w:szCs w:val="15"/>
          <w:color w:val="auto"/>
        </w:rPr>
        <w:t>Hooley successfully</w:t>
      </w:r>
    </w:p>
    <w:p>
      <w:pPr>
        <w:ind w:left="760"/>
        <w:spacing w:after="0" w:line="226" w:lineRule="auto"/>
        <w:rPr>
          <w:sz w:val="20"/>
          <w:szCs w:val="20"/>
          <w:color w:val="auto"/>
        </w:rPr>
      </w:pPr>
      <w:r>
        <w:rPr>
          <w:rFonts w:ascii="Arial" w:cs="Arial" w:eastAsia="Arial" w:hAnsi="Arial"/>
          <w:sz w:val="15"/>
          <w:szCs w:val="15"/>
          <w:color w:val="auto"/>
        </w:rPr>
        <w:t>transformed State</w:t>
      </w:r>
    </w:p>
    <w:p>
      <w:pPr>
        <w:ind w:left="760"/>
        <w:spacing w:after="0" w:line="225" w:lineRule="auto"/>
        <w:rPr>
          <w:sz w:val="20"/>
          <w:szCs w:val="20"/>
          <w:color w:val="auto"/>
        </w:rPr>
      </w:pPr>
      <w:r>
        <w:rPr>
          <w:rFonts w:ascii="Arial" w:cs="Arial" w:eastAsia="Arial" w:hAnsi="Arial"/>
          <w:sz w:val="15"/>
          <w:szCs w:val="15"/>
          <w:color w:val="auto"/>
        </w:rPr>
        <w:t>Street in multiple ways,</w:t>
      </w:r>
    </w:p>
    <w:p>
      <w:pPr>
        <w:ind w:left="760"/>
        <w:spacing w:after="0" w:line="225" w:lineRule="auto"/>
        <w:rPr>
          <w:sz w:val="20"/>
          <w:szCs w:val="20"/>
          <w:color w:val="auto"/>
        </w:rPr>
      </w:pPr>
      <w:r>
        <w:rPr>
          <w:rFonts w:ascii="Arial" w:cs="Arial" w:eastAsia="Arial" w:hAnsi="Arial"/>
          <w:sz w:val="15"/>
          <w:szCs w:val="15"/>
          <w:color w:val="auto"/>
        </w:rPr>
        <w:t>including driving a</w:t>
      </w:r>
    </w:p>
    <w:p>
      <w:pPr>
        <w:ind w:left="760"/>
        <w:spacing w:after="0" w:line="226" w:lineRule="auto"/>
        <w:rPr>
          <w:sz w:val="20"/>
          <w:szCs w:val="20"/>
          <w:color w:val="auto"/>
        </w:rPr>
      </w:pPr>
      <w:r>
        <w:rPr>
          <w:rFonts w:ascii="Arial" w:cs="Arial" w:eastAsia="Arial" w:hAnsi="Arial"/>
          <w:sz w:val="15"/>
          <w:szCs w:val="15"/>
          <w:color w:val="auto"/>
        </w:rPr>
        <w:t>technological</w:t>
      </w:r>
    </w:p>
    <w:p>
      <w:pPr>
        <w:ind w:left="760"/>
        <w:spacing w:after="0" w:line="225" w:lineRule="auto"/>
        <w:rPr>
          <w:sz w:val="20"/>
          <w:szCs w:val="20"/>
          <w:color w:val="auto"/>
        </w:rPr>
      </w:pPr>
      <w:r>
        <w:rPr>
          <w:rFonts w:ascii="Arial" w:cs="Arial" w:eastAsia="Arial" w:hAnsi="Arial"/>
          <w:sz w:val="15"/>
          <w:szCs w:val="15"/>
          <w:color w:val="auto"/>
        </w:rPr>
        <w:t>transformation,</w:t>
      </w:r>
    </w:p>
    <w:p>
      <w:pPr>
        <w:ind w:left="760"/>
        <w:spacing w:after="0" w:line="226" w:lineRule="auto"/>
        <w:rPr>
          <w:sz w:val="20"/>
          <w:szCs w:val="20"/>
          <w:color w:val="auto"/>
        </w:rPr>
      </w:pPr>
      <w:r>
        <w:rPr>
          <w:rFonts w:ascii="Arial" w:cs="Arial" w:eastAsia="Arial" w:hAnsi="Arial"/>
          <w:sz w:val="15"/>
          <w:szCs w:val="15"/>
          <w:color w:val="auto"/>
        </w:rPr>
        <w:t>globalization of the</w:t>
      </w:r>
    </w:p>
    <w:p>
      <w:pPr>
        <w:ind w:left="760"/>
        <w:spacing w:after="0" w:line="225" w:lineRule="auto"/>
        <w:rPr>
          <w:sz w:val="20"/>
          <w:szCs w:val="20"/>
          <w:color w:val="auto"/>
        </w:rPr>
      </w:pPr>
      <w:r>
        <w:rPr>
          <w:rFonts w:ascii="Arial" w:cs="Arial" w:eastAsia="Arial" w:hAnsi="Arial"/>
          <w:sz w:val="15"/>
          <w:szCs w:val="15"/>
          <w:color w:val="auto"/>
        </w:rPr>
        <w:t>business and</w:t>
      </w:r>
    </w:p>
    <w:p>
      <w:pPr>
        <w:ind w:left="760"/>
        <w:spacing w:after="0" w:line="225" w:lineRule="auto"/>
        <w:rPr>
          <w:sz w:val="20"/>
          <w:szCs w:val="20"/>
          <w:color w:val="auto"/>
        </w:rPr>
      </w:pPr>
      <w:r>
        <w:rPr>
          <w:rFonts w:ascii="Arial" w:cs="Arial" w:eastAsia="Arial" w:hAnsi="Arial"/>
          <w:sz w:val="15"/>
          <w:szCs w:val="15"/>
          <w:color w:val="auto"/>
        </w:rPr>
        <w:t>investment portfolio,</w:t>
      </w:r>
    </w:p>
    <w:p>
      <w:pPr>
        <w:ind w:left="760"/>
        <w:spacing w:after="0" w:line="226" w:lineRule="auto"/>
        <w:rPr>
          <w:sz w:val="20"/>
          <w:szCs w:val="20"/>
          <w:color w:val="auto"/>
        </w:rPr>
      </w:pPr>
      <w:r>
        <w:rPr>
          <w:rFonts w:ascii="Arial" w:cs="Arial" w:eastAsia="Arial" w:hAnsi="Arial"/>
          <w:sz w:val="15"/>
          <w:szCs w:val="15"/>
          <w:color w:val="auto"/>
        </w:rPr>
        <w:t>and navigating the</w:t>
      </w:r>
    </w:p>
    <w:p>
      <w:pPr>
        <w:ind w:left="760"/>
        <w:spacing w:after="0" w:line="225" w:lineRule="auto"/>
        <w:rPr>
          <w:sz w:val="20"/>
          <w:szCs w:val="20"/>
          <w:color w:val="auto"/>
        </w:rPr>
      </w:pPr>
      <w:r>
        <w:rPr>
          <w:rFonts w:ascii="Arial" w:cs="Arial" w:eastAsia="Arial" w:hAnsi="Arial"/>
          <w:sz w:val="15"/>
          <w:szCs w:val="15"/>
          <w:color w:val="auto"/>
        </w:rPr>
        <w:t>post-financial crisis of</w:t>
      </w:r>
    </w:p>
    <w:p>
      <w:pPr>
        <w:ind w:left="760"/>
        <w:spacing w:after="0" w:line="226" w:lineRule="auto"/>
        <w:rPr>
          <w:sz w:val="20"/>
          <w:szCs w:val="20"/>
          <w:color w:val="auto"/>
        </w:rPr>
      </w:pPr>
      <w:r>
        <w:rPr>
          <w:rFonts w:ascii="Arial" w:cs="Arial" w:eastAsia="Arial" w:hAnsi="Arial"/>
          <w:sz w:val="15"/>
          <w:szCs w:val="15"/>
          <w:color w:val="auto"/>
        </w:rPr>
        <w:t>2008. Mr. Hooley’s</w:t>
      </w:r>
    </w:p>
    <w:p>
      <w:pPr>
        <w:ind w:left="760"/>
        <w:spacing w:after="0" w:line="225" w:lineRule="auto"/>
        <w:rPr>
          <w:sz w:val="20"/>
          <w:szCs w:val="20"/>
          <w:color w:val="auto"/>
        </w:rPr>
      </w:pPr>
      <w:r>
        <w:rPr>
          <w:rFonts w:ascii="Arial" w:cs="Arial" w:eastAsia="Arial" w:hAnsi="Arial"/>
          <w:sz w:val="15"/>
          <w:szCs w:val="15"/>
          <w:color w:val="auto"/>
        </w:rPr>
        <w:t>unique background</w:t>
      </w:r>
    </w:p>
    <w:p>
      <w:pPr>
        <w:ind w:left="760"/>
        <w:spacing w:after="0" w:line="226" w:lineRule="auto"/>
        <w:rPr>
          <w:sz w:val="20"/>
          <w:szCs w:val="20"/>
          <w:color w:val="auto"/>
        </w:rPr>
      </w:pPr>
      <w:r>
        <w:rPr>
          <w:rFonts w:ascii="Arial" w:cs="Arial" w:eastAsia="Arial" w:hAnsi="Arial"/>
          <w:sz w:val="15"/>
          <w:szCs w:val="15"/>
          <w:color w:val="auto"/>
        </w:rPr>
        <w:t>helps the Board better</w:t>
      </w:r>
    </w:p>
    <w:p>
      <w:pPr>
        <w:ind w:left="760"/>
        <w:spacing w:after="0" w:line="225" w:lineRule="auto"/>
        <w:rPr>
          <w:sz w:val="20"/>
          <w:szCs w:val="20"/>
          <w:color w:val="auto"/>
        </w:rPr>
      </w:pPr>
      <w:r>
        <w:rPr>
          <w:rFonts w:ascii="Arial" w:cs="Arial" w:eastAsia="Arial" w:hAnsi="Arial"/>
          <w:sz w:val="15"/>
          <w:szCs w:val="15"/>
          <w:color w:val="auto"/>
        </w:rPr>
        <w:t>understand investors’</w:t>
      </w:r>
    </w:p>
    <w:p>
      <w:pPr>
        <w:ind w:left="760"/>
        <w:spacing w:after="0" w:line="225" w:lineRule="auto"/>
        <w:rPr>
          <w:sz w:val="20"/>
          <w:szCs w:val="20"/>
          <w:color w:val="auto"/>
        </w:rPr>
      </w:pPr>
      <w:r>
        <w:rPr>
          <w:rFonts w:ascii="Arial" w:cs="Arial" w:eastAsia="Arial" w:hAnsi="Arial"/>
          <w:sz w:val="15"/>
          <w:szCs w:val="15"/>
          <w:color w:val="auto"/>
        </w:rPr>
        <w:t>perspectives on risk</w:t>
      </w:r>
    </w:p>
    <w:p>
      <w:pPr>
        <w:ind w:left="760"/>
        <w:spacing w:after="0" w:line="226" w:lineRule="auto"/>
        <w:rPr>
          <w:sz w:val="20"/>
          <w:szCs w:val="20"/>
          <w:color w:val="auto"/>
        </w:rPr>
      </w:pPr>
      <w:r>
        <w:rPr>
          <w:rFonts w:ascii="Arial" w:cs="Arial" w:eastAsia="Arial" w:hAnsi="Arial"/>
          <w:sz w:val="15"/>
          <w:szCs w:val="15"/>
          <w:color w:val="auto"/>
        </w:rPr>
        <w:t>and ensures those</w:t>
      </w:r>
    </w:p>
    <w:p>
      <w:pPr>
        <w:ind w:left="760"/>
        <w:spacing w:after="0" w:line="225" w:lineRule="auto"/>
        <w:rPr>
          <w:sz w:val="20"/>
          <w:szCs w:val="20"/>
          <w:color w:val="auto"/>
        </w:rPr>
      </w:pPr>
      <w:r>
        <w:rPr>
          <w:rFonts w:ascii="Arial" w:cs="Arial" w:eastAsia="Arial" w:hAnsi="Arial"/>
          <w:sz w:val="15"/>
          <w:szCs w:val="15"/>
          <w:color w:val="auto"/>
        </w:rPr>
        <w:t>perspectives are</w:t>
      </w:r>
    </w:p>
    <w:p>
      <w:pPr>
        <w:ind w:left="760"/>
        <w:spacing w:after="0" w:line="226" w:lineRule="auto"/>
        <w:rPr>
          <w:sz w:val="20"/>
          <w:szCs w:val="20"/>
          <w:color w:val="auto"/>
        </w:rPr>
      </w:pPr>
      <w:r>
        <w:rPr>
          <w:rFonts w:ascii="Arial" w:cs="Arial" w:eastAsia="Arial" w:hAnsi="Arial"/>
          <w:sz w:val="15"/>
          <w:szCs w:val="15"/>
          <w:color w:val="auto"/>
        </w:rPr>
        <w:t>incorporated into</w:t>
      </w:r>
    </w:p>
    <w:p>
      <w:pPr>
        <w:ind w:left="760"/>
        <w:spacing w:after="0" w:line="225" w:lineRule="auto"/>
        <w:rPr>
          <w:sz w:val="20"/>
          <w:szCs w:val="20"/>
          <w:color w:val="auto"/>
        </w:rPr>
      </w:pPr>
      <w:r>
        <w:rPr>
          <w:rFonts w:ascii="Arial" w:cs="Arial" w:eastAsia="Arial" w:hAnsi="Arial"/>
          <w:sz w:val="15"/>
          <w:szCs w:val="15"/>
          <w:color w:val="auto"/>
        </w:rPr>
        <w:t>Board discussions with</w:t>
      </w:r>
    </w:p>
    <w:p>
      <w:pPr>
        <w:ind w:left="760"/>
        <w:spacing w:after="0" w:line="225" w:lineRule="auto"/>
        <w:rPr>
          <w:sz w:val="20"/>
          <w:szCs w:val="20"/>
          <w:color w:val="auto"/>
        </w:rPr>
      </w:pPr>
      <w:r>
        <w:rPr>
          <w:rFonts w:ascii="Arial" w:cs="Arial" w:eastAsia="Arial" w:hAnsi="Arial"/>
          <w:sz w:val="15"/>
          <w:szCs w:val="15"/>
          <w:color w:val="auto"/>
        </w:rPr>
        <w:t>management on</w:t>
      </w:r>
    </w:p>
    <w:p>
      <w:pPr>
        <w:ind w:left="760"/>
        <w:spacing w:after="0" w:line="226" w:lineRule="auto"/>
        <w:rPr>
          <w:sz w:val="20"/>
          <w:szCs w:val="20"/>
          <w:color w:val="auto"/>
        </w:rPr>
      </w:pPr>
      <w:r>
        <w:rPr>
          <w:rFonts w:ascii="Arial" w:cs="Arial" w:eastAsia="Arial" w:hAnsi="Arial"/>
          <w:sz w:val="15"/>
          <w:szCs w:val="15"/>
          <w:color w:val="auto"/>
        </w:rPr>
        <w:t>important strategic</w:t>
      </w:r>
    </w:p>
    <w:p>
      <w:pPr>
        <w:ind w:left="760"/>
        <w:spacing w:after="0"/>
        <w:rPr>
          <w:sz w:val="20"/>
          <w:szCs w:val="20"/>
          <w:color w:val="auto"/>
        </w:rPr>
      </w:pPr>
      <w:r>
        <w:rPr>
          <w:rFonts w:ascii="Arial" w:cs="Arial" w:eastAsia="Arial" w:hAnsi="Arial"/>
          <w:sz w:val="15"/>
          <w:szCs w:val="15"/>
          <w:color w:val="auto"/>
        </w:rPr>
        <w:t>decisions.</w:t>
      </w:r>
    </w:p>
    <w:p>
      <w:pPr>
        <w:sectPr>
          <w:pgSz w:w="11900" w:h="16838" w:orient="portrait"/>
          <w:cols w:equalWidth="0" w:num="1">
            <w:col w:w="10139"/>
          </w:cols>
          <w:pgMar w:left="320" w:top="482" w:right="1440" w:bottom="939" w:gutter="0" w:footer="0" w:header="0"/>
        </w:sectPr>
      </w:pPr>
    </w:p>
    <w:bookmarkStart w:id="31" w:name="page32"/>
    <w:bookmarkEnd w:id="31"/>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688340</wp:posOffset>
            </wp:positionH>
            <wp:positionV relativeFrom="page">
              <wp:posOffset>88900</wp:posOffset>
            </wp:positionV>
            <wp:extent cx="5923280" cy="31286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923280" cy="3128645"/>
                    </a:xfrm>
                    <a:prstGeom prst="rect">
                      <a:avLst/>
                    </a:prstGeom>
                    <a:noFill/>
                  </pic:spPr>
                </pic:pic>
              </a:graphicData>
            </a:graphic>
          </wp:anchor>
        </w:drawing>
        <w:t>Steven A. Kandarian</w:t>
      </w:r>
    </w:p>
    <w:p>
      <w:pPr>
        <w:spacing w:after="0" w:line="233" w:lineRule="auto"/>
        <w:rPr>
          <w:sz w:val="20"/>
          <w:szCs w:val="20"/>
          <w:color w:val="auto"/>
        </w:rPr>
      </w:pPr>
      <w:r>
        <w:rPr>
          <w:rFonts w:ascii="Arial" w:cs="Arial" w:eastAsia="Arial" w:hAnsi="Arial"/>
          <w:sz w:val="15"/>
          <w:szCs w:val="15"/>
          <w:color w:val="auto"/>
        </w:rPr>
        <w:t>Mr. Kandarian’s 14</w:t>
      </w:r>
    </w:p>
    <w:p>
      <w:pPr>
        <w:spacing w:after="0" w:line="225" w:lineRule="auto"/>
        <w:rPr>
          <w:sz w:val="20"/>
          <w:szCs w:val="20"/>
          <w:color w:val="auto"/>
        </w:rPr>
      </w:pPr>
      <w:r>
        <w:rPr>
          <w:rFonts w:ascii="Arial" w:cs="Arial" w:eastAsia="Arial" w:hAnsi="Arial"/>
          <w:sz w:val="15"/>
          <w:szCs w:val="15"/>
          <w:color w:val="auto"/>
        </w:rPr>
        <w:t>years of senior</w:t>
      </w:r>
    </w:p>
    <w:p>
      <w:pPr>
        <w:spacing w:after="0" w:line="225" w:lineRule="auto"/>
        <w:rPr>
          <w:sz w:val="20"/>
          <w:szCs w:val="20"/>
          <w:color w:val="auto"/>
        </w:rPr>
      </w:pPr>
      <w:r>
        <w:rPr>
          <w:rFonts w:ascii="Arial" w:cs="Arial" w:eastAsia="Arial" w:hAnsi="Arial"/>
          <w:sz w:val="15"/>
          <w:szCs w:val="15"/>
          <w:color w:val="auto"/>
        </w:rPr>
        <w:t>executive leadership</w:t>
      </w:r>
    </w:p>
    <w:p>
      <w:pPr>
        <w:spacing w:after="0" w:line="226" w:lineRule="auto"/>
        <w:rPr>
          <w:sz w:val="20"/>
          <w:szCs w:val="20"/>
          <w:color w:val="auto"/>
        </w:rPr>
      </w:pPr>
      <w:r>
        <w:rPr>
          <w:rFonts w:ascii="Arial" w:cs="Arial" w:eastAsia="Arial" w:hAnsi="Arial"/>
          <w:sz w:val="15"/>
          <w:szCs w:val="15"/>
          <w:color w:val="auto"/>
        </w:rPr>
        <w:t>experience at MetLife,</w:t>
      </w:r>
    </w:p>
    <w:p>
      <w:pPr>
        <w:spacing w:after="0" w:line="225" w:lineRule="auto"/>
        <w:rPr>
          <w:sz w:val="20"/>
          <w:szCs w:val="20"/>
          <w:color w:val="auto"/>
        </w:rPr>
      </w:pPr>
      <w:r>
        <w:rPr>
          <w:rFonts w:ascii="Arial" w:cs="Arial" w:eastAsia="Arial" w:hAnsi="Arial"/>
          <w:sz w:val="15"/>
          <w:szCs w:val="15"/>
          <w:color w:val="auto"/>
        </w:rPr>
        <w:t>where he led a</w:t>
      </w:r>
    </w:p>
    <w:p>
      <w:pPr>
        <w:spacing w:after="0" w:line="226" w:lineRule="auto"/>
        <w:rPr>
          <w:sz w:val="20"/>
          <w:szCs w:val="20"/>
          <w:color w:val="auto"/>
        </w:rPr>
      </w:pPr>
      <w:r>
        <w:rPr>
          <w:rFonts w:ascii="Arial" w:cs="Arial" w:eastAsia="Arial" w:hAnsi="Arial"/>
          <w:sz w:val="15"/>
          <w:szCs w:val="15"/>
          <w:color w:val="auto"/>
        </w:rPr>
        <w:t>significant</w:t>
      </w:r>
    </w:p>
    <w:p>
      <w:pPr>
        <w:spacing w:after="0" w:line="225" w:lineRule="auto"/>
        <w:rPr>
          <w:sz w:val="20"/>
          <w:szCs w:val="20"/>
          <w:color w:val="auto"/>
        </w:rPr>
      </w:pPr>
      <w:r>
        <w:rPr>
          <w:rFonts w:ascii="Arial" w:cs="Arial" w:eastAsia="Arial" w:hAnsi="Arial"/>
          <w:sz w:val="15"/>
          <w:szCs w:val="15"/>
          <w:color w:val="auto"/>
        </w:rPr>
        <w:t>transformation</w:t>
      </w:r>
    </w:p>
    <w:p>
      <w:pPr>
        <w:spacing w:after="0" w:line="225" w:lineRule="auto"/>
        <w:rPr>
          <w:sz w:val="20"/>
          <w:szCs w:val="20"/>
          <w:color w:val="auto"/>
        </w:rPr>
      </w:pPr>
      <w:r>
        <w:rPr>
          <w:rFonts w:ascii="Arial" w:cs="Arial" w:eastAsia="Arial" w:hAnsi="Arial"/>
          <w:sz w:val="15"/>
          <w:szCs w:val="15"/>
          <w:color w:val="auto"/>
        </w:rPr>
        <w:t>following the</w:t>
      </w:r>
    </w:p>
    <w:p>
      <w:pPr>
        <w:spacing w:after="0" w:line="226" w:lineRule="auto"/>
        <w:rPr>
          <w:sz w:val="20"/>
          <w:szCs w:val="20"/>
          <w:color w:val="auto"/>
        </w:rPr>
      </w:pPr>
      <w:r>
        <w:rPr>
          <w:rFonts w:ascii="Arial" w:cs="Arial" w:eastAsia="Arial" w:hAnsi="Arial"/>
          <w:sz w:val="15"/>
          <w:szCs w:val="15"/>
          <w:color w:val="auto"/>
        </w:rPr>
        <w:t>implementation of</w:t>
      </w:r>
    </w:p>
    <w:p>
      <w:pPr>
        <w:spacing w:after="0" w:line="225" w:lineRule="auto"/>
        <w:rPr>
          <w:sz w:val="20"/>
          <w:szCs w:val="20"/>
          <w:color w:val="auto"/>
        </w:rPr>
      </w:pPr>
      <w:r>
        <w:rPr>
          <w:rFonts w:ascii="Arial" w:cs="Arial" w:eastAsia="Arial" w:hAnsi="Arial"/>
          <w:sz w:val="15"/>
          <w:szCs w:val="15"/>
          <w:color w:val="auto"/>
        </w:rPr>
        <w:t>Dodd-Frank, brings a</w:t>
      </w:r>
    </w:p>
    <w:p>
      <w:pPr>
        <w:spacing w:after="0" w:line="226" w:lineRule="auto"/>
        <w:rPr>
          <w:sz w:val="20"/>
          <w:szCs w:val="20"/>
          <w:color w:val="auto"/>
        </w:rPr>
      </w:pPr>
      <w:r>
        <w:rPr>
          <w:rFonts w:ascii="Arial" w:cs="Arial" w:eastAsia="Arial" w:hAnsi="Arial"/>
          <w:sz w:val="15"/>
          <w:szCs w:val="15"/>
          <w:color w:val="auto"/>
        </w:rPr>
        <w:t>viewpoint vital to the</w:t>
      </w:r>
    </w:p>
    <w:p>
      <w:pPr>
        <w:spacing w:after="0" w:line="225" w:lineRule="auto"/>
        <w:rPr>
          <w:sz w:val="20"/>
          <w:szCs w:val="20"/>
          <w:color w:val="auto"/>
        </w:rPr>
      </w:pPr>
      <w:r>
        <w:rPr>
          <w:rFonts w:ascii="Arial" w:cs="Arial" w:eastAsia="Arial" w:hAnsi="Arial"/>
          <w:sz w:val="15"/>
          <w:szCs w:val="15"/>
          <w:color w:val="auto"/>
        </w:rPr>
        <w:t>Board when</w:t>
      </w:r>
    </w:p>
    <w:p>
      <w:pPr>
        <w:spacing w:after="0" w:line="226" w:lineRule="auto"/>
        <w:rPr>
          <w:sz w:val="20"/>
          <w:szCs w:val="20"/>
          <w:color w:val="auto"/>
        </w:rPr>
      </w:pPr>
      <w:r>
        <w:rPr>
          <w:rFonts w:ascii="Arial" w:cs="Arial" w:eastAsia="Arial" w:hAnsi="Arial"/>
          <w:sz w:val="15"/>
          <w:szCs w:val="15"/>
          <w:color w:val="auto"/>
        </w:rPr>
        <w:t>developing the long-</w:t>
      </w:r>
    </w:p>
    <w:p>
      <w:pPr>
        <w:spacing w:after="0" w:line="225" w:lineRule="auto"/>
        <w:rPr>
          <w:sz w:val="20"/>
          <w:szCs w:val="20"/>
          <w:color w:val="auto"/>
        </w:rPr>
      </w:pPr>
      <w:r>
        <w:rPr>
          <w:rFonts w:ascii="Arial" w:cs="Arial" w:eastAsia="Arial" w:hAnsi="Arial"/>
          <w:sz w:val="15"/>
          <w:szCs w:val="15"/>
          <w:color w:val="auto"/>
        </w:rPr>
        <w:t>term strategic plan and</w:t>
      </w:r>
    </w:p>
    <w:p>
      <w:pPr>
        <w:spacing w:after="0" w:line="225" w:lineRule="auto"/>
        <w:rPr>
          <w:sz w:val="20"/>
          <w:szCs w:val="20"/>
          <w:color w:val="auto"/>
        </w:rPr>
      </w:pPr>
      <w:r>
        <w:rPr>
          <w:rFonts w:ascii="Arial" w:cs="Arial" w:eastAsia="Arial" w:hAnsi="Arial"/>
          <w:sz w:val="15"/>
          <w:szCs w:val="15"/>
          <w:color w:val="auto"/>
        </w:rPr>
        <w:t>overseeing capital</w:t>
      </w:r>
    </w:p>
    <w:p>
      <w:pPr>
        <w:spacing w:after="0" w:line="226" w:lineRule="auto"/>
        <w:rPr>
          <w:sz w:val="20"/>
          <w:szCs w:val="20"/>
          <w:color w:val="auto"/>
        </w:rPr>
      </w:pPr>
      <w:r>
        <w:rPr>
          <w:rFonts w:ascii="Arial" w:cs="Arial" w:eastAsia="Arial" w:hAnsi="Arial"/>
          <w:sz w:val="15"/>
          <w:szCs w:val="15"/>
          <w:color w:val="auto"/>
        </w:rPr>
        <w:t>allocation across the</w:t>
      </w:r>
    </w:p>
    <w:p>
      <w:pPr>
        <w:spacing w:after="0" w:line="225" w:lineRule="auto"/>
        <w:rPr>
          <w:sz w:val="20"/>
          <w:szCs w:val="20"/>
          <w:color w:val="auto"/>
        </w:rPr>
      </w:pPr>
      <w:r>
        <w:rPr>
          <w:rFonts w:ascii="Arial" w:cs="Arial" w:eastAsia="Arial" w:hAnsi="Arial"/>
          <w:sz w:val="15"/>
          <w:szCs w:val="15"/>
          <w:color w:val="auto"/>
        </w:rPr>
        <w:t>portfolio. His former</w:t>
      </w:r>
    </w:p>
    <w:p>
      <w:pPr>
        <w:spacing w:after="0" w:line="226" w:lineRule="auto"/>
        <w:rPr>
          <w:sz w:val="20"/>
          <w:szCs w:val="20"/>
          <w:color w:val="auto"/>
        </w:rPr>
      </w:pPr>
      <w:r>
        <w:rPr>
          <w:rFonts w:ascii="Arial" w:cs="Arial" w:eastAsia="Arial" w:hAnsi="Arial"/>
          <w:sz w:val="15"/>
          <w:szCs w:val="15"/>
          <w:color w:val="auto"/>
        </w:rPr>
        <w:t>positions as CEO and</w:t>
      </w:r>
    </w:p>
    <w:p>
      <w:pPr>
        <w:spacing w:after="0" w:line="225" w:lineRule="auto"/>
        <w:rPr>
          <w:sz w:val="20"/>
          <w:szCs w:val="20"/>
          <w:color w:val="auto"/>
        </w:rPr>
      </w:pPr>
      <w:r>
        <w:rPr>
          <w:rFonts w:ascii="Arial" w:cs="Arial" w:eastAsia="Arial" w:hAnsi="Arial"/>
          <w:sz w:val="15"/>
          <w:szCs w:val="15"/>
          <w:color w:val="auto"/>
        </w:rPr>
        <w:t>CIO of a global large-</w:t>
      </w:r>
    </w:p>
    <w:p>
      <w:pPr>
        <w:spacing w:after="0" w:line="225" w:lineRule="auto"/>
        <w:rPr>
          <w:sz w:val="20"/>
          <w:szCs w:val="20"/>
          <w:color w:val="auto"/>
        </w:rPr>
      </w:pPr>
      <w:r>
        <w:rPr>
          <w:rFonts w:ascii="Arial" w:cs="Arial" w:eastAsia="Arial" w:hAnsi="Arial"/>
          <w:sz w:val="15"/>
          <w:szCs w:val="15"/>
          <w:color w:val="auto"/>
        </w:rPr>
        <w:t>cap insurance</w:t>
      </w:r>
    </w:p>
    <w:p>
      <w:pPr>
        <w:spacing w:after="0" w:line="226" w:lineRule="auto"/>
        <w:rPr>
          <w:sz w:val="20"/>
          <w:szCs w:val="20"/>
          <w:color w:val="auto"/>
        </w:rPr>
      </w:pPr>
      <w:r>
        <w:rPr>
          <w:rFonts w:ascii="Arial" w:cs="Arial" w:eastAsia="Arial" w:hAnsi="Arial"/>
          <w:sz w:val="15"/>
          <w:szCs w:val="15"/>
          <w:color w:val="auto"/>
        </w:rPr>
        <w:t>business, in addition to</w:t>
      </w:r>
    </w:p>
    <w:p>
      <w:pPr>
        <w:spacing w:after="0" w:line="225" w:lineRule="auto"/>
        <w:rPr>
          <w:sz w:val="20"/>
          <w:szCs w:val="20"/>
          <w:color w:val="auto"/>
        </w:rPr>
      </w:pPr>
      <w:r>
        <w:rPr>
          <w:rFonts w:ascii="Arial" w:cs="Arial" w:eastAsia="Arial" w:hAnsi="Arial"/>
          <w:sz w:val="15"/>
          <w:szCs w:val="15"/>
          <w:color w:val="auto"/>
        </w:rPr>
        <w:t>his previous work as a</w:t>
      </w:r>
    </w:p>
    <w:p>
      <w:pPr>
        <w:spacing w:after="0" w:line="226" w:lineRule="auto"/>
        <w:rPr>
          <w:sz w:val="20"/>
          <w:szCs w:val="20"/>
          <w:color w:val="auto"/>
        </w:rPr>
      </w:pPr>
      <w:r>
        <w:rPr>
          <w:rFonts w:ascii="Arial" w:cs="Arial" w:eastAsia="Arial" w:hAnsi="Arial"/>
          <w:sz w:val="15"/>
          <w:szCs w:val="15"/>
          <w:color w:val="auto"/>
        </w:rPr>
        <w:t>Federal regulator,</w:t>
      </w:r>
    </w:p>
    <w:p>
      <w:pPr>
        <w:spacing w:after="0" w:line="225" w:lineRule="auto"/>
        <w:rPr>
          <w:sz w:val="20"/>
          <w:szCs w:val="20"/>
          <w:color w:val="auto"/>
        </w:rPr>
      </w:pPr>
      <w:r>
        <w:rPr>
          <w:rFonts w:ascii="Arial" w:cs="Arial" w:eastAsia="Arial" w:hAnsi="Arial"/>
          <w:sz w:val="15"/>
          <w:szCs w:val="15"/>
          <w:color w:val="auto"/>
        </w:rPr>
        <w:t>provide the Board with</w:t>
      </w:r>
    </w:p>
    <w:p>
      <w:pPr>
        <w:spacing w:after="0" w:line="226" w:lineRule="auto"/>
        <w:rPr>
          <w:sz w:val="20"/>
          <w:szCs w:val="20"/>
          <w:color w:val="auto"/>
        </w:rPr>
      </w:pPr>
      <w:r>
        <w:rPr>
          <w:rFonts w:ascii="Arial" w:cs="Arial" w:eastAsia="Arial" w:hAnsi="Arial"/>
          <w:sz w:val="15"/>
          <w:szCs w:val="15"/>
          <w:color w:val="auto"/>
        </w:rPr>
        <w:t>critical insights related</w:t>
      </w:r>
    </w:p>
    <w:p>
      <w:pPr>
        <w:spacing w:after="0" w:line="225" w:lineRule="auto"/>
        <w:rPr>
          <w:sz w:val="20"/>
          <w:szCs w:val="20"/>
          <w:color w:val="auto"/>
        </w:rPr>
      </w:pPr>
      <w:r>
        <w:rPr>
          <w:rFonts w:ascii="Arial" w:cs="Arial" w:eastAsia="Arial" w:hAnsi="Arial"/>
          <w:sz w:val="15"/>
          <w:szCs w:val="15"/>
          <w:color w:val="auto"/>
        </w:rPr>
        <w:t>to geopolitical risks,</w:t>
      </w:r>
    </w:p>
    <w:p>
      <w:pPr>
        <w:spacing w:after="0" w:line="225" w:lineRule="auto"/>
        <w:rPr>
          <w:sz w:val="20"/>
          <w:szCs w:val="20"/>
          <w:color w:val="auto"/>
        </w:rPr>
      </w:pPr>
      <w:r>
        <w:rPr>
          <w:rFonts w:ascii="Arial" w:cs="Arial" w:eastAsia="Arial" w:hAnsi="Arial"/>
          <w:sz w:val="15"/>
          <w:szCs w:val="15"/>
          <w:color w:val="auto"/>
        </w:rPr>
        <w:t>government</w:t>
      </w:r>
    </w:p>
    <w:p>
      <w:pPr>
        <w:spacing w:after="0" w:line="226" w:lineRule="auto"/>
        <w:rPr>
          <w:sz w:val="20"/>
          <w:szCs w:val="20"/>
          <w:color w:val="auto"/>
        </w:rPr>
      </w:pPr>
      <w:r>
        <w:rPr>
          <w:rFonts w:ascii="Arial" w:cs="Arial" w:eastAsia="Arial" w:hAnsi="Arial"/>
          <w:sz w:val="15"/>
          <w:szCs w:val="15"/>
          <w:color w:val="auto"/>
        </w:rPr>
        <w:t>engagement, and risk</w:t>
      </w:r>
    </w:p>
    <w:p>
      <w:pPr>
        <w:spacing w:after="0"/>
        <w:rPr>
          <w:sz w:val="20"/>
          <w:szCs w:val="20"/>
          <w:color w:val="auto"/>
        </w:rPr>
      </w:pPr>
      <w:r>
        <w:rPr>
          <w:rFonts w:ascii="Arial" w:cs="Arial" w:eastAsia="Arial" w:hAnsi="Arial"/>
          <w:sz w:val="15"/>
          <w:szCs w:val="15"/>
          <w:color w:val="auto"/>
        </w:rPr>
        <w:t>management.</w:t>
      </w:r>
    </w:p>
    <w:p>
      <w:pPr>
        <w:spacing w:after="0" w:line="162" w:lineRule="exact"/>
        <w:rPr>
          <w:sz w:val="20"/>
          <w:szCs w:val="20"/>
          <w:color w:val="auto"/>
        </w:rPr>
      </w:pPr>
    </w:p>
    <w:tbl>
      <w:tblPr>
        <w:tblLayout w:type="fixed"/>
        <w:tblInd w:w="602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5034280</wp:posOffset>
            </wp:positionH>
            <wp:positionV relativeFrom="paragraph">
              <wp:posOffset>-139065</wp:posOffset>
            </wp:positionV>
            <wp:extent cx="737235" cy="1454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9620"/>
          </w:cols>
          <w:pgMar w:left="1080" w:top="147" w:right="11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208280</wp:posOffset>
            </wp:positionV>
            <wp:extent cx="822960" cy="12001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22960" cy="120015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208280</wp:posOffset>
            </wp:positionV>
            <wp:extent cx="3351530" cy="12001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5153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Director &amp; key</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62230</wp:posOffset>
            </wp:positionV>
            <wp:extent cx="5923280" cy="84264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923280" cy="8426450"/>
                    </a:xfrm>
                    <a:prstGeom prst="rect">
                      <a:avLst/>
                    </a:prstGeom>
                    <a:noFill/>
                  </pic:spPr>
                </pic:pic>
              </a:graphicData>
            </a:graphic>
          </wp:anchor>
        </w:drawing>
      </w:r>
    </w:p>
    <w:p>
      <w:pPr>
        <w:spacing w:after="0" w:line="85"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Alexander A. Karsner</w:t>
      </w:r>
    </w:p>
    <w:p>
      <w:pPr>
        <w:ind w:left="760"/>
        <w:spacing w:after="0" w:line="233" w:lineRule="auto"/>
        <w:rPr>
          <w:sz w:val="20"/>
          <w:szCs w:val="20"/>
          <w:color w:val="auto"/>
        </w:rPr>
      </w:pPr>
      <w:r>
        <w:rPr>
          <w:rFonts w:ascii="Arial" w:cs="Arial" w:eastAsia="Arial" w:hAnsi="Arial"/>
          <w:sz w:val="15"/>
          <w:szCs w:val="15"/>
          <w:color w:val="auto"/>
        </w:rPr>
        <w:t>Mr. Karsner’s energy</w:t>
      </w:r>
    </w:p>
    <w:p>
      <w:pPr>
        <w:ind w:left="760"/>
        <w:spacing w:after="0" w:line="225" w:lineRule="auto"/>
        <w:rPr>
          <w:sz w:val="20"/>
          <w:szCs w:val="20"/>
          <w:color w:val="auto"/>
        </w:rPr>
      </w:pPr>
      <w:r>
        <w:rPr>
          <w:rFonts w:ascii="Arial" w:cs="Arial" w:eastAsia="Arial" w:hAnsi="Arial"/>
          <w:sz w:val="15"/>
          <w:szCs w:val="15"/>
          <w:color w:val="auto"/>
        </w:rPr>
        <w:t>policy and diplomacy</w:t>
      </w:r>
    </w:p>
    <w:p>
      <w:pPr>
        <w:ind w:left="760"/>
        <w:spacing w:after="0" w:line="225" w:lineRule="auto"/>
        <w:rPr>
          <w:sz w:val="20"/>
          <w:szCs w:val="20"/>
          <w:color w:val="auto"/>
        </w:rPr>
      </w:pPr>
      <w:r>
        <w:rPr>
          <w:rFonts w:ascii="Arial" w:cs="Arial" w:eastAsia="Arial" w:hAnsi="Arial"/>
          <w:sz w:val="15"/>
          <w:szCs w:val="15"/>
          <w:color w:val="auto"/>
        </w:rPr>
        <w:t>experience, in addition</w:t>
      </w:r>
    </w:p>
    <w:p>
      <w:pPr>
        <w:ind w:left="760"/>
        <w:spacing w:after="0" w:line="226" w:lineRule="auto"/>
        <w:rPr>
          <w:sz w:val="20"/>
          <w:szCs w:val="20"/>
          <w:color w:val="auto"/>
        </w:rPr>
      </w:pPr>
      <w:r>
        <w:rPr>
          <w:rFonts w:ascii="Arial" w:cs="Arial" w:eastAsia="Arial" w:hAnsi="Arial"/>
          <w:sz w:val="15"/>
          <w:szCs w:val="15"/>
          <w:color w:val="auto"/>
        </w:rPr>
        <w:t>to his background in</w:t>
      </w:r>
    </w:p>
    <w:p>
      <w:pPr>
        <w:ind w:left="760"/>
        <w:spacing w:after="0" w:line="225" w:lineRule="auto"/>
        <w:rPr>
          <w:sz w:val="20"/>
          <w:szCs w:val="20"/>
          <w:color w:val="auto"/>
        </w:rPr>
      </w:pPr>
      <w:r>
        <w:rPr>
          <w:rFonts w:ascii="Arial" w:cs="Arial" w:eastAsia="Arial" w:hAnsi="Arial"/>
          <w:sz w:val="15"/>
          <w:szCs w:val="15"/>
          <w:color w:val="auto"/>
        </w:rPr>
        <w:t>commercializing</w:t>
      </w:r>
    </w:p>
    <w:p>
      <w:pPr>
        <w:ind w:left="760"/>
        <w:spacing w:after="0" w:line="226" w:lineRule="auto"/>
        <w:rPr>
          <w:sz w:val="20"/>
          <w:szCs w:val="20"/>
          <w:color w:val="auto"/>
        </w:rPr>
      </w:pPr>
      <w:r>
        <w:rPr>
          <w:rFonts w:ascii="Arial" w:cs="Arial" w:eastAsia="Arial" w:hAnsi="Arial"/>
          <w:sz w:val="15"/>
          <w:szCs w:val="15"/>
          <w:color w:val="auto"/>
        </w:rPr>
        <w:t>breakthrough energy</w:t>
      </w:r>
    </w:p>
    <w:p>
      <w:pPr>
        <w:ind w:left="760"/>
        <w:spacing w:after="0" w:line="225" w:lineRule="auto"/>
        <w:rPr>
          <w:sz w:val="20"/>
          <w:szCs w:val="20"/>
          <w:color w:val="auto"/>
        </w:rPr>
      </w:pPr>
      <w:r>
        <w:rPr>
          <w:rFonts w:ascii="Arial" w:cs="Arial" w:eastAsia="Arial" w:hAnsi="Arial"/>
          <w:sz w:val="15"/>
          <w:szCs w:val="15"/>
          <w:color w:val="auto"/>
        </w:rPr>
        <w:t>technologies, provides</w:t>
      </w:r>
    </w:p>
    <w:p>
      <w:pPr>
        <w:ind w:left="760"/>
        <w:spacing w:after="0" w:line="225" w:lineRule="auto"/>
        <w:rPr>
          <w:sz w:val="20"/>
          <w:szCs w:val="20"/>
          <w:color w:val="auto"/>
        </w:rPr>
      </w:pPr>
      <w:r>
        <w:rPr>
          <w:rFonts w:ascii="Arial" w:cs="Arial" w:eastAsia="Arial" w:hAnsi="Arial"/>
          <w:sz w:val="15"/>
          <w:szCs w:val="15"/>
          <w:color w:val="auto"/>
        </w:rPr>
        <w:t>the Board with</w:t>
      </w:r>
    </w:p>
    <w:p>
      <w:pPr>
        <w:ind w:left="760"/>
        <w:spacing w:after="0" w:line="226" w:lineRule="auto"/>
        <w:rPr>
          <w:sz w:val="20"/>
          <w:szCs w:val="20"/>
          <w:color w:val="auto"/>
        </w:rPr>
      </w:pPr>
      <w:r>
        <w:rPr>
          <w:rFonts w:ascii="Arial" w:cs="Arial" w:eastAsia="Arial" w:hAnsi="Arial"/>
          <w:sz w:val="15"/>
          <w:szCs w:val="15"/>
          <w:color w:val="auto"/>
        </w:rPr>
        <w:t>important perspectives</w:t>
      </w:r>
    </w:p>
    <w:p>
      <w:pPr>
        <w:ind w:left="760"/>
        <w:spacing w:after="0" w:line="225" w:lineRule="auto"/>
        <w:rPr>
          <w:sz w:val="20"/>
          <w:szCs w:val="20"/>
          <w:color w:val="auto"/>
        </w:rPr>
      </w:pPr>
      <w:r>
        <w:rPr>
          <w:rFonts w:ascii="Arial" w:cs="Arial" w:eastAsia="Arial" w:hAnsi="Arial"/>
          <w:sz w:val="15"/>
          <w:szCs w:val="15"/>
          <w:color w:val="auto"/>
        </w:rPr>
        <w:t>on geopolitical risks</w:t>
      </w:r>
    </w:p>
    <w:p>
      <w:pPr>
        <w:ind w:left="760"/>
        <w:spacing w:after="0" w:line="226" w:lineRule="auto"/>
        <w:rPr>
          <w:sz w:val="20"/>
          <w:szCs w:val="20"/>
          <w:color w:val="auto"/>
        </w:rPr>
      </w:pPr>
      <w:r>
        <w:rPr>
          <w:rFonts w:ascii="Arial" w:cs="Arial" w:eastAsia="Arial" w:hAnsi="Arial"/>
          <w:sz w:val="15"/>
          <w:szCs w:val="15"/>
          <w:color w:val="auto"/>
        </w:rPr>
        <w:t>and investment</w:t>
      </w:r>
    </w:p>
    <w:p>
      <w:pPr>
        <w:ind w:left="760"/>
        <w:spacing w:after="0" w:line="225" w:lineRule="auto"/>
        <w:rPr>
          <w:sz w:val="20"/>
          <w:szCs w:val="20"/>
          <w:color w:val="auto"/>
        </w:rPr>
      </w:pPr>
      <w:r>
        <w:rPr>
          <w:rFonts w:ascii="Arial" w:cs="Arial" w:eastAsia="Arial" w:hAnsi="Arial"/>
          <w:sz w:val="15"/>
          <w:szCs w:val="15"/>
          <w:color w:val="auto"/>
        </w:rPr>
        <w:t>opportunities for</w:t>
      </w:r>
    </w:p>
    <w:p>
      <w:pPr>
        <w:ind w:left="760"/>
        <w:spacing w:after="0" w:line="226" w:lineRule="auto"/>
        <w:rPr>
          <w:sz w:val="20"/>
          <w:szCs w:val="20"/>
          <w:color w:val="auto"/>
        </w:rPr>
      </w:pPr>
      <w:r>
        <w:rPr>
          <w:rFonts w:ascii="Arial" w:cs="Arial" w:eastAsia="Arial" w:hAnsi="Arial"/>
          <w:sz w:val="15"/>
          <w:szCs w:val="15"/>
          <w:color w:val="auto"/>
        </w:rPr>
        <w:t>profitably managing the</w:t>
      </w:r>
    </w:p>
    <w:p>
      <w:pPr>
        <w:ind w:left="760"/>
        <w:spacing w:after="0" w:line="225" w:lineRule="auto"/>
        <w:rPr>
          <w:sz w:val="20"/>
          <w:szCs w:val="20"/>
          <w:color w:val="auto"/>
        </w:rPr>
      </w:pPr>
      <w:r>
        <w:rPr>
          <w:rFonts w:ascii="Arial" w:cs="Arial" w:eastAsia="Arial" w:hAnsi="Arial"/>
          <w:sz w:val="15"/>
          <w:szCs w:val="15"/>
          <w:color w:val="auto"/>
        </w:rPr>
        <w:t>energy transition. Mr.</w:t>
      </w:r>
    </w:p>
    <w:p>
      <w:pPr>
        <w:ind w:left="760"/>
        <w:spacing w:after="0" w:line="225" w:lineRule="auto"/>
        <w:rPr>
          <w:sz w:val="20"/>
          <w:szCs w:val="20"/>
          <w:color w:val="auto"/>
        </w:rPr>
      </w:pPr>
      <w:r>
        <w:rPr>
          <w:rFonts w:ascii="Arial" w:cs="Arial" w:eastAsia="Arial" w:hAnsi="Arial"/>
          <w:sz w:val="15"/>
          <w:szCs w:val="15"/>
          <w:color w:val="auto"/>
        </w:rPr>
        <w:t>Karsner’s public</w:t>
      </w:r>
    </w:p>
    <w:p>
      <w:pPr>
        <w:ind w:left="760"/>
        <w:spacing w:after="0" w:line="226" w:lineRule="auto"/>
        <w:rPr>
          <w:sz w:val="20"/>
          <w:szCs w:val="20"/>
          <w:color w:val="auto"/>
        </w:rPr>
      </w:pPr>
      <w:r>
        <w:rPr>
          <w:rFonts w:ascii="Arial" w:cs="Arial" w:eastAsia="Arial" w:hAnsi="Arial"/>
          <w:sz w:val="15"/>
          <w:szCs w:val="15"/>
          <w:color w:val="auto"/>
        </w:rPr>
        <w:t>service as U.S.</w:t>
      </w:r>
    </w:p>
    <w:p>
      <w:pPr>
        <w:ind w:left="760"/>
        <w:spacing w:after="0" w:line="225" w:lineRule="auto"/>
        <w:rPr>
          <w:sz w:val="20"/>
          <w:szCs w:val="20"/>
          <w:color w:val="auto"/>
        </w:rPr>
      </w:pPr>
      <w:r>
        <w:rPr>
          <w:rFonts w:ascii="Arial" w:cs="Arial" w:eastAsia="Arial" w:hAnsi="Arial"/>
          <w:sz w:val="15"/>
          <w:szCs w:val="15"/>
          <w:color w:val="auto"/>
        </w:rPr>
        <w:t>Assistant Secretary of</w:t>
      </w:r>
    </w:p>
    <w:p>
      <w:pPr>
        <w:ind w:left="760"/>
        <w:spacing w:after="0" w:line="226" w:lineRule="auto"/>
        <w:rPr>
          <w:sz w:val="20"/>
          <w:szCs w:val="20"/>
          <w:color w:val="auto"/>
        </w:rPr>
      </w:pPr>
      <w:r>
        <w:rPr>
          <w:rFonts w:ascii="Arial" w:cs="Arial" w:eastAsia="Arial" w:hAnsi="Arial"/>
          <w:sz w:val="15"/>
          <w:szCs w:val="15"/>
          <w:color w:val="auto"/>
        </w:rPr>
        <w:t>Energy, a senior</w:t>
      </w:r>
    </w:p>
    <w:p>
      <w:pPr>
        <w:ind w:left="760"/>
        <w:spacing w:after="0" w:line="225" w:lineRule="auto"/>
        <w:rPr>
          <w:sz w:val="20"/>
          <w:szCs w:val="20"/>
          <w:color w:val="auto"/>
        </w:rPr>
      </w:pPr>
      <w:r>
        <w:rPr>
          <w:rFonts w:ascii="Arial" w:cs="Arial" w:eastAsia="Arial" w:hAnsi="Arial"/>
          <w:sz w:val="15"/>
          <w:szCs w:val="15"/>
          <w:color w:val="auto"/>
        </w:rPr>
        <w:t>regulatory official, and</w:t>
      </w:r>
    </w:p>
    <w:p>
      <w:pPr>
        <w:ind w:left="760"/>
        <w:spacing w:after="0" w:line="225" w:lineRule="auto"/>
        <w:rPr>
          <w:sz w:val="20"/>
          <w:szCs w:val="20"/>
          <w:color w:val="auto"/>
        </w:rPr>
      </w:pPr>
      <w:r>
        <w:rPr>
          <w:rFonts w:ascii="Arial" w:cs="Arial" w:eastAsia="Arial" w:hAnsi="Arial"/>
          <w:sz w:val="15"/>
          <w:szCs w:val="15"/>
          <w:color w:val="auto"/>
        </w:rPr>
        <w:t>a principal U.S.</w:t>
      </w:r>
    </w:p>
    <w:p>
      <w:pPr>
        <w:ind w:left="760"/>
        <w:spacing w:after="0" w:line="226" w:lineRule="auto"/>
        <w:rPr>
          <w:sz w:val="20"/>
          <w:szCs w:val="20"/>
          <w:color w:val="auto"/>
        </w:rPr>
      </w:pPr>
      <w:r>
        <w:rPr>
          <w:rFonts w:ascii="Arial" w:cs="Arial" w:eastAsia="Arial" w:hAnsi="Arial"/>
          <w:sz w:val="15"/>
          <w:szCs w:val="15"/>
          <w:color w:val="auto"/>
        </w:rPr>
        <w:t>negotiator to the UN</w:t>
      </w:r>
    </w:p>
    <w:p>
      <w:pPr>
        <w:ind w:left="760"/>
        <w:spacing w:after="0" w:line="225" w:lineRule="auto"/>
        <w:rPr>
          <w:sz w:val="20"/>
          <w:szCs w:val="20"/>
          <w:color w:val="auto"/>
        </w:rPr>
      </w:pPr>
      <w:r>
        <w:rPr>
          <w:rFonts w:ascii="Arial" w:cs="Arial" w:eastAsia="Arial" w:hAnsi="Arial"/>
          <w:sz w:val="15"/>
          <w:szCs w:val="15"/>
          <w:color w:val="auto"/>
        </w:rPr>
        <w:t>Framework Convention</w:t>
      </w:r>
    </w:p>
    <w:p>
      <w:pPr>
        <w:ind w:left="760"/>
        <w:spacing w:after="0" w:line="226" w:lineRule="auto"/>
        <w:rPr>
          <w:sz w:val="20"/>
          <w:szCs w:val="20"/>
          <w:color w:val="auto"/>
        </w:rPr>
      </w:pPr>
      <w:r>
        <w:rPr>
          <w:rFonts w:ascii="Arial" w:cs="Arial" w:eastAsia="Arial" w:hAnsi="Arial"/>
          <w:sz w:val="15"/>
          <w:szCs w:val="15"/>
          <w:color w:val="auto"/>
        </w:rPr>
        <w:t>on Climate Change,</w:t>
      </w:r>
    </w:p>
    <w:p>
      <w:pPr>
        <w:ind w:left="760"/>
        <w:spacing w:after="0" w:line="225" w:lineRule="auto"/>
        <w:rPr>
          <w:sz w:val="20"/>
          <w:szCs w:val="20"/>
          <w:color w:val="auto"/>
        </w:rPr>
      </w:pPr>
      <w:r>
        <w:rPr>
          <w:rFonts w:ascii="Arial" w:cs="Arial" w:eastAsia="Arial" w:hAnsi="Arial"/>
          <w:sz w:val="15"/>
          <w:szCs w:val="15"/>
          <w:color w:val="auto"/>
        </w:rPr>
        <w:t>contributes an in-depth</w:t>
      </w:r>
    </w:p>
    <w:p>
      <w:pPr>
        <w:ind w:left="760"/>
        <w:spacing w:after="0" w:line="226" w:lineRule="auto"/>
        <w:rPr>
          <w:sz w:val="20"/>
          <w:szCs w:val="20"/>
          <w:color w:val="auto"/>
        </w:rPr>
      </w:pPr>
      <w:r>
        <w:rPr>
          <w:rFonts w:ascii="Arial" w:cs="Arial" w:eastAsia="Arial" w:hAnsi="Arial"/>
          <w:sz w:val="15"/>
          <w:szCs w:val="15"/>
          <w:color w:val="auto"/>
        </w:rPr>
        <w:t>understanding of U.S.</w:t>
      </w:r>
    </w:p>
    <w:p>
      <w:pPr>
        <w:ind w:left="760"/>
        <w:spacing w:after="0" w:line="225" w:lineRule="auto"/>
        <w:rPr>
          <w:sz w:val="20"/>
          <w:szCs w:val="20"/>
          <w:color w:val="auto"/>
        </w:rPr>
      </w:pPr>
      <w:r>
        <w:rPr>
          <w:rFonts w:ascii="Arial" w:cs="Arial" w:eastAsia="Arial" w:hAnsi="Arial"/>
          <w:sz w:val="15"/>
          <w:szCs w:val="15"/>
          <w:color w:val="auto"/>
        </w:rPr>
        <w:t>and international</w:t>
      </w:r>
    </w:p>
    <w:p>
      <w:pPr>
        <w:ind w:left="760"/>
        <w:spacing w:after="0" w:line="225" w:lineRule="auto"/>
        <w:rPr>
          <w:sz w:val="20"/>
          <w:szCs w:val="20"/>
          <w:color w:val="auto"/>
        </w:rPr>
      </w:pPr>
      <w:r>
        <w:rPr>
          <w:rFonts w:ascii="Arial" w:cs="Arial" w:eastAsia="Arial" w:hAnsi="Arial"/>
          <w:sz w:val="15"/>
          <w:szCs w:val="15"/>
          <w:color w:val="auto"/>
        </w:rPr>
        <w:t>energy policy. His</w:t>
      </w:r>
    </w:p>
    <w:p>
      <w:pPr>
        <w:ind w:left="760"/>
        <w:spacing w:after="0" w:line="226" w:lineRule="auto"/>
        <w:rPr>
          <w:sz w:val="20"/>
          <w:szCs w:val="20"/>
          <w:color w:val="auto"/>
        </w:rPr>
      </w:pPr>
      <w:r>
        <w:rPr>
          <w:rFonts w:ascii="Arial" w:cs="Arial" w:eastAsia="Arial" w:hAnsi="Arial"/>
          <w:sz w:val="15"/>
          <w:szCs w:val="15"/>
          <w:color w:val="auto"/>
        </w:rPr>
        <w:t>energy sector</w:t>
      </w:r>
    </w:p>
    <w:p>
      <w:pPr>
        <w:ind w:left="760"/>
        <w:spacing w:after="0" w:line="225" w:lineRule="auto"/>
        <w:rPr>
          <w:sz w:val="20"/>
          <w:szCs w:val="20"/>
          <w:color w:val="auto"/>
        </w:rPr>
      </w:pPr>
      <w:r>
        <w:rPr>
          <w:rFonts w:ascii="Arial" w:cs="Arial" w:eastAsia="Arial" w:hAnsi="Arial"/>
          <w:sz w:val="15"/>
          <w:szCs w:val="15"/>
          <w:color w:val="auto"/>
        </w:rPr>
        <w:t>experience, including</w:t>
      </w:r>
    </w:p>
    <w:p>
      <w:pPr>
        <w:ind w:left="760"/>
        <w:spacing w:after="0" w:line="226" w:lineRule="auto"/>
        <w:rPr>
          <w:sz w:val="20"/>
          <w:szCs w:val="20"/>
          <w:color w:val="auto"/>
        </w:rPr>
      </w:pPr>
      <w:r>
        <w:rPr>
          <w:rFonts w:ascii="Arial" w:cs="Arial" w:eastAsia="Arial" w:hAnsi="Arial"/>
          <w:sz w:val="15"/>
          <w:szCs w:val="15"/>
          <w:color w:val="auto"/>
        </w:rPr>
        <w:t>energy infrastructure</w:t>
      </w:r>
    </w:p>
    <w:p>
      <w:pPr>
        <w:ind w:left="760"/>
        <w:spacing w:after="0" w:line="225" w:lineRule="auto"/>
        <w:rPr>
          <w:sz w:val="20"/>
          <w:szCs w:val="20"/>
          <w:color w:val="auto"/>
        </w:rPr>
      </w:pPr>
      <w:r>
        <w:rPr>
          <w:rFonts w:ascii="Arial" w:cs="Arial" w:eastAsia="Arial" w:hAnsi="Arial"/>
          <w:sz w:val="15"/>
          <w:szCs w:val="15"/>
          <w:color w:val="auto"/>
        </w:rPr>
        <w:t>development in</w:t>
      </w:r>
    </w:p>
    <w:p>
      <w:pPr>
        <w:ind w:left="760"/>
        <w:spacing w:after="0" w:line="225" w:lineRule="auto"/>
        <w:rPr>
          <w:sz w:val="20"/>
          <w:szCs w:val="20"/>
          <w:color w:val="auto"/>
        </w:rPr>
      </w:pPr>
      <w:r>
        <w:rPr>
          <w:rFonts w:ascii="Arial" w:cs="Arial" w:eastAsia="Arial" w:hAnsi="Arial"/>
          <w:sz w:val="15"/>
          <w:szCs w:val="15"/>
          <w:color w:val="auto"/>
        </w:rPr>
        <w:t>emerging markets,</w:t>
      </w:r>
    </w:p>
    <w:p>
      <w:pPr>
        <w:ind w:left="760"/>
        <w:spacing w:after="0" w:line="226" w:lineRule="auto"/>
        <w:rPr>
          <w:sz w:val="20"/>
          <w:szCs w:val="20"/>
          <w:color w:val="auto"/>
        </w:rPr>
      </w:pPr>
      <w:r>
        <w:rPr>
          <w:rFonts w:ascii="Arial" w:cs="Arial" w:eastAsia="Arial" w:hAnsi="Arial"/>
          <w:sz w:val="15"/>
          <w:szCs w:val="15"/>
          <w:color w:val="auto"/>
        </w:rPr>
        <w:t>helps the Board better</w:t>
      </w:r>
    </w:p>
    <w:p>
      <w:pPr>
        <w:ind w:left="760"/>
        <w:spacing w:after="0" w:line="225" w:lineRule="auto"/>
        <w:rPr>
          <w:sz w:val="20"/>
          <w:szCs w:val="20"/>
          <w:color w:val="auto"/>
        </w:rPr>
      </w:pPr>
      <w:r>
        <w:rPr>
          <w:rFonts w:ascii="Arial" w:cs="Arial" w:eastAsia="Arial" w:hAnsi="Arial"/>
          <w:sz w:val="15"/>
          <w:szCs w:val="15"/>
          <w:color w:val="auto"/>
        </w:rPr>
        <w:t>understand public- and</w:t>
      </w:r>
    </w:p>
    <w:p>
      <w:pPr>
        <w:ind w:left="760"/>
        <w:spacing w:after="0" w:line="226" w:lineRule="auto"/>
        <w:rPr>
          <w:sz w:val="20"/>
          <w:szCs w:val="20"/>
          <w:color w:val="auto"/>
        </w:rPr>
      </w:pPr>
      <w:r>
        <w:rPr>
          <w:rFonts w:ascii="Arial" w:cs="Arial" w:eastAsia="Arial" w:hAnsi="Arial"/>
          <w:sz w:val="15"/>
          <w:szCs w:val="15"/>
          <w:color w:val="auto"/>
        </w:rPr>
        <w:t>private-sector</w:t>
      </w:r>
    </w:p>
    <w:p>
      <w:pPr>
        <w:ind w:left="760"/>
        <w:spacing w:after="0" w:line="225" w:lineRule="auto"/>
        <w:rPr>
          <w:sz w:val="20"/>
          <w:szCs w:val="20"/>
          <w:color w:val="auto"/>
        </w:rPr>
      </w:pPr>
      <w:r>
        <w:rPr>
          <w:rFonts w:ascii="Arial" w:cs="Arial" w:eastAsia="Arial" w:hAnsi="Arial"/>
          <w:sz w:val="15"/>
          <w:szCs w:val="15"/>
          <w:color w:val="auto"/>
        </w:rPr>
        <w:t>considerations when</w:t>
      </w:r>
    </w:p>
    <w:p>
      <w:pPr>
        <w:ind w:left="760"/>
        <w:spacing w:after="0"/>
        <w:rPr>
          <w:sz w:val="20"/>
          <w:szCs w:val="20"/>
          <w:color w:val="auto"/>
        </w:rPr>
      </w:pPr>
      <w:r>
        <w:rPr>
          <w:rFonts w:ascii="Arial" w:cs="Arial" w:eastAsia="Arial" w:hAnsi="Arial"/>
          <w:sz w:val="15"/>
          <w:szCs w:val="15"/>
          <w:color w:val="auto"/>
        </w:rPr>
        <w:t>executing its strategy.</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Lawrence W. Kellner</w:t>
      </w:r>
    </w:p>
    <w:p>
      <w:pPr>
        <w:ind w:left="760"/>
        <w:spacing w:after="0" w:line="233" w:lineRule="auto"/>
        <w:rPr>
          <w:sz w:val="20"/>
          <w:szCs w:val="20"/>
          <w:color w:val="auto"/>
        </w:rPr>
      </w:pPr>
      <w:r>
        <w:rPr>
          <w:rFonts w:ascii="Arial" w:cs="Arial" w:eastAsia="Arial" w:hAnsi="Arial"/>
          <w:sz w:val="15"/>
          <w:szCs w:val="15"/>
          <w:color w:val="auto"/>
        </w:rPr>
        <w:t>Mr. Kellner brings</w:t>
      </w:r>
    </w:p>
    <w:p>
      <w:pPr>
        <w:ind w:left="760"/>
        <w:spacing w:after="0" w:line="225" w:lineRule="auto"/>
        <w:rPr>
          <w:sz w:val="20"/>
          <w:szCs w:val="20"/>
          <w:color w:val="auto"/>
        </w:rPr>
      </w:pPr>
      <w:r>
        <w:rPr>
          <w:rFonts w:ascii="Arial" w:cs="Arial" w:eastAsia="Arial" w:hAnsi="Arial"/>
          <w:sz w:val="15"/>
          <w:szCs w:val="15"/>
          <w:color w:val="auto"/>
        </w:rPr>
        <w:t>extensive experience</w:t>
      </w:r>
    </w:p>
    <w:p>
      <w:pPr>
        <w:ind w:left="760"/>
        <w:spacing w:after="0" w:line="225" w:lineRule="auto"/>
        <w:rPr>
          <w:sz w:val="20"/>
          <w:szCs w:val="20"/>
          <w:color w:val="auto"/>
        </w:rPr>
      </w:pPr>
      <w:r>
        <w:rPr>
          <w:rFonts w:ascii="Arial" w:cs="Arial" w:eastAsia="Arial" w:hAnsi="Arial"/>
          <w:sz w:val="15"/>
          <w:szCs w:val="15"/>
          <w:color w:val="auto"/>
        </w:rPr>
        <w:t>in a highly regulated</w:t>
      </w:r>
    </w:p>
    <w:p>
      <w:pPr>
        <w:ind w:left="760"/>
        <w:spacing w:after="0" w:line="226" w:lineRule="auto"/>
        <w:rPr>
          <w:sz w:val="20"/>
          <w:szCs w:val="20"/>
          <w:color w:val="auto"/>
        </w:rPr>
      </w:pPr>
      <w:r>
        <w:rPr>
          <w:rFonts w:ascii="Arial" w:cs="Arial" w:eastAsia="Arial" w:hAnsi="Arial"/>
          <w:sz w:val="15"/>
          <w:szCs w:val="15"/>
          <w:color w:val="auto"/>
        </w:rPr>
        <w:t>and capital-intensive</w:t>
      </w:r>
    </w:p>
    <w:p>
      <w:pPr>
        <w:ind w:left="760"/>
        <w:spacing w:after="0" w:line="225" w:lineRule="auto"/>
        <w:rPr>
          <w:sz w:val="20"/>
          <w:szCs w:val="20"/>
          <w:color w:val="auto"/>
        </w:rPr>
      </w:pPr>
      <w:r>
        <w:rPr>
          <w:rFonts w:ascii="Arial" w:cs="Arial" w:eastAsia="Arial" w:hAnsi="Arial"/>
          <w:sz w:val="15"/>
          <w:szCs w:val="15"/>
          <w:color w:val="auto"/>
        </w:rPr>
        <w:t>industry, having served</w:t>
      </w:r>
    </w:p>
    <w:p>
      <w:pPr>
        <w:ind w:left="760"/>
        <w:spacing w:after="0" w:line="226" w:lineRule="auto"/>
        <w:rPr>
          <w:sz w:val="20"/>
          <w:szCs w:val="20"/>
          <w:color w:val="auto"/>
        </w:rPr>
      </w:pPr>
      <w:r>
        <w:rPr>
          <w:rFonts w:ascii="Arial" w:cs="Arial" w:eastAsia="Arial" w:hAnsi="Arial"/>
          <w:sz w:val="15"/>
          <w:szCs w:val="15"/>
          <w:color w:val="auto"/>
        </w:rPr>
        <w:t>as CEO, COO, and</w:t>
      </w:r>
    </w:p>
    <w:p>
      <w:pPr>
        <w:ind w:left="760"/>
        <w:spacing w:after="0" w:line="225" w:lineRule="auto"/>
        <w:rPr>
          <w:sz w:val="20"/>
          <w:szCs w:val="20"/>
          <w:color w:val="auto"/>
        </w:rPr>
      </w:pPr>
      <w:r>
        <w:rPr>
          <w:rFonts w:ascii="Arial" w:cs="Arial" w:eastAsia="Arial" w:hAnsi="Arial"/>
          <w:sz w:val="15"/>
          <w:szCs w:val="15"/>
          <w:color w:val="auto"/>
        </w:rPr>
        <w:t>Chair of Continental</w:t>
      </w:r>
    </w:p>
    <w:p>
      <w:pPr>
        <w:ind w:left="760"/>
        <w:spacing w:after="0" w:line="225" w:lineRule="auto"/>
        <w:rPr>
          <w:sz w:val="20"/>
          <w:szCs w:val="20"/>
          <w:color w:val="auto"/>
        </w:rPr>
      </w:pPr>
      <w:r>
        <w:rPr>
          <w:rFonts w:ascii="Arial" w:cs="Arial" w:eastAsia="Arial" w:hAnsi="Arial"/>
          <w:sz w:val="15"/>
          <w:szCs w:val="15"/>
          <w:color w:val="auto"/>
        </w:rPr>
        <w:t>Airlines. Mr. Kellner’s</w:t>
      </w:r>
    </w:p>
    <w:p>
      <w:pPr>
        <w:ind w:left="760"/>
        <w:spacing w:after="0" w:line="226" w:lineRule="auto"/>
        <w:rPr>
          <w:sz w:val="20"/>
          <w:szCs w:val="20"/>
          <w:color w:val="auto"/>
        </w:rPr>
      </w:pPr>
      <w:r>
        <w:rPr>
          <w:rFonts w:ascii="Arial" w:cs="Arial" w:eastAsia="Arial" w:hAnsi="Arial"/>
          <w:sz w:val="15"/>
          <w:szCs w:val="15"/>
          <w:color w:val="auto"/>
        </w:rPr>
        <w:t>deep operational</w:t>
      </w:r>
    </w:p>
    <w:p>
      <w:pPr>
        <w:ind w:left="760"/>
        <w:spacing w:after="0" w:line="225" w:lineRule="auto"/>
        <w:rPr>
          <w:sz w:val="20"/>
          <w:szCs w:val="20"/>
          <w:color w:val="auto"/>
        </w:rPr>
      </w:pPr>
      <w:r>
        <w:rPr>
          <w:rFonts w:ascii="Arial" w:cs="Arial" w:eastAsia="Arial" w:hAnsi="Arial"/>
          <w:sz w:val="15"/>
          <w:szCs w:val="15"/>
          <w:color w:val="auto"/>
        </w:rPr>
        <w:t>understanding and</w:t>
      </w:r>
    </w:p>
    <w:p>
      <w:pPr>
        <w:ind w:left="760"/>
        <w:spacing w:after="0" w:line="226" w:lineRule="auto"/>
        <w:rPr>
          <w:sz w:val="20"/>
          <w:szCs w:val="20"/>
          <w:color w:val="auto"/>
        </w:rPr>
      </w:pPr>
      <w:r>
        <w:rPr>
          <w:rFonts w:ascii="Arial" w:cs="Arial" w:eastAsia="Arial" w:hAnsi="Arial"/>
          <w:sz w:val="15"/>
          <w:szCs w:val="15"/>
          <w:color w:val="auto"/>
        </w:rPr>
        <w:t>executive leadership</w:t>
      </w:r>
    </w:p>
    <w:p>
      <w:pPr>
        <w:ind w:left="760"/>
        <w:spacing w:after="0" w:line="225" w:lineRule="auto"/>
        <w:rPr>
          <w:sz w:val="20"/>
          <w:szCs w:val="20"/>
          <w:color w:val="auto"/>
        </w:rPr>
      </w:pPr>
      <w:r>
        <w:rPr>
          <w:rFonts w:ascii="Arial" w:cs="Arial" w:eastAsia="Arial" w:hAnsi="Arial"/>
          <w:sz w:val="15"/>
          <w:szCs w:val="15"/>
          <w:color w:val="auto"/>
        </w:rPr>
        <w:t>helps the Board</w:t>
      </w:r>
    </w:p>
    <w:p>
      <w:pPr>
        <w:ind w:left="760"/>
        <w:spacing w:after="0" w:line="226" w:lineRule="auto"/>
        <w:rPr>
          <w:sz w:val="20"/>
          <w:szCs w:val="20"/>
          <w:color w:val="auto"/>
        </w:rPr>
      </w:pPr>
      <w:r>
        <w:rPr>
          <w:rFonts w:ascii="Arial" w:cs="Arial" w:eastAsia="Arial" w:hAnsi="Arial"/>
          <w:sz w:val="15"/>
          <w:szCs w:val="15"/>
          <w:color w:val="auto"/>
        </w:rPr>
        <w:t>understand how best to</w:t>
      </w:r>
    </w:p>
    <w:p>
      <w:pPr>
        <w:ind w:left="760"/>
        <w:spacing w:after="0" w:line="225" w:lineRule="auto"/>
        <w:rPr>
          <w:sz w:val="20"/>
          <w:szCs w:val="20"/>
          <w:color w:val="auto"/>
        </w:rPr>
      </w:pPr>
      <w:r>
        <w:rPr>
          <w:rFonts w:ascii="Arial" w:cs="Arial" w:eastAsia="Arial" w:hAnsi="Arial"/>
          <w:sz w:val="15"/>
          <w:szCs w:val="15"/>
          <w:color w:val="auto"/>
        </w:rPr>
        <w:t>develop a long-term</w:t>
      </w:r>
    </w:p>
    <w:p>
      <w:pPr>
        <w:ind w:left="760"/>
        <w:spacing w:after="0" w:line="225" w:lineRule="auto"/>
        <w:rPr>
          <w:sz w:val="20"/>
          <w:szCs w:val="20"/>
          <w:color w:val="auto"/>
        </w:rPr>
      </w:pPr>
      <w:r>
        <w:rPr>
          <w:rFonts w:ascii="Arial" w:cs="Arial" w:eastAsia="Arial" w:hAnsi="Arial"/>
          <w:sz w:val="15"/>
          <w:szCs w:val="15"/>
          <w:color w:val="auto"/>
        </w:rPr>
        <w:t>strategy for a capital-</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5"/>
          <w:szCs w:val="15"/>
          <w:color w:val="auto"/>
        </w:rPr>
        <w:t>intensive industry.</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Jeffrey W. Ubben</w:t>
      </w:r>
    </w:p>
    <w:p>
      <w:pPr>
        <w:ind w:left="760"/>
        <w:spacing w:after="0" w:line="233" w:lineRule="auto"/>
        <w:rPr>
          <w:sz w:val="20"/>
          <w:szCs w:val="20"/>
          <w:color w:val="auto"/>
        </w:rPr>
      </w:pPr>
      <w:r>
        <w:rPr>
          <w:rFonts w:ascii="Arial" w:cs="Arial" w:eastAsia="Arial" w:hAnsi="Arial"/>
          <w:sz w:val="15"/>
          <w:szCs w:val="15"/>
          <w:color w:val="auto"/>
        </w:rPr>
        <w:t>Having served on over</w:t>
      </w:r>
    </w:p>
    <w:p>
      <w:pPr>
        <w:ind w:left="760"/>
        <w:spacing w:after="0" w:line="225" w:lineRule="auto"/>
        <w:rPr>
          <w:sz w:val="20"/>
          <w:szCs w:val="20"/>
          <w:color w:val="auto"/>
        </w:rPr>
      </w:pPr>
      <w:r>
        <w:rPr>
          <w:rFonts w:ascii="Arial" w:cs="Arial" w:eastAsia="Arial" w:hAnsi="Arial"/>
          <w:sz w:val="15"/>
          <w:szCs w:val="15"/>
          <w:color w:val="auto"/>
        </w:rPr>
        <w:t>20 public company</w:t>
      </w:r>
    </w:p>
    <w:p>
      <w:pPr>
        <w:ind w:left="760"/>
        <w:spacing w:after="0" w:line="225" w:lineRule="auto"/>
        <w:rPr>
          <w:sz w:val="20"/>
          <w:szCs w:val="20"/>
          <w:color w:val="auto"/>
        </w:rPr>
      </w:pPr>
      <w:r>
        <w:rPr>
          <w:rFonts w:ascii="Arial" w:cs="Arial" w:eastAsia="Arial" w:hAnsi="Arial"/>
          <w:sz w:val="15"/>
          <w:szCs w:val="15"/>
          <w:color w:val="auto"/>
        </w:rPr>
        <w:t>boards, Mr. Ubben</w:t>
      </w:r>
    </w:p>
    <w:p>
      <w:pPr>
        <w:ind w:left="760"/>
        <w:spacing w:after="0" w:line="226" w:lineRule="auto"/>
        <w:rPr>
          <w:sz w:val="20"/>
          <w:szCs w:val="20"/>
          <w:color w:val="auto"/>
        </w:rPr>
      </w:pPr>
      <w:r>
        <w:rPr>
          <w:rFonts w:ascii="Arial" w:cs="Arial" w:eastAsia="Arial" w:hAnsi="Arial"/>
          <w:sz w:val="15"/>
          <w:szCs w:val="15"/>
          <w:color w:val="auto"/>
        </w:rPr>
        <w:t>brings a long history of</w:t>
      </w:r>
    </w:p>
    <w:p>
      <w:pPr>
        <w:ind w:left="760"/>
        <w:spacing w:after="0" w:line="225" w:lineRule="auto"/>
        <w:rPr>
          <w:sz w:val="20"/>
          <w:szCs w:val="20"/>
          <w:color w:val="auto"/>
        </w:rPr>
      </w:pPr>
      <w:r>
        <w:rPr>
          <w:rFonts w:ascii="Arial" w:cs="Arial" w:eastAsia="Arial" w:hAnsi="Arial"/>
          <w:sz w:val="15"/>
          <w:szCs w:val="15"/>
          <w:color w:val="auto"/>
        </w:rPr>
        <w:t>successfully</w:t>
      </w:r>
    </w:p>
    <w:p>
      <w:pPr>
        <w:ind w:left="760"/>
        <w:spacing w:after="0" w:line="226" w:lineRule="auto"/>
        <w:rPr>
          <w:sz w:val="20"/>
          <w:szCs w:val="20"/>
          <w:color w:val="auto"/>
        </w:rPr>
      </w:pPr>
      <w:r>
        <w:rPr>
          <w:rFonts w:ascii="Arial" w:cs="Arial" w:eastAsia="Arial" w:hAnsi="Arial"/>
          <w:sz w:val="15"/>
          <w:szCs w:val="15"/>
          <w:color w:val="auto"/>
        </w:rPr>
        <w:t>challenging and</w:t>
      </w:r>
    </w:p>
    <w:p>
      <w:pPr>
        <w:ind w:left="760"/>
        <w:spacing w:after="0" w:line="225" w:lineRule="auto"/>
        <w:rPr>
          <w:sz w:val="20"/>
          <w:szCs w:val="20"/>
          <w:color w:val="auto"/>
        </w:rPr>
      </w:pPr>
      <w:r>
        <w:rPr>
          <w:rFonts w:ascii="Arial" w:cs="Arial" w:eastAsia="Arial" w:hAnsi="Arial"/>
          <w:sz w:val="15"/>
          <w:szCs w:val="15"/>
          <w:color w:val="auto"/>
        </w:rPr>
        <w:t>working alongside</w:t>
      </w:r>
    </w:p>
    <w:p>
      <w:pPr>
        <w:ind w:left="760"/>
        <w:spacing w:after="0" w:line="225" w:lineRule="auto"/>
        <w:rPr>
          <w:sz w:val="20"/>
          <w:szCs w:val="20"/>
          <w:color w:val="auto"/>
        </w:rPr>
      </w:pPr>
      <w:r>
        <w:rPr>
          <w:rFonts w:ascii="Arial" w:cs="Arial" w:eastAsia="Arial" w:hAnsi="Arial"/>
          <w:sz w:val="15"/>
          <w:szCs w:val="15"/>
          <w:color w:val="auto"/>
        </w:rPr>
        <w:t>boards and</w:t>
      </w:r>
    </w:p>
    <w:p>
      <w:pPr>
        <w:ind w:left="760"/>
        <w:spacing w:after="0" w:line="226" w:lineRule="auto"/>
        <w:rPr>
          <w:sz w:val="20"/>
          <w:szCs w:val="20"/>
          <w:color w:val="auto"/>
        </w:rPr>
      </w:pPr>
      <w:r>
        <w:rPr>
          <w:rFonts w:ascii="Arial" w:cs="Arial" w:eastAsia="Arial" w:hAnsi="Arial"/>
          <w:sz w:val="15"/>
          <w:szCs w:val="15"/>
          <w:color w:val="auto"/>
        </w:rPr>
        <w:t>management teams to</w:t>
      </w:r>
    </w:p>
    <w:p>
      <w:pPr>
        <w:ind w:left="760"/>
        <w:spacing w:after="0" w:line="225" w:lineRule="auto"/>
        <w:rPr>
          <w:sz w:val="20"/>
          <w:szCs w:val="20"/>
          <w:color w:val="auto"/>
        </w:rPr>
      </w:pPr>
      <w:r>
        <w:rPr>
          <w:rFonts w:ascii="Arial" w:cs="Arial" w:eastAsia="Arial" w:hAnsi="Arial"/>
          <w:sz w:val="15"/>
          <w:szCs w:val="15"/>
          <w:color w:val="auto"/>
        </w:rPr>
        <w:t>grow value for</w:t>
      </w:r>
    </w:p>
    <w:p>
      <w:pPr>
        <w:ind w:left="760"/>
        <w:spacing w:after="0" w:line="226" w:lineRule="auto"/>
        <w:rPr>
          <w:sz w:val="20"/>
          <w:szCs w:val="20"/>
          <w:color w:val="auto"/>
        </w:rPr>
      </w:pPr>
      <w:r>
        <w:rPr>
          <w:rFonts w:ascii="Arial" w:cs="Arial" w:eastAsia="Arial" w:hAnsi="Arial"/>
          <w:sz w:val="15"/>
          <w:szCs w:val="15"/>
          <w:color w:val="auto"/>
        </w:rPr>
        <w:t>shareholders. His</w:t>
      </w:r>
    </w:p>
    <w:p>
      <w:pPr>
        <w:ind w:left="760"/>
        <w:spacing w:after="0" w:line="225" w:lineRule="auto"/>
        <w:rPr>
          <w:sz w:val="20"/>
          <w:szCs w:val="20"/>
          <w:color w:val="auto"/>
        </w:rPr>
      </w:pPr>
      <w:r>
        <w:rPr>
          <w:rFonts w:ascii="Arial" w:cs="Arial" w:eastAsia="Arial" w:hAnsi="Arial"/>
          <w:sz w:val="15"/>
          <w:szCs w:val="15"/>
          <w:color w:val="auto"/>
        </w:rPr>
        <w:t>expertise in return-</w:t>
      </w:r>
    </w:p>
    <w:p>
      <w:pPr>
        <w:ind w:left="760"/>
        <w:spacing w:after="0" w:line="226" w:lineRule="auto"/>
        <w:rPr>
          <w:sz w:val="20"/>
          <w:szCs w:val="20"/>
          <w:color w:val="auto"/>
        </w:rPr>
      </w:pPr>
      <w:r>
        <w:rPr>
          <w:rFonts w:ascii="Arial" w:cs="Arial" w:eastAsia="Arial" w:hAnsi="Arial"/>
          <w:sz w:val="15"/>
          <w:szCs w:val="15"/>
          <w:color w:val="auto"/>
        </w:rPr>
        <w:t>driven, environmental</w:t>
      </w:r>
    </w:p>
    <w:p>
      <w:pPr>
        <w:ind w:left="760"/>
        <w:spacing w:after="0" w:line="225" w:lineRule="auto"/>
        <w:rPr>
          <w:sz w:val="20"/>
          <w:szCs w:val="20"/>
          <w:color w:val="auto"/>
        </w:rPr>
      </w:pPr>
      <w:r>
        <w:rPr>
          <w:rFonts w:ascii="Arial" w:cs="Arial" w:eastAsia="Arial" w:hAnsi="Arial"/>
          <w:sz w:val="15"/>
          <w:szCs w:val="15"/>
          <w:color w:val="auto"/>
        </w:rPr>
        <w:t>and socially active</w:t>
      </w:r>
    </w:p>
    <w:p>
      <w:pPr>
        <w:ind w:left="760"/>
        <w:spacing w:after="0" w:line="225" w:lineRule="auto"/>
        <w:rPr>
          <w:sz w:val="20"/>
          <w:szCs w:val="20"/>
          <w:color w:val="auto"/>
        </w:rPr>
      </w:pPr>
      <w:r>
        <w:rPr>
          <w:rFonts w:ascii="Arial" w:cs="Arial" w:eastAsia="Arial" w:hAnsi="Arial"/>
          <w:sz w:val="15"/>
          <w:szCs w:val="15"/>
          <w:color w:val="auto"/>
        </w:rPr>
        <w:t>investing, including his</w:t>
      </w:r>
    </w:p>
    <w:p>
      <w:pPr>
        <w:ind w:left="760"/>
        <w:spacing w:after="0" w:line="226" w:lineRule="auto"/>
        <w:rPr>
          <w:sz w:val="20"/>
          <w:szCs w:val="20"/>
          <w:color w:val="auto"/>
        </w:rPr>
      </w:pPr>
      <w:r>
        <w:rPr>
          <w:rFonts w:ascii="Arial" w:cs="Arial" w:eastAsia="Arial" w:hAnsi="Arial"/>
          <w:sz w:val="15"/>
          <w:szCs w:val="15"/>
          <w:color w:val="auto"/>
        </w:rPr>
        <w:t>unique knowledge and</w:t>
      </w:r>
    </w:p>
    <w:p>
      <w:pPr>
        <w:ind w:left="760"/>
        <w:spacing w:after="0" w:line="225" w:lineRule="auto"/>
        <w:rPr>
          <w:sz w:val="20"/>
          <w:szCs w:val="20"/>
          <w:color w:val="auto"/>
        </w:rPr>
      </w:pPr>
      <w:r>
        <w:rPr>
          <w:rFonts w:ascii="Arial" w:cs="Arial" w:eastAsia="Arial" w:hAnsi="Arial"/>
          <w:sz w:val="15"/>
          <w:szCs w:val="15"/>
          <w:color w:val="auto"/>
        </w:rPr>
        <w:t>experience investing in</w:t>
      </w:r>
    </w:p>
    <w:p>
      <w:pPr>
        <w:ind w:left="760"/>
        <w:spacing w:after="0" w:line="226" w:lineRule="auto"/>
        <w:rPr>
          <w:sz w:val="20"/>
          <w:szCs w:val="20"/>
          <w:color w:val="auto"/>
        </w:rPr>
      </w:pPr>
      <w:r>
        <w:rPr>
          <w:rFonts w:ascii="Arial" w:cs="Arial" w:eastAsia="Arial" w:hAnsi="Arial"/>
          <w:sz w:val="15"/>
          <w:szCs w:val="15"/>
          <w:color w:val="auto"/>
        </w:rPr>
        <w:t>the energy transition,</w:t>
      </w:r>
    </w:p>
    <w:p>
      <w:pPr>
        <w:ind w:left="760"/>
        <w:spacing w:after="0" w:line="225" w:lineRule="auto"/>
        <w:rPr>
          <w:sz w:val="20"/>
          <w:szCs w:val="20"/>
          <w:color w:val="auto"/>
        </w:rPr>
      </w:pPr>
      <w:r>
        <w:rPr>
          <w:rFonts w:ascii="Arial" w:cs="Arial" w:eastAsia="Arial" w:hAnsi="Arial"/>
          <w:sz w:val="15"/>
          <w:szCs w:val="15"/>
          <w:color w:val="auto"/>
        </w:rPr>
        <w:t>helps the Board make</w:t>
      </w:r>
    </w:p>
    <w:p>
      <w:pPr>
        <w:ind w:left="760"/>
        <w:spacing w:after="0" w:line="225" w:lineRule="auto"/>
        <w:rPr>
          <w:sz w:val="20"/>
          <w:szCs w:val="20"/>
          <w:color w:val="auto"/>
        </w:rPr>
      </w:pPr>
      <w:r>
        <w:rPr>
          <w:rFonts w:ascii="Arial" w:cs="Arial" w:eastAsia="Arial" w:hAnsi="Arial"/>
          <w:sz w:val="15"/>
          <w:szCs w:val="15"/>
          <w:color w:val="auto"/>
        </w:rPr>
        <w:t>better strategic and</w:t>
      </w:r>
    </w:p>
    <w:p>
      <w:pPr>
        <w:ind w:left="760"/>
        <w:spacing w:after="0" w:line="226" w:lineRule="auto"/>
        <w:rPr>
          <w:sz w:val="20"/>
          <w:szCs w:val="20"/>
          <w:color w:val="auto"/>
        </w:rPr>
      </w:pPr>
      <w:r>
        <w:rPr>
          <w:rFonts w:ascii="Arial" w:cs="Arial" w:eastAsia="Arial" w:hAnsi="Arial"/>
          <w:sz w:val="15"/>
          <w:szCs w:val="15"/>
          <w:color w:val="auto"/>
        </w:rPr>
        <w:t>investing decisions</w:t>
      </w:r>
    </w:p>
    <w:p>
      <w:pPr>
        <w:ind w:left="760"/>
        <w:spacing w:after="0" w:line="225" w:lineRule="auto"/>
        <w:rPr>
          <w:sz w:val="20"/>
          <w:szCs w:val="20"/>
          <w:color w:val="auto"/>
        </w:rPr>
      </w:pPr>
      <w:r>
        <w:rPr>
          <w:rFonts w:ascii="Arial" w:cs="Arial" w:eastAsia="Arial" w:hAnsi="Arial"/>
          <w:sz w:val="15"/>
          <w:szCs w:val="15"/>
          <w:color w:val="auto"/>
        </w:rPr>
        <w:t>around low carbon</w:t>
      </w:r>
    </w:p>
    <w:p>
      <w:pPr>
        <w:ind w:left="760"/>
        <w:spacing w:after="0" w:line="226" w:lineRule="auto"/>
        <w:rPr>
          <w:sz w:val="20"/>
          <w:szCs w:val="20"/>
          <w:color w:val="auto"/>
        </w:rPr>
      </w:pPr>
      <w:r>
        <w:rPr>
          <w:rFonts w:ascii="Arial" w:cs="Arial" w:eastAsia="Arial" w:hAnsi="Arial"/>
          <w:sz w:val="15"/>
          <w:szCs w:val="15"/>
          <w:color w:val="auto"/>
        </w:rPr>
        <w:t>solutions, including</w:t>
      </w:r>
    </w:p>
    <w:p>
      <w:pPr>
        <w:ind w:left="760"/>
        <w:spacing w:after="0" w:line="225" w:lineRule="auto"/>
        <w:rPr>
          <w:sz w:val="20"/>
          <w:szCs w:val="20"/>
          <w:color w:val="auto"/>
        </w:rPr>
      </w:pPr>
      <w:r>
        <w:rPr>
          <w:rFonts w:ascii="Arial" w:cs="Arial" w:eastAsia="Arial" w:hAnsi="Arial"/>
          <w:sz w:val="15"/>
          <w:szCs w:val="15"/>
          <w:color w:val="auto"/>
        </w:rPr>
        <w:t>carbon capture and</w:t>
      </w:r>
    </w:p>
    <w:p>
      <w:pPr>
        <w:ind w:left="760"/>
        <w:spacing w:after="0"/>
        <w:rPr>
          <w:sz w:val="20"/>
          <w:szCs w:val="20"/>
          <w:color w:val="auto"/>
        </w:rPr>
      </w:pPr>
      <w:r>
        <w:rPr>
          <w:rFonts w:ascii="Arial" w:cs="Arial" w:eastAsia="Arial" w:hAnsi="Arial"/>
          <w:sz w:val="15"/>
          <w:szCs w:val="15"/>
          <w:color w:val="auto"/>
        </w:rPr>
        <w:t>hydrogen technologies.</w:t>
      </w:r>
    </w:p>
    <w:p>
      <w:pPr>
        <w:sectPr>
          <w:pgSz w:w="11900" w:h="16838" w:orient="portrait"/>
          <w:cols w:equalWidth="0" w:num="1">
            <w:col w:w="10139"/>
          </w:cols>
          <w:pgMar w:left="320" w:top="482" w:right="1440" w:bottom="129" w:gutter="0" w:footer="0" w:header="0"/>
        </w:sectPr>
      </w:pPr>
    </w:p>
    <w:bookmarkStart w:id="33" w:name="page34"/>
    <w:bookmarkEnd w:id="33"/>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688340</wp:posOffset>
            </wp:positionH>
            <wp:positionV relativeFrom="page">
              <wp:posOffset>88900</wp:posOffset>
            </wp:positionV>
            <wp:extent cx="5923280" cy="32315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923280" cy="3231515"/>
                    </a:xfrm>
                    <a:prstGeom prst="rect">
                      <a:avLst/>
                    </a:prstGeom>
                    <a:noFill/>
                  </pic:spPr>
                </pic:pic>
              </a:graphicData>
            </a:graphic>
          </wp:anchor>
        </w:drawing>
        <w:t>Darren W. Woods</w:t>
      </w:r>
    </w:p>
    <w:p>
      <w:pPr>
        <w:spacing w:after="0" w:line="6" w:lineRule="exact"/>
        <w:rPr>
          <w:sz w:val="20"/>
          <w:szCs w:val="20"/>
          <w:color w:val="auto"/>
        </w:rPr>
      </w:pPr>
    </w:p>
    <w:p>
      <w:pPr>
        <w:ind w:right="7799"/>
        <w:spacing w:after="0" w:line="226" w:lineRule="auto"/>
        <w:rPr>
          <w:sz w:val="20"/>
          <w:szCs w:val="20"/>
          <w:color w:val="auto"/>
        </w:rPr>
      </w:pPr>
      <w:r>
        <w:rPr>
          <w:rFonts w:ascii="Arial" w:cs="Arial" w:eastAsia="Arial" w:hAnsi="Arial"/>
          <w:sz w:val="15"/>
          <w:szCs w:val="15"/>
          <w:color w:val="auto"/>
        </w:rPr>
        <w:t>Mr. Woods brings more than 30 years of global industry experience managing highly sophisticated, safety-critical operations and has held a number of senior leadership roles in multiple international business units prior to being promoted to CEO. His in-depth understanding of Company operations, knowledge of global business, markets and strategy, and experience leading transformational change, helps the Board to better understand and navigate the complex issues associated with transforming a multi-dimensional, capital intensive, commodity business through a thoughtful, long-term energy transition.</w:t>
      </w:r>
    </w:p>
    <w:p>
      <w:pPr>
        <w:spacing w:after="0" w:line="141" w:lineRule="exact"/>
        <w:rPr>
          <w:sz w:val="20"/>
          <w:szCs w:val="20"/>
          <w:color w:val="auto"/>
        </w:rPr>
      </w:pPr>
    </w:p>
    <w:p>
      <w:pPr>
        <w:ind w:left="20"/>
        <w:spacing w:after="0"/>
        <w:tabs>
          <w:tab w:leader="none" w:pos="726" w:val="left"/>
        </w:tabs>
        <w:rPr>
          <w:sz w:val="20"/>
          <w:szCs w:val="20"/>
          <w:color w:val="auto"/>
        </w:rPr>
      </w:pPr>
      <w:r>
        <w:rPr>
          <w:rFonts w:ascii="Arial" w:cs="Arial" w:eastAsia="Arial" w:hAnsi="Arial"/>
          <w:sz w:val="18"/>
          <w:szCs w:val="18"/>
          <w:color w:val="auto"/>
        </w:rPr>
        <w:t>26</w:t>
      </w:r>
      <w:r>
        <w:rPr>
          <w:sz w:val="20"/>
          <w:szCs w:val="20"/>
          <w:color w:val="auto"/>
        </w:rPr>
        <w:tab/>
      </w:r>
      <w:r>
        <w:rPr>
          <w:sz w:val="1"/>
          <w:szCs w:val="1"/>
          <w:color w:val="auto"/>
        </w:rPr>
        <w:drawing>
          <wp:inline distT="0" distB="0" distL="0" distR="0">
            <wp:extent cx="737235" cy="14605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2023 Proxy Statement</w:t>
      </w:r>
    </w:p>
    <w:p>
      <w:pPr>
        <w:sectPr>
          <w:pgSz w:w="11900" w:h="16838" w:orient="portrait"/>
          <w:cols w:equalWidth="0" w:num="1">
            <w:col w:w="9379"/>
          </w:cols>
          <w:pgMar w:left="1080" w:top="147"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760" w:right="400"/>
        <w:spacing w:after="0" w:line="271" w:lineRule="auto"/>
        <w:rPr>
          <w:sz w:val="20"/>
          <w:szCs w:val="20"/>
          <w:color w:val="auto"/>
        </w:rPr>
      </w:pPr>
      <w:r>
        <w:rPr>
          <w:rFonts w:ascii="Arial" w:cs="Arial" w:eastAsia="Arial" w:hAnsi="Arial"/>
          <w:sz w:val="18"/>
          <w:szCs w:val="18"/>
          <w:color w:val="auto"/>
        </w:rPr>
        <w:t>Diversity of experiences and backgrounds, including gender and race/ethnicity, is also an important consideration for Board members. The charts below reflect the diversity of the current Board.</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2B4C9B"/>
        </w:rPr>
        <w:t>Strong Board Gender and Racial/Ethnic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334645</wp:posOffset>
            </wp:positionV>
            <wp:extent cx="1645920" cy="15170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645920" cy="151701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163195</wp:posOffset>
            </wp:positionV>
            <wp:extent cx="2091690" cy="16884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091690"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Director Independence</w:t>
      </w:r>
    </w:p>
    <w:p>
      <w:pPr>
        <w:spacing w:after="0" w:line="114" w:lineRule="exact"/>
        <w:rPr>
          <w:sz w:val="20"/>
          <w:szCs w:val="20"/>
          <w:color w:val="auto"/>
        </w:rPr>
      </w:pPr>
    </w:p>
    <w:p>
      <w:pPr>
        <w:ind w:left="780" w:right="3460"/>
        <w:spacing w:after="0" w:line="239" w:lineRule="auto"/>
        <w:rPr>
          <w:sz w:val="20"/>
          <w:szCs w:val="20"/>
          <w:color w:val="auto"/>
        </w:rPr>
      </w:pPr>
      <w:r>
        <w:rPr>
          <w:rFonts w:ascii="Arial" w:cs="Arial" w:eastAsia="Arial" w:hAnsi="Arial"/>
          <w:sz w:val="17"/>
          <w:szCs w:val="17"/>
          <w:color w:val="auto"/>
        </w:rPr>
        <w:t>ExxonMobil’s Corporate Governance Guidelines require that a substantial majority of the Board consists of independent directors. In general, these Guidelines require that an independent director must have no material relationship with ExxonMobil, directly or indirectly, except as a director. The Board determines independence on the basis of the standards specified by the New York Stock Exchange (NYSE), the additional standards referenced in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-555625</wp:posOffset>
            </wp:positionV>
            <wp:extent cx="2014220" cy="5575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014220" cy="557530"/>
                    </a:xfrm>
                    <a:prstGeom prst="rect">
                      <a:avLst/>
                    </a:prstGeom>
                    <a:noFill/>
                  </pic:spPr>
                </pic:pic>
              </a:graphicData>
            </a:graphic>
          </wp:anchor>
        </w:drawing>
      </w:r>
    </w:p>
    <w:p>
      <w:pPr>
        <w:ind w:left="780"/>
        <w:spacing w:after="0"/>
        <w:rPr>
          <w:sz w:val="20"/>
          <w:szCs w:val="20"/>
          <w:color w:val="auto"/>
        </w:rPr>
      </w:pPr>
      <w:r>
        <w:rPr>
          <w:rFonts w:ascii="Arial" w:cs="Arial" w:eastAsia="Arial" w:hAnsi="Arial"/>
          <w:sz w:val="18"/>
          <w:szCs w:val="18"/>
          <w:color w:val="auto"/>
        </w:rPr>
        <w:t>Corporate Governance Guidelines, and other facts and circumstances the Board considers relevant.</w:t>
      </w:r>
    </w:p>
    <w:p>
      <w:pPr>
        <w:spacing w:after="0" w:line="194" w:lineRule="exact"/>
        <w:rPr>
          <w:sz w:val="20"/>
          <w:szCs w:val="20"/>
          <w:color w:val="auto"/>
        </w:rPr>
      </w:pPr>
    </w:p>
    <w:p>
      <w:pPr>
        <w:ind w:left="760" w:right="120"/>
        <w:spacing w:after="0" w:line="244" w:lineRule="auto"/>
        <w:rPr>
          <w:sz w:val="20"/>
          <w:szCs w:val="20"/>
          <w:color w:val="auto"/>
        </w:rPr>
      </w:pPr>
      <w:r>
        <w:rPr>
          <w:rFonts w:ascii="Arial" w:cs="Arial" w:eastAsia="Arial" w:hAnsi="Arial"/>
          <w:sz w:val="18"/>
          <w:szCs w:val="18"/>
          <w:color w:val="auto"/>
        </w:rPr>
        <w:t>Under ExxonMobil’s Corporate Governance Guidelines, a director will not be independent if a reportable “related person transaction” exists with respect to that director or a member of the director’s family for the current or most recently completed fiscal year. See the Guidelines for Review of Related Person Transactions posted on the Corporate Governance section of our website and described in more detail under Related Person Transactions and Procedures below.</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The Board has reviewed relevant relationships between ExxonMobil and each non-employee director and director nominee to determine compliance with the NYSE standards and ExxonMobil’s additional standards. The Board has evaluated whether there are any other facts or circumstances that might impair a director’s independence. </w:t>
      </w:r>
      <w:r>
        <w:rPr>
          <w:rFonts w:ascii="Arial" w:cs="Arial" w:eastAsia="Arial" w:hAnsi="Arial"/>
          <w:sz w:val="18"/>
          <w:szCs w:val="18"/>
          <w:b w:val="1"/>
          <w:bCs w:val="1"/>
          <w:color w:val="auto"/>
        </w:rPr>
        <w:t>Based on that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review, the Board has determined that all ExxonMobil non-employee directors are independent. </w:t>
      </w:r>
      <w:r>
        <w:rPr>
          <w:rFonts w:ascii="Arial" w:cs="Arial" w:eastAsia="Arial" w:hAnsi="Arial"/>
          <w:sz w:val="18"/>
          <w:szCs w:val="18"/>
          <w:color w:val="auto"/>
        </w:rPr>
        <w:t>The Board has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also determined that each member of the Audit, Nominating and Governance, Compensation, and Environment, Safety and Public Policy Committees (see table on page 34) is independent based on both applicable NYSE standards and the Company’s independence standards for each of these committees. The Company’s standards for each committee are included in their respective charters and posted on our website at </w:t>
      </w:r>
      <w:r>
        <w:rPr>
          <w:rFonts w:ascii="Arial" w:cs="Arial" w:eastAsia="Arial" w:hAnsi="Arial"/>
          <w:sz w:val="18"/>
          <w:szCs w:val="18"/>
          <w:i w:val="1"/>
          <w:iCs w:val="1"/>
          <w:color w:val="auto"/>
        </w:rPr>
        <w:t>exxonmobil.com/governance</w:t>
      </w:r>
      <w:r>
        <w:rPr>
          <w:rFonts w:ascii="Arial" w:cs="Arial" w:eastAsia="Arial" w:hAnsi="Arial"/>
          <w:sz w:val="18"/>
          <w:szCs w:val="18"/>
          <w:color w:val="auto"/>
        </w:rPr>
        <w:t>.</w:t>
      </w:r>
    </w:p>
    <w:p>
      <w:pPr>
        <w:spacing w:after="0" w:line="180" w:lineRule="exact"/>
        <w:rPr>
          <w:sz w:val="20"/>
          <w:szCs w:val="20"/>
          <w:color w:val="auto"/>
        </w:rPr>
      </w:pPr>
    </w:p>
    <w:p>
      <w:pPr>
        <w:jc w:val="both"/>
        <w:ind w:left="760" w:right="280"/>
        <w:spacing w:after="0" w:line="253" w:lineRule="auto"/>
        <w:rPr>
          <w:sz w:val="20"/>
          <w:szCs w:val="20"/>
          <w:color w:val="auto"/>
        </w:rPr>
      </w:pPr>
      <w:r>
        <w:rPr>
          <w:rFonts w:ascii="Arial" w:cs="Arial" w:eastAsia="Arial" w:hAnsi="Arial"/>
          <w:sz w:val="18"/>
          <w:szCs w:val="18"/>
          <w:color w:val="auto"/>
        </w:rPr>
        <w:t>In recommending that each director and nominee be found independent, the Nominating and Governance Committee identified no transactions, relationships, or arrangements that required consideration under the NYSE and ExxonMobil independence standards described above.</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Director Nomination Process and Board Succession</w:t>
      </w:r>
    </w:p>
    <w:p>
      <w:pPr>
        <w:spacing w:after="0" w:line="104" w:lineRule="exact"/>
        <w:rPr>
          <w:sz w:val="20"/>
          <w:szCs w:val="20"/>
          <w:color w:val="auto"/>
        </w:rPr>
      </w:pPr>
    </w:p>
    <w:p>
      <w:pPr>
        <w:ind w:left="760" w:right="40"/>
        <w:spacing w:after="0" w:line="253" w:lineRule="auto"/>
        <w:rPr>
          <w:sz w:val="20"/>
          <w:szCs w:val="20"/>
          <w:color w:val="auto"/>
        </w:rPr>
      </w:pPr>
      <w:r>
        <w:rPr>
          <w:rFonts w:ascii="Arial" w:cs="Arial" w:eastAsia="Arial" w:hAnsi="Arial"/>
          <w:sz w:val="18"/>
          <w:szCs w:val="18"/>
          <w:color w:val="auto"/>
        </w:rPr>
        <w:t>As noted in the committee information that follows, the Nominating and Governance Committee is responsible for identifying and evaluating director candidates. The description below sets forth the process through which the Committee identifies potential nominees to the Board and evaluates their qualifications.</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Candidate Recommendations</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Nominating and Governance Committee seeks new candidates in several ways:</w:t>
      </w:r>
    </w:p>
    <w:p>
      <w:pPr>
        <w:spacing w:after="0" w:line="117" w:lineRule="exact"/>
        <w:rPr>
          <w:sz w:val="20"/>
          <w:szCs w:val="20"/>
          <w:color w:val="auto"/>
        </w:rPr>
      </w:pPr>
    </w:p>
    <w:p>
      <w:pPr>
        <w:ind w:left="1140" w:right="120" w:hanging="376"/>
        <w:spacing w:after="0" w:line="270" w:lineRule="auto"/>
        <w:tabs>
          <w:tab w:leader="none" w:pos="114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Engagement of an executive search firm. The firm brings forward potential director candidates for the Committee to consider and helps research candidates identified by the Committee.</w:t>
      </w:r>
    </w:p>
    <w:p>
      <w:pPr>
        <w:spacing w:after="0" w:line="85"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60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420"/>
          </w:cols>
          <w:pgMar w:left="320" w:top="482" w:right="11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140" w:hanging="376"/>
        <w:spacing w:after="0" w:line="252" w:lineRule="auto"/>
        <w:tabs>
          <w:tab w:leader="none" w:pos="114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Recommendations made by the non-employee directors. These recommendations are developed based on the directors’ own knowledge and experience in a variety of fields and on the research conducted by ExxonMobil staff at the Committee’s direction.</w:t>
      </w:r>
    </w:p>
    <w:p>
      <w:pPr>
        <w:spacing w:after="0" w:line="76"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Recommendations made by employee directors, shareholders, and others.</w:t>
      </w:r>
    </w:p>
    <w:p>
      <w:pPr>
        <w:spacing w:after="0" w:line="224" w:lineRule="exact"/>
        <w:rPr>
          <w:sz w:val="20"/>
          <w:szCs w:val="20"/>
          <w:color w:val="auto"/>
        </w:rPr>
      </w:pPr>
    </w:p>
    <w:p>
      <w:pPr>
        <w:ind w:left="760" w:right="260"/>
        <w:spacing w:after="0" w:line="253" w:lineRule="auto"/>
        <w:rPr>
          <w:sz w:val="20"/>
          <w:szCs w:val="20"/>
          <w:color w:val="auto"/>
        </w:rPr>
      </w:pPr>
      <w:r>
        <w:rPr>
          <w:rFonts w:ascii="Arial" w:cs="Arial" w:eastAsia="Arial" w:hAnsi="Arial"/>
          <w:sz w:val="18"/>
          <w:szCs w:val="18"/>
          <w:color w:val="auto"/>
        </w:rPr>
        <w:t>All recommendations, regardless of the source, are evaluated on the same basis against the criteria contained in the Corporate Governance Guidelines. The Committee has also instructed its executive search firm to include diversity as part of the candidate search criteria.</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Shareholders may send recommendations for director candidates to the Corporate Secretary at the address given under</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Contact Information on page 7. A submission recommending a candidate should include:</w:t>
      </w:r>
    </w:p>
    <w:p>
      <w:pPr>
        <w:spacing w:after="0" w:line="99" w:lineRule="exact"/>
        <w:rPr>
          <w:sz w:val="20"/>
          <w:szCs w:val="20"/>
          <w:color w:val="auto"/>
        </w:rPr>
      </w:pPr>
    </w:p>
    <w:p>
      <w:pPr>
        <w:ind w:left="1140" w:right="340" w:hanging="376"/>
        <w:spacing w:after="0" w:line="270" w:lineRule="auto"/>
        <w:tabs>
          <w:tab w:leader="none" w:pos="114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Sufficient biographical information to enable the Committee to evaluate the candidate in light of provisions of the Corporate Governance Guidelines on non-employee director qualifications;</w:t>
      </w:r>
    </w:p>
    <w:p>
      <w:pPr>
        <w:spacing w:after="0" w:line="5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Information concerning any relationship between the candidate and the recommending shareholder; and</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Material indicating the willingness of the candidate to serve if nominated and elected.</w:t>
      </w:r>
    </w:p>
    <w:p>
      <w:pPr>
        <w:spacing w:after="0" w:line="224" w:lineRule="exact"/>
        <w:rPr>
          <w:sz w:val="20"/>
          <w:szCs w:val="20"/>
          <w:color w:val="auto"/>
        </w:rPr>
      </w:pPr>
    </w:p>
    <w:p>
      <w:pPr>
        <w:ind w:left="760" w:right="180"/>
        <w:spacing w:after="0" w:line="271" w:lineRule="auto"/>
        <w:rPr>
          <w:sz w:val="20"/>
          <w:szCs w:val="20"/>
          <w:color w:val="auto"/>
        </w:rPr>
      </w:pPr>
      <w:r>
        <w:rPr>
          <w:rFonts w:ascii="Arial" w:cs="Arial" w:eastAsia="Arial" w:hAnsi="Arial"/>
          <w:sz w:val="18"/>
          <w:szCs w:val="18"/>
          <w:color w:val="auto"/>
        </w:rPr>
        <w:t>The procedures by which shareholders may recommend nominees have not changed materially since last year’s proxy statement.</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Assessment and Nomination</w:t>
      </w:r>
    </w:p>
    <w:p>
      <w:pPr>
        <w:spacing w:after="0" w:line="104" w:lineRule="exact"/>
        <w:rPr>
          <w:sz w:val="20"/>
          <w:szCs w:val="20"/>
          <w:color w:val="auto"/>
        </w:rPr>
      </w:pPr>
    </w:p>
    <w:p>
      <w:pPr>
        <w:ind w:left="760" w:right="160"/>
        <w:spacing w:after="0" w:line="253" w:lineRule="auto"/>
        <w:rPr>
          <w:sz w:val="20"/>
          <w:szCs w:val="20"/>
          <w:color w:val="auto"/>
        </w:rPr>
      </w:pPr>
      <w:r>
        <w:rPr>
          <w:rFonts w:ascii="Arial" w:cs="Arial" w:eastAsia="Arial" w:hAnsi="Arial"/>
          <w:sz w:val="18"/>
          <w:szCs w:val="18"/>
          <w:color w:val="auto"/>
        </w:rPr>
        <w:t>Once potential nominees are identified, the Nominating and Governance Committee assesses each candidate’s overall qualifications for nomination to the Board relative to an assessment of the Company’s future direction. In evaluating prospective directors, the Committee considers various factors including:</w:t>
      </w:r>
    </w:p>
    <w:p>
      <w:pPr>
        <w:spacing w:after="0" w:line="74" w:lineRule="exact"/>
        <w:rPr>
          <w:sz w:val="20"/>
          <w:szCs w:val="20"/>
          <w:color w:val="auto"/>
        </w:rPr>
      </w:pPr>
    </w:p>
    <w:p>
      <w:pPr>
        <w:ind w:left="1140" w:hanging="376"/>
        <w:spacing w:after="0"/>
        <w:tabs>
          <w:tab w:leader="none" w:pos="11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ExxonMobil’s Corporate Governance Guidelines, including provisions on non-employee director qualifications;</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ExxonMobil’s strategy, risk profile, and current Board composition;</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Independence, perspectives, objectivity, reasoning, and judgment of the candidate; and</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Board diversity.</w:t>
      </w:r>
    </w:p>
    <w:p>
      <w:pPr>
        <w:spacing w:after="0" w:line="224" w:lineRule="exact"/>
        <w:rPr>
          <w:sz w:val="20"/>
          <w:szCs w:val="20"/>
          <w:color w:val="auto"/>
        </w:rPr>
      </w:pPr>
    </w:p>
    <w:p>
      <w:pPr>
        <w:ind w:left="760" w:right="100"/>
        <w:spacing w:after="0" w:line="242" w:lineRule="auto"/>
        <w:rPr>
          <w:sz w:val="20"/>
          <w:szCs w:val="20"/>
          <w:color w:val="auto"/>
        </w:rPr>
      </w:pPr>
      <w:r>
        <w:rPr>
          <w:rFonts w:ascii="Arial" w:cs="Arial" w:eastAsia="Arial" w:hAnsi="Arial"/>
          <w:sz w:val="18"/>
          <w:szCs w:val="18"/>
          <w:color w:val="auto"/>
        </w:rPr>
        <w:t>ExxonMobil seeks to have a diverse Board representing a range of backgrounds, knowledge, and skills relevant to the Company’s business and the needs of the Board, and as part of the search process, considers highly qualified candidates, including women and minorities. The Committee does not use quotas, but considers diversity along with the other requirements of the Corporate Governance Guidelines provisions on non-employee director qualifications when evaluating potential new directors. The resulting diversity of experience, skills, gender, and race/ethnicity on the ExxonMobil Board serves as a testament to this robust process.</w:t>
      </w:r>
    </w:p>
    <w:p>
      <w:pPr>
        <w:spacing w:after="0" w:line="179" w:lineRule="exact"/>
        <w:rPr>
          <w:sz w:val="20"/>
          <w:szCs w:val="20"/>
          <w:color w:val="auto"/>
        </w:rPr>
      </w:pPr>
    </w:p>
    <w:p>
      <w:pPr>
        <w:ind w:left="760" w:right="660"/>
        <w:spacing w:after="0" w:line="271" w:lineRule="auto"/>
        <w:rPr>
          <w:sz w:val="20"/>
          <w:szCs w:val="20"/>
          <w:color w:val="auto"/>
        </w:rPr>
      </w:pPr>
      <w:r>
        <w:rPr>
          <w:rFonts w:ascii="Arial" w:cs="Arial" w:eastAsia="Arial" w:hAnsi="Arial"/>
          <w:sz w:val="18"/>
          <w:szCs w:val="18"/>
          <w:color w:val="auto"/>
        </w:rPr>
        <w:t>If the Nominating and Governance Committee determines to advance a candidate in the nomination process, the Committee puts the candidate forward for consideration by the full Board.</w:t>
      </w:r>
    </w:p>
    <w:p>
      <w:pPr>
        <w:spacing w:after="0" w:line="154" w:lineRule="exact"/>
        <w:rPr>
          <w:sz w:val="20"/>
          <w:szCs w:val="20"/>
          <w:color w:val="auto"/>
        </w:rPr>
      </w:pPr>
    </w:p>
    <w:p>
      <w:pPr>
        <w:ind w:left="760" w:right="140"/>
        <w:spacing w:after="0" w:line="244" w:lineRule="auto"/>
        <w:rPr>
          <w:sz w:val="20"/>
          <w:szCs w:val="20"/>
          <w:color w:val="auto"/>
        </w:rPr>
      </w:pPr>
      <w:r>
        <w:rPr>
          <w:rFonts w:ascii="Arial" w:cs="Arial" w:eastAsia="Arial" w:hAnsi="Arial"/>
          <w:sz w:val="18"/>
          <w:szCs w:val="18"/>
          <w:color w:val="auto"/>
        </w:rPr>
        <w:t>Since our last annual meeting of shareholders, the Committee continued its director succession planning, using the process described above and taking into account, among other factors, shareholders’ interest in board refreshment and specifically in adding directors with oil and natural gas industry, energy and business transition, capital allocation, and finance expertise. Mr. Harris and Mr. Kellner were recommended by our executive search firm and joined the Board in January 2023.</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Director Re-Nomination</w:t>
      </w:r>
    </w:p>
    <w:p>
      <w:pPr>
        <w:spacing w:after="0" w:line="104" w:lineRule="exact"/>
        <w:rPr>
          <w:sz w:val="20"/>
          <w:szCs w:val="20"/>
          <w:color w:val="auto"/>
        </w:rPr>
      </w:pPr>
    </w:p>
    <w:p>
      <w:pPr>
        <w:ind w:left="760" w:right="460"/>
        <w:spacing w:after="0" w:line="253" w:lineRule="auto"/>
        <w:rPr>
          <w:sz w:val="20"/>
          <w:szCs w:val="20"/>
          <w:color w:val="auto"/>
        </w:rPr>
      </w:pPr>
      <w:r>
        <w:rPr>
          <w:rFonts w:ascii="Arial" w:cs="Arial" w:eastAsia="Arial" w:hAnsi="Arial"/>
          <w:sz w:val="18"/>
          <w:szCs w:val="18"/>
          <w:color w:val="auto"/>
        </w:rPr>
        <w:t>The Nominating and Governance Committee also oversees the re-nomination process. In considering whether to re-nominate a director for re-election at our annual meeting, the Committee reviews each director, considering such factors as:</w:t>
      </w:r>
    </w:p>
    <w:p>
      <w:pPr>
        <w:spacing w:after="0" w:line="74" w:lineRule="exact"/>
        <w:rPr>
          <w:sz w:val="20"/>
          <w:szCs w:val="20"/>
          <w:color w:val="auto"/>
        </w:rPr>
      </w:pPr>
    </w:p>
    <w:p>
      <w:pPr>
        <w:ind w:left="1140" w:hanging="376"/>
        <w:spacing w:after="0"/>
        <w:tabs>
          <w:tab w:leader="none" w:pos="114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Attendance and participation at Board and committee meetings;</w:t>
      </w:r>
    </w:p>
    <w:p>
      <w:pPr>
        <w:spacing w:after="0" w:line="137"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28</w:t>
      </w:r>
      <w:r>
        <w:rPr>
          <w:sz w:val="20"/>
          <w:szCs w:val="20"/>
          <w:color w:val="auto"/>
        </w:rPr>
        <w:tab/>
      </w:r>
      <w:r>
        <w:rPr>
          <w:sz w:val="1"/>
          <w:szCs w:val="1"/>
          <w:color w:val="auto"/>
        </w:rPr>
        <w:drawing>
          <wp:inline distT="0" distB="0" distL="0" distR="0">
            <wp:extent cx="737235" cy="14605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2023 Proxy Statement</w:t>
      </w:r>
    </w:p>
    <w:p>
      <w:pPr>
        <w:sectPr>
          <w:pgSz w:w="11900" w:h="16838" w:orient="portrait"/>
          <w:cols w:equalWidth="0" w:num="1">
            <w:col w:w="10380"/>
          </w:cols>
          <w:pgMar w:left="320" w:top="482" w:right="11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140" w:hanging="376"/>
        <w:spacing w:after="0"/>
        <w:tabs>
          <w:tab w:leader="none" w:pos="114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Skills, experience, and personal attributes;</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Continued contribution to the Board’s effectiveness;</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Results from the annual Board and committee self-assessments;</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Shareholder feedback, including the support received at our annual meeting of shareholders; and</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Independence.</w:t>
      </w:r>
    </w:p>
    <w:p>
      <w:pPr>
        <w:spacing w:after="0" w:line="22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Board Tenure</w:t>
      </w:r>
    </w:p>
    <w:p>
      <w:pPr>
        <w:spacing w:after="0" w:line="104" w:lineRule="exact"/>
        <w:rPr>
          <w:sz w:val="20"/>
          <w:szCs w:val="20"/>
          <w:color w:val="auto"/>
        </w:rPr>
      </w:pPr>
    </w:p>
    <w:p>
      <w:pPr>
        <w:ind w:left="760" w:right="40"/>
        <w:spacing w:after="0" w:line="244" w:lineRule="auto"/>
        <w:rPr>
          <w:sz w:val="20"/>
          <w:szCs w:val="20"/>
          <w:color w:val="auto"/>
        </w:rPr>
      </w:pPr>
      <w:r>
        <w:rPr>
          <w:rFonts w:ascii="Arial" w:cs="Arial" w:eastAsia="Arial" w:hAnsi="Arial"/>
          <w:sz w:val="18"/>
          <w:szCs w:val="18"/>
          <w:color w:val="auto"/>
        </w:rPr>
        <w:t>The Board does not impose tenure limits on its directors, other than a mandatory retirement age of 75 and the requirement to stand for election annually. Given the complexity and breadth of our business and its long-term investment horizons, the Board considers longevity of service and experience of great value. The Board also believes that its director compensation approach, which limits the vesting of restricted shares until retirement, closely aligns directors with the interests of long-term shareholders.</w:t>
      </w:r>
    </w:p>
    <w:p>
      <w:pPr>
        <w:spacing w:after="0" w:line="176" w:lineRule="exact"/>
        <w:rPr>
          <w:sz w:val="20"/>
          <w:szCs w:val="20"/>
          <w:color w:val="auto"/>
        </w:rPr>
      </w:pPr>
    </w:p>
    <w:p>
      <w:pPr>
        <w:ind w:left="760" w:right="140"/>
        <w:spacing w:after="0" w:line="271" w:lineRule="auto"/>
        <w:rPr>
          <w:sz w:val="20"/>
          <w:szCs w:val="20"/>
          <w:color w:val="auto"/>
        </w:rPr>
      </w:pPr>
      <w:r>
        <w:rPr>
          <w:rFonts w:ascii="Arial" w:cs="Arial" w:eastAsia="Arial" w:hAnsi="Arial"/>
          <w:sz w:val="18"/>
          <w:szCs w:val="18"/>
          <w:color w:val="auto"/>
        </w:rPr>
        <w:t>All ExxonMobil directors stand for election at the annual meeting. Non-employee directors cannot stand for election after they have reached age 75, unless the Board makes an exception on a case-by-case basis.</w:t>
      </w:r>
    </w:p>
    <w:p>
      <w:pPr>
        <w:spacing w:after="0" w:line="154" w:lineRule="exact"/>
        <w:rPr>
          <w:sz w:val="20"/>
          <w:szCs w:val="20"/>
          <w:color w:val="auto"/>
        </w:rPr>
      </w:pPr>
    </w:p>
    <w:p>
      <w:pPr>
        <w:ind w:left="760" w:right="360"/>
        <w:spacing w:after="0" w:line="253" w:lineRule="auto"/>
        <w:rPr>
          <w:sz w:val="20"/>
          <w:szCs w:val="20"/>
          <w:color w:val="auto"/>
        </w:rPr>
      </w:pPr>
      <w:r>
        <w:rPr>
          <w:rFonts w:ascii="Arial" w:cs="Arial" w:eastAsia="Arial" w:hAnsi="Arial"/>
          <w:sz w:val="18"/>
          <w:szCs w:val="18"/>
          <w:color w:val="auto"/>
        </w:rPr>
        <w:t>Restricted shares received by non-employee directors are subject to forfeiture if the non-employee director leaves the Board early, i.e., before the retirement age of 75. Employee directors resign from the Board when they are no longer employed by ExxonMobil.</w:t>
      </w:r>
    </w:p>
    <w:p>
      <w:pPr>
        <w:spacing w:after="0" w:line="169" w:lineRule="exact"/>
        <w:rPr>
          <w:sz w:val="20"/>
          <w:szCs w:val="20"/>
          <w:color w:val="auto"/>
        </w:rPr>
      </w:pPr>
    </w:p>
    <w:p>
      <w:pPr>
        <w:ind w:left="760" w:right="120"/>
        <w:spacing w:after="0" w:line="253" w:lineRule="auto"/>
        <w:rPr>
          <w:sz w:val="20"/>
          <w:szCs w:val="20"/>
          <w:color w:val="auto"/>
        </w:rPr>
      </w:pPr>
      <w:r>
        <w:rPr>
          <w:rFonts w:ascii="Arial" w:cs="Arial" w:eastAsia="Arial" w:hAnsi="Arial"/>
          <w:sz w:val="18"/>
          <w:szCs w:val="18"/>
          <w:color w:val="auto"/>
        </w:rPr>
        <w:t xml:space="preserve">As of April 1, 2023, the average tenure of ExxonMobil’s non-employee directors is 3.5 years, below the average of Standard &amp; Poor’s (S&amp;P) 500 companies of 7.8 years (per 2022 </w:t>
      </w:r>
      <w:r>
        <w:rPr>
          <w:rFonts w:ascii="Arial" w:cs="Arial" w:eastAsia="Arial" w:hAnsi="Arial"/>
          <w:sz w:val="18"/>
          <w:szCs w:val="18"/>
          <w:i w:val="1"/>
          <w:iCs w:val="1"/>
          <w:color w:val="auto"/>
        </w:rPr>
        <w:t>Spencer Stuart Board Index</w:t>
      </w:r>
      <w:r>
        <w:rPr>
          <w:rFonts w:ascii="Arial" w:cs="Arial" w:eastAsia="Arial" w:hAnsi="Arial"/>
          <w:sz w:val="18"/>
          <w:szCs w:val="18"/>
          <w:color w:val="auto"/>
        </w:rPr>
        <w:t>). More than sixty percent of current ExxonMobil directors have joined the Board since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136525</wp:posOffset>
            </wp:positionV>
            <wp:extent cx="5212080" cy="642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212080" cy="64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2022 Shareholder Vote Response</w:t>
      </w:r>
    </w:p>
    <w:p>
      <w:pPr>
        <w:spacing w:after="0" w:line="104" w:lineRule="exact"/>
        <w:rPr>
          <w:sz w:val="20"/>
          <w:szCs w:val="20"/>
          <w:color w:val="auto"/>
        </w:rPr>
      </w:pPr>
    </w:p>
    <w:p>
      <w:pPr>
        <w:ind w:left="760" w:right="80"/>
        <w:spacing w:after="0" w:line="242" w:lineRule="auto"/>
        <w:rPr>
          <w:sz w:val="20"/>
          <w:szCs w:val="20"/>
          <w:color w:val="auto"/>
        </w:rPr>
      </w:pPr>
      <w:r>
        <w:rPr>
          <w:rFonts w:ascii="Arial" w:cs="Arial" w:eastAsia="Arial" w:hAnsi="Arial"/>
          <w:sz w:val="18"/>
          <w:szCs w:val="18"/>
          <w:color w:val="auto"/>
        </w:rPr>
        <w:t>At last year’s annual shareholder meeting, our shareholders voted to receive more information about our resiliency modeling under the International Energy Agency’s Net Zero Emissions by 2050 (IEA NZE) scenario, through a majority vote in favor of shareholder proposal Item 8 – Report on Scenario Analysis. That shareholder proposal sought an audited report assessing how applying the assumptions of the IEA NZE pathway would affect the assumptions, costs, estimates, and valuations underlying our financial statements, including those related to long-term commodity and carbon prices, remaining asset lives, future asset retirement obligations, capital expenditures, and impairments.</w:t>
      </w:r>
    </w:p>
    <w:p>
      <w:pPr>
        <w:spacing w:after="0" w:line="179" w:lineRule="exact"/>
        <w:rPr>
          <w:sz w:val="20"/>
          <w:szCs w:val="20"/>
          <w:color w:val="auto"/>
        </w:rPr>
      </w:pPr>
    </w:p>
    <w:p>
      <w:pPr>
        <w:ind w:left="760"/>
        <w:spacing w:after="0" w:line="244" w:lineRule="auto"/>
        <w:rPr>
          <w:sz w:val="20"/>
          <w:szCs w:val="20"/>
          <w:color w:val="auto"/>
        </w:rPr>
      </w:pPr>
      <w:r>
        <w:rPr>
          <w:rFonts w:ascii="Arial" w:cs="Arial" w:eastAsia="Arial" w:hAnsi="Arial"/>
          <w:sz w:val="18"/>
          <w:szCs w:val="18"/>
          <w:color w:val="auto"/>
        </w:rPr>
        <w:t>In January 2022, we published a resiliency analysis in our Advancing Climate Solutions 2022 Progress Report, using the IEA NZE scenario assumptions, showing how our business could change under this aggressive decarbonization pathway. In the second half of 2022, Board members, senior management, and subject matter experts engaged with our shareholders to better understand their request for additional information on this scenario analysis. We also had additional engagement with the proponent, including participation by members of the Board.</w:t>
      </w:r>
    </w:p>
    <w:p>
      <w:pPr>
        <w:spacing w:after="0" w:line="176" w:lineRule="exact"/>
        <w:rPr>
          <w:sz w:val="20"/>
          <w:szCs w:val="20"/>
          <w:color w:val="auto"/>
        </w:rPr>
      </w:pPr>
    </w:p>
    <w:p>
      <w:pPr>
        <w:ind w:left="760" w:right="160"/>
        <w:spacing w:after="0" w:line="261" w:lineRule="auto"/>
        <w:rPr>
          <w:sz w:val="20"/>
          <w:szCs w:val="20"/>
          <w:color w:val="auto"/>
        </w:rPr>
      </w:pPr>
      <w:r>
        <w:rPr>
          <w:rFonts w:ascii="Arial" w:cs="Arial" w:eastAsia="Arial" w:hAnsi="Arial"/>
          <w:sz w:val="17"/>
          <w:szCs w:val="17"/>
          <w:color w:val="auto"/>
        </w:rPr>
        <w:t>Although there is a range of perspectives across our over 3 million shareholders, interest coalesced around certain key items. With input and oversight from our Board, in December 2022, we responded by updating our Advancing Climate Solutions 2023 Progress Report (ACS) with enhanced content and expanded disclosures reflecting the proposal and shareholder input. Since publishing the 2023 ACS, we have hosted several investor webcasts and engaged directly with investors on the expanded content, with positive feedback. The proponent attended one of these calls in February 2023.</w:t>
      </w:r>
    </w:p>
    <w:p>
      <w:pPr>
        <w:spacing w:after="0" w:line="139" w:lineRule="exact"/>
        <w:rPr>
          <w:sz w:val="20"/>
          <w:szCs w:val="20"/>
          <w:color w:val="auto"/>
        </w:rPr>
      </w:pPr>
    </w:p>
    <w:p>
      <w:pPr>
        <w:ind w:left="760"/>
        <w:spacing w:after="0" w:line="271" w:lineRule="auto"/>
        <w:rPr>
          <w:sz w:val="20"/>
          <w:szCs w:val="20"/>
          <w:color w:val="auto"/>
        </w:rPr>
      </w:pPr>
      <w:r>
        <w:rPr>
          <w:rFonts w:ascii="Arial" w:cs="Arial" w:eastAsia="Arial" w:hAnsi="Arial"/>
          <w:sz w:val="18"/>
          <w:szCs w:val="18"/>
          <w:color w:val="auto"/>
        </w:rPr>
        <w:t>Below is a summary of the investor input we received regarding our IEA NZE scenario analysis and the enhancements we provided in our most recent ACS report.</w:t>
      </w:r>
    </w:p>
    <w:p>
      <w:pPr>
        <w:spacing w:after="0" w:line="85"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54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460"/>
          </w:cols>
          <w:pgMar w:left="320" w:top="482" w:right="11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8" w:lineRule="exact"/>
        <w:rPr>
          <w:sz w:val="20"/>
          <w:szCs w:val="20"/>
          <w:color w:val="auto"/>
        </w:rPr>
      </w:pPr>
    </w:p>
    <w:tbl>
      <w:tblPr>
        <w:tblLayout w:type="fixed"/>
        <w:tblInd w:w="770" w:type="dxa"/>
        <w:tblCellMar>
          <w:top w:w="0" w:type="dxa"/>
          <w:left w:w="0" w:type="dxa"/>
          <w:bottom w:w="0" w:type="dxa"/>
          <w:right w:w="0" w:type="dxa"/>
        </w:tblCellMar>
      </w:tblPr>
      <w:tr>
        <w:trPr>
          <w:trHeight w:val="202"/>
        </w:trPr>
        <w:tc>
          <w:tcPr>
            <w:tcW w:w="2040" w:type="dxa"/>
            <w:vAlign w:val="bottom"/>
            <w:tcBorders>
              <w:left w:val="single" w:sz="8" w:color="2B4C9B"/>
            </w:tcBorders>
            <w:shd w:val="clear" w:color="auto" w:fill="2B4C9B"/>
          </w:tcPr>
          <w:p>
            <w:pPr>
              <w:ind w:left="160"/>
              <w:spacing w:after="0"/>
              <w:rPr>
                <w:sz w:val="20"/>
                <w:szCs w:val="20"/>
                <w:color w:val="auto"/>
              </w:rPr>
            </w:pPr>
            <w:r>
              <w:rPr>
                <w:rFonts w:ascii="Arial" w:cs="Arial" w:eastAsia="Arial" w:hAnsi="Arial"/>
                <w:sz w:val="16"/>
                <w:szCs w:val="16"/>
                <w:b w:val="1"/>
                <w:bCs w:val="1"/>
                <w:color w:val="FFFFFF"/>
              </w:rPr>
              <w:t>Key items heard from</w:t>
            </w:r>
          </w:p>
        </w:tc>
        <w:tc>
          <w:tcPr>
            <w:tcW w:w="420" w:type="dxa"/>
            <w:vAlign w:val="bottom"/>
            <w:tcBorders>
              <w:right w:val="single" w:sz="8" w:color="2B4C9B"/>
            </w:tcBorders>
            <w:shd w:val="clear" w:color="auto" w:fill="2B4C9B"/>
          </w:tcPr>
          <w:p>
            <w:pPr>
              <w:spacing w:after="0"/>
              <w:rPr>
                <w:sz w:val="17"/>
                <w:szCs w:val="17"/>
                <w:color w:val="auto"/>
              </w:rPr>
            </w:pPr>
          </w:p>
        </w:tc>
        <w:tc>
          <w:tcPr>
            <w:tcW w:w="160" w:type="dxa"/>
            <w:vAlign w:val="bottom"/>
            <w:shd w:val="clear" w:color="auto" w:fill="2B4C9B"/>
          </w:tcPr>
          <w:p>
            <w:pPr>
              <w:spacing w:after="0"/>
              <w:rPr>
                <w:sz w:val="17"/>
                <w:szCs w:val="17"/>
                <w:color w:val="auto"/>
              </w:rPr>
            </w:pPr>
          </w:p>
        </w:tc>
        <w:tc>
          <w:tcPr>
            <w:tcW w:w="6740" w:type="dxa"/>
            <w:vAlign w:val="bottom"/>
            <w:tcBorders>
              <w:right w:val="single" w:sz="8" w:color="2B4C9B"/>
            </w:tcBorders>
            <w:shd w:val="clear" w:color="auto" w:fill="2B4C9B"/>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40" w:type="dxa"/>
            <w:vAlign w:val="bottom"/>
            <w:tcBorders>
              <w:left w:val="single" w:sz="8" w:color="2B4C9B"/>
            </w:tcBorders>
            <w:shd w:val="clear" w:color="auto" w:fill="2B4C9B"/>
          </w:tcPr>
          <w:p>
            <w:pPr>
              <w:ind w:left="160"/>
              <w:spacing w:after="0"/>
              <w:rPr>
                <w:sz w:val="20"/>
                <w:szCs w:val="20"/>
                <w:color w:val="auto"/>
              </w:rPr>
            </w:pPr>
            <w:r>
              <w:rPr>
                <w:rFonts w:ascii="Arial" w:cs="Arial" w:eastAsia="Arial" w:hAnsi="Arial"/>
                <w:sz w:val="16"/>
                <w:szCs w:val="16"/>
                <w:b w:val="1"/>
                <w:bCs w:val="1"/>
                <w:color w:val="FFFFFF"/>
              </w:rPr>
              <w:t>shareholders</w:t>
            </w:r>
          </w:p>
        </w:tc>
        <w:tc>
          <w:tcPr>
            <w:tcW w:w="420" w:type="dxa"/>
            <w:vAlign w:val="bottom"/>
            <w:tcBorders>
              <w:right w:val="single" w:sz="8" w:color="2B4C9B"/>
            </w:tcBorders>
            <w:shd w:val="clear" w:color="auto" w:fill="2B4C9B"/>
          </w:tcPr>
          <w:p>
            <w:pPr>
              <w:spacing w:after="0"/>
              <w:rPr>
                <w:sz w:val="18"/>
                <w:szCs w:val="18"/>
                <w:color w:val="auto"/>
              </w:rPr>
            </w:pPr>
          </w:p>
        </w:tc>
        <w:tc>
          <w:tcPr>
            <w:tcW w:w="160" w:type="dxa"/>
            <w:vAlign w:val="bottom"/>
            <w:shd w:val="clear" w:color="auto" w:fill="2B4C9B"/>
          </w:tcPr>
          <w:p>
            <w:pPr>
              <w:spacing w:after="0"/>
              <w:rPr>
                <w:sz w:val="18"/>
                <w:szCs w:val="18"/>
                <w:color w:val="auto"/>
              </w:rPr>
            </w:pPr>
          </w:p>
        </w:tc>
        <w:tc>
          <w:tcPr>
            <w:tcW w:w="6740" w:type="dxa"/>
            <w:vAlign w:val="bottom"/>
            <w:tcBorders>
              <w:right w:val="single" w:sz="8" w:color="2B4C9B"/>
            </w:tcBorders>
            <w:shd w:val="clear" w:color="auto" w:fill="2B4C9B"/>
          </w:tcPr>
          <w:p>
            <w:pPr>
              <w:spacing w:after="0"/>
              <w:rPr>
                <w:sz w:val="20"/>
                <w:szCs w:val="20"/>
                <w:color w:val="auto"/>
              </w:rPr>
            </w:pPr>
            <w:r>
              <w:rPr>
                <w:rFonts w:ascii="Arial" w:cs="Arial" w:eastAsia="Arial" w:hAnsi="Arial"/>
                <w:sz w:val="16"/>
                <w:szCs w:val="16"/>
                <w:b w:val="1"/>
                <w:bCs w:val="1"/>
                <w:color w:val="FFFFFF"/>
              </w:rPr>
              <w:t>How we responded in our 2023 ACS disclosure</w:t>
            </w:r>
          </w:p>
        </w:tc>
        <w:tc>
          <w:tcPr>
            <w:tcW w:w="0" w:type="dxa"/>
            <w:vAlign w:val="bottom"/>
          </w:tcPr>
          <w:p>
            <w:pPr>
              <w:spacing w:after="0"/>
              <w:rPr>
                <w:sz w:val="1"/>
                <w:szCs w:val="1"/>
                <w:color w:val="auto"/>
              </w:rPr>
            </w:pPr>
          </w:p>
        </w:tc>
      </w:tr>
      <w:tr>
        <w:trPr>
          <w:trHeight w:val="251"/>
        </w:trPr>
        <w:tc>
          <w:tcPr>
            <w:tcW w:w="2460" w:type="dxa"/>
            <w:vAlign w:val="bottom"/>
            <w:tcBorders>
              <w:left w:val="single" w:sz="8" w:color="2B4C9B"/>
              <w:right w:val="single" w:sz="8" w:color="2B4C9B"/>
            </w:tcBorders>
            <w:gridSpan w:val="2"/>
          </w:tcPr>
          <w:p>
            <w:pPr>
              <w:ind w:left="180"/>
              <w:spacing w:after="0"/>
              <w:rPr>
                <w:sz w:val="20"/>
                <w:szCs w:val="20"/>
                <w:color w:val="auto"/>
              </w:rPr>
            </w:pPr>
            <w:r>
              <w:rPr>
                <w:rFonts w:ascii="Arial" w:cs="Arial" w:eastAsia="Arial" w:hAnsi="Arial"/>
                <w:sz w:val="18"/>
                <w:szCs w:val="18"/>
                <w:color w:val="auto"/>
              </w:rPr>
              <w:t>We should provide more</w:t>
            </w:r>
          </w:p>
        </w:tc>
        <w:tc>
          <w:tcPr>
            <w:tcW w:w="160" w:type="dxa"/>
            <w:vAlign w:val="bottom"/>
          </w:tcPr>
          <w:p>
            <w:pPr>
              <w:spacing w:after="0"/>
              <w:rPr>
                <w:sz w:val="21"/>
                <w:szCs w:val="21"/>
                <w:color w:val="auto"/>
              </w:rPr>
            </w:pPr>
          </w:p>
        </w:tc>
        <w:tc>
          <w:tcPr>
            <w:tcW w:w="6740" w:type="dxa"/>
            <w:vAlign w:val="bottom"/>
            <w:tcBorders>
              <w:right w:val="single" w:sz="8" w:color="2B4C9B"/>
            </w:tcBorders>
            <w:vMerge w:val="restart"/>
          </w:tcPr>
          <w:p>
            <w:pP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We explicitly detailed the IEA NZE assumptions that we used to inform demand</w:t>
            </w:r>
          </w:p>
        </w:tc>
        <w:tc>
          <w:tcPr>
            <w:tcW w:w="0" w:type="dxa"/>
            <w:vAlign w:val="bottom"/>
          </w:tcPr>
          <w:p>
            <w:pPr>
              <w:spacing w:after="0"/>
              <w:rPr>
                <w:sz w:val="1"/>
                <w:szCs w:val="1"/>
                <w:color w:val="auto"/>
              </w:rPr>
            </w:pPr>
          </w:p>
        </w:tc>
      </w:tr>
      <w:tr>
        <w:trPr>
          <w:trHeight w:val="108"/>
        </w:trPr>
        <w:tc>
          <w:tcPr>
            <w:tcW w:w="2460" w:type="dxa"/>
            <w:vAlign w:val="bottom"/>
            <w:tcBorders>
              <w:left w:val="single" w:sz="8" w:color="2B4C9B"/>
              <w:right w:val="single" w:sz="8" w:color="2B4C9B"/>
            </w:tcBorders>
            <w:gridSpan w:val="2"/>
            <w:vMerge w:val="restart"/>
          </w:tcPr>
          <w:p>
            <w:pPr>
              <w:ind w:left="180"/>
              <w:spacing w:after="0" w:line="202" w:lineRule="exact"/>
              <w:rPr>
                <w:sz w:val="20"/>
                <w:szCs w:val="20"/>
                <w:color w:val="auto"/>
              </w:rPr>
            </w:pPr>
            <w:r>
              <w:rPr>
                <w:rFonts w:ascii="Arial" w:cs="Arial" w:eastAsia="Arial" w:hAnsi="Arial"/>
                <w:sz w:val="18"/>
                <w:szCs w:val="18"/>
                <w:color w:val="auto"/>
              </w:rPr>
              <w:t>information on assumptions</w:t>
            </w:r>
          </w:p>
        </w:tc>
        <w:tc>
          <w:tcPr>
            <w:tcW w:w="160" w:type="dxa"/>
            <w:vAlign w:val="bottom"/>
          </w:tcPr>
          <w:p>
            <w:pPr>
              <w:spacing w:after="0"/>
              <w:rPr>
                <w:sz w:val="9"/>
                <w:szCs w:val="9"/>
                <w:color w:val="auto"/>
              </w:rPr>
            </w:pPr>
          </w:p>
        </w:tc>
        <w:tc>
          <w:tcPr>
            <w:tcW w:w="6740" w:type="dxa"/>
            <w:vAlign w:val="bottom"/>
            <w:tcBorders>
              <w:right w:val="single" w:sz="8" w:color="2B4C9B"/>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460" w:type="dxa"/>
            <w:vAlign w:val="bottom"/>
            <w:tcBorders>
              <w:left w:val="single" w:sz="8" w:color="2B4C9B"/>
              <w:right w:val="single" w:sz="8" w:color="2B4C9B"/>
            </w:tcBorders>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6740" w:type="dxa"/>
            <w:vAlign w:val="bottom"/>
            <w:tcBorders>
              <w:right w:val="single" w:sz="8" w:color="2B4C9B"/>
            </w:tcBorders>
            <w:vMerge w:val="restart"/>
          </w:tcPr>
          <w:p>
            <w:pPr>
              <w:ind w:left="180"/>
              <w:spacing w:after="0" w:line="202" w:lineRule="exact"/>
              <w:rPr>
                <w:sz w:val="20"/>
                <w:szCs w:val="20"/>
                <w:color w:val="auto"/>
              </w:rPr>
            </w:pPr>
            <w:r>
              <w:rPr>
                <w:rFonts w:ascii="Arial" w:cs="Arial" w:eastAsia="Arial" w:hAnsi="Arial"/>
                <w:sz w:val="18"/>
                <w:szCs w:val="18"/>
                <w:color w:val="auto"/>
              </w:rPr>
              <w:t>and pricing in our IEA NZE modeling and analysis.</w:t>
            </w:r>
          </w:p>
        </w:tc>
        <w:tc>
          <w:tcPr>
            <w:tcW w:w="0" w:type="dxa"/>
            <w:vAlign w:val="bottom"/>
          </w:tcPr>
          <w:p>
            <w:pPr>
              <w:spacing w:after="0"/>
              <w:rPr>
                <w:sz w:val="1"/>
                <w:szCs w:val="1"/>
                <w:color w:val="auto"/>
              </w:rPr>
            </w:pPr>
          </w:p>
        </w:tc>
      </w:tr>
      <w:tr>
        <w:trPr>
          <w:trHeight w:val="108"/>
        </w:trPr>
        <w:tc>
          <w:tcPr>
            <w:tcW w:w="2460" w:type="dxa"/>
            <w:vAlign w:val="bottom"/>
            <w:tcBorders>
              <w:left w:val="single" w:sz="8" w:color="2B4C9B"/>
              <w:right w:val="single" w:sz="8" w:color="2B4C9B"/>
            </w:tcBorders>
            <w:gridSpan w:val="2"/>
            <w:vMerge w:val="restart"/>
          </w:tcPr>
          <w:p>
            <w:pPr>
              <w:ind w:left="180"/>
              <w:spacing w:after="0" w:line="202" w:lineRule="exact"/>
              <w:rPr>
                <w:sz w:val="20"/>
                <w:szCs w:val="20"/>
                <w:color w:val="auto"/>
              </w:rPr>
            </w:pPr>
            <w:r>
              <w:rPr>
                <w:rFonts w:ascii="Arial" w:cs="Arial" w:eastAsia="Arial" w:hAnsi="Arial"/>
                <w:sz w:val="18"/>
                <w:szCs w:val="18"/>
                <w:color w:val="auto"/>
              </w:rPr>
              <w:t>used in our 2022 ACS IEA</w:t>
            </w:r>
          </w:p>
        </w:tc>
        <w:tc>
          <w:tcPr>
            <w:tcW w:w="160" w:type="dxa"/>
            <w:vAlign w:val="bottom"/>
          </w:tcPr>
          <w:p>
            <w:pPr>
              <w:spacing w:after="0"/>
              <w:rPr>
                <w:sz w:val="9"/>
                <w:szCs w:val="9"/>
                <w:color w:val="auto"/>
              </w:rPr>
            </w:pPr>
          </w:p>
        </w:tc>
        <w:tc>
          <w:tcPr>
            <w:tcW w:w="6740" w:type="dxa"/>
            <w:vAlign w:val="bottom"/>
            <w:tcBorders>
              <w:right w:val="single" w:sz="8" w:color="2B4C9B"/>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460" w:type="dxa"/>
            <w:vAlign w:val="bottom"/>
            <w:tcBorders>
              <w:left w:val="single" w:sz="8" w:color="2B4C9B"/>
              <w:right w:val="single" w:sz="8" w:color="2B4C9B"/>
            </w:tcBorders>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6740" w:type="dxa"/>
            <w:vAlign w:val="bottom"/>
            <w:tcBorders>
              <w:right w:val="single" w:sz="8" w:color="2B4C9B"/>
            </w:tcBorders>
            <w:vMerge w:val="restart"/>
          </w:tcPr>
          <w:p>
            <w:pP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See ACS Page 30.</w:t>
            </w:r>
          </w:p>
        </w:tc>
        <w:tc>
          <w:tcPr>
            <w:tcW w:w="0" w:type="dxa"/>
            <w:vAlign w:val="bottom"/>
          </w:tcPr>
          <w:p>
            <w:pPr>
              <w:spacing w:after="0"/>
              <w:rPr>
                <w:sz w:val="1"/>
                <w:szCs w:val="1"/>
                <w:color w:val="auto"/>
              </w:rPr>
            </w:pPr>
          </w:p>
        </w:tc>
      </w:tr>
      <w:tr>
        <w:trPr>
          <w:trHeight w:val="144"/>
        </w:trPr>
        <w:tc>
          <w:tcPr>
            <w:tcW w:w="2040" w:type="dxa"/>
            <w:vAlign w:val="bottom"/>
            <w:tcBorders>
              <w:left w:val="single" w:sz="8" w:color="2B4C9B"/>
            </w:tcBorders>
            <w:vMerge w:val="restart"/>
          </w:tcPr>
          <w:p>
            <w:pPr>
              <w:ind w:left="180"/>
              <w:spacing w:after="0"/>
              <w:rPr>
                <w:sz w:val="20"/>
                <w:szCs w:val="20"/>
                <w:color w:val="auto"/>
              </w:rPr>
            </w:pPr>
            <w:r>
              <w:rPr>
                <w:rFonts w:ascii="Arial" w:cs="Arial" w:eastAsia="Arial" w:hAnsi="Arial"/>
                <w:sz w:val="18"/>
                <w:szCs w:val="18"/>
                <w:color w:val="auto"/>
              </w:rPr>
              <w:t>NZE modeling.</w:t>
            </w:r>
          </w:p>
        </w:tc>
        <w:tc>
          <w:tcPr>
            <w:tcW w:w="420" w:type="dxa"/>
            <w:vAlign w:val="bottom"/>
            <w:tcBorders>
              <w:right w:val="single" w:sz="8" w:color="2B4C9B"/>
            </w:tcBorders>
          </w:tcPr>
          <w:p>
            <w:pPr>
              <w:spacing w:after="0"/>
              <w:rPr>
                <w:sz w:val="12"/>
                <w:szCs w:val="12"/>
                <w:color w:val="auto"/>
              </w:rPr>
            </w:pPr>
          </w:p>
        </w:tc>
        <w:tc>
          <w:tcPr>
            <w:tcW w:w="160" w:type="dxa"/>
            <w:vAlign w:val="bottom"/>
          </w:tcPr>
          <w:p>
            <w:pPr>
              <w:spacing w:after="0"/>
              <w:rPr>
                <w:sz w:val="12"/>
                <w:szCs w:val="12"/>
                <w:color w:val="auto"/>
              </w:rPr>
            </w:pPr>
          </w:p>
        </w:tc>
        <w:tc>
          <w:tcPr>
            <w:tcW w:w="6740" w:type="dxa"/>
            <w:vAlign w:val="bottom"/>
            <w:tcBorders>
              <w:right w:val="single" w:sz="8" w:color="2B4C9B"/>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40" w:type="dxa"/>
            <w:vAlign w:val="bottom"/>
            <w:tcBorders>
              <w:left w:val="single" w:sz="8" w:color="2B4C9B"/>
            </w:tcBorders>
            <w:vMerge w:val="continue"/>
          </w:tcPr>
          <w:p>
            <w:pPr>
              <w:spacing w:after="0"/>
              <w:rPr>
                <w:sz w:val="8"/>
                <w:szCs w:val="8"/>
                <w:color w:val="auto"/>
              </w:rPr>
            </w:pPr>
          </w:p>
        </w:tc>
        <w:tc>
          <w:tcPr>
            <w:tcW w:w="420" w:type="dxa"/>
            <w:vAlign w:val="bottom"/>
            <w:tcBorders>
              <w:right w:val="single" w:sz="8" w:color="2B4C9B"/>
            </w:tcBorders>
          </w:tcPr>
          <w:p>
            <w:pPr>
              <w:spacing w:after="0"/>
              <w:rPr>
                <w:sz w:val="8"/>
                <w:szCs w:val="8"/>
                <w:color w:val="auto"/>
              </w:rPr>
            </w:pPr>
          </w:p>
        </w:tc>
        <w:tc>
          <w:tcPr>
            <w:tcW w:w="160" w:type="dxa"/>
            <w:vAlign w:val="bottom"/>
          </w:tcPr>
          <w:p>
            <w:pPr>
              <w:spacing w:after="0"/>
              <w:rPr>
                <w:sz w:val="8"/>
                <w:szCs w:val="8"/>
                <w:color w:val="auto"/>
              </w:rPr>
            </w:pPr>
          </w:p>
        </w:tc>
        <w:tc>
          <w:tcPr>
            <w:tcW w:w="6740" w:type="dxa"/>
            <w:vAlign w:val="bottom"/>
            <w:tcBorders>
              <w:right w:val="single" w:sz="8" w:color="2B4C9B"/>
            </w:tcBorders>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2460" w:type="dxa"/>
            <w:vAlign w:val="bottom"/>
            <w:tcBorders>
              <w:left w:val="single" w:sz="8" w:color="2B4C9B"/>
              <w:bottom w:val="single" w:sz="8" w:color="2B4C9B"/>
              <w:right w:val="single" w:sz="8" w:color="2B4C9B"/>
            </w:tcBorders>
            <w:gridSpan w:val="2"/>
          </w:tcPr>
          <w:p>
            <w:pPr>
              <w:spacing w:after="0"/>
              <w:rPr>
                <w:sz w:val="13"/>
                <w:szCs w:val="13"/>
                <w:color w:val="auto"/>
              </w:rPr>
            </w:pPr>
          </w:p>
        </w:tc>
        <w:tc>
          <w:tcPr>
            <w:tcW w:w="160" w:type="dxa"/>
            <w:vAlign w:val="bottom"/>
            <w:tcBorders>
              <w:bottom w:val="single" w:sz="8" w:color="2B4C9B"/>
            </w:tcBorders>
          </w:tcPr>
          <w:p>
            <w:pPr>
              <w:spacing w:after="0"/>
              <w:rPr>
                <w:sz w:val="13"/>
                <w:szCs w:val="13"/>
                <w:color w:val="auto"/>
              </w:rPr>
            </w:pPr>
          </w:p>
        </w:tc>
        <w:tc>
          <w:tcPr>
            <w:tcW w:w="6740" w:type="dxa"/>
            <w:vAlign w:val="bottom"/>
            <w:tcBorders>
              <w:bottom w:val="single" w:sz="8" w:color="2B4C9B"/>
              <w:right w:val="single" w:sz="8" w:color="2B4C9B"/>
            </w:tcBorders>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460" w:type="dxa"/>
            <w:vAlign w:val="bottom"/>
            <w:tcBorders>
              <w:left w:val="single" w:sz="8" w:color="2B4C9B"/>
              <w:right w:val="single" w:sz="8" w:color="2B4C9B"/>
            </w:tcBorders>
            <w:gridSpan w:val="2"/>
          </w:tcPr>
          <w:p>
            <w:pPr>
              <w:ind w:left="180"/>
              <w:spacing w:after="0"/>
              <w:rPr>
                <w:sz w:val="20"/>
                <w:szCs w:val="20"/>
                <w:color w:val="auto"/>
              </w:rPr>
            </w:pPr>
            <w:r>
              <w:rPr>
                <w:rFonts w:ascii="Arial" w:cs="Arial" w:eastAsia="Arial" w:hAnsi="Arial"/>
                <w:sz w:val="18"/>
                <w:szCs w:val="18"/>
                <w:color w:val="auto"/>
              </w:rPr>
              <w:t>We should provide more</w:t>
            </w:r>
          </w:p>
        </w:tc>
        <w:tc>
          <w:tcPr>
            <w:tcW w:w="160" w:type="dxa"/>
            <w:vAlign w:val="bottom"/>
          </w:tcPr>
          <w:p>
            <w:pPr>
              <w:spacing w:after="0"/>
              <w:rPr>
                <w:sz w:val="21"/>
                <w:szCs w:val="21"/>
                <w:color w:val="auto"/>
              </w:rPr>
            </w:pPr>
          </w:p>
        </w:tc>
        <w:tc>
          <w:tcPr>
            <w:tcW w:w="6740" w:type="dxa"/>
            <w:vAlign w:val="bottom"/>
            <w:tcBorders>
              <w:right w:val="single" w:sz="8" w:color="2B4C9B"/>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460" w:type="dxa"/>
            <w:vAlign w:val="bottom"/>
            <w:tcBorders>
              <w:left w:val="single" w:sz="8" w:color="2B4C9B"/>
              <w:right w:val="single" w:sz="8" w:color="2B4C9B"/>
            </w:tcBorders>
            <w:gridSpan w:val="2"/>
          </w:tcPr>
          <w:p>
            <w:pPr>
              <w:ind w:left="180"/>
              <w:spacing w:after="0" w:line="202" w:lineRule="exact"/>
              <w:rPr>
                <w:sz w:val="20"/>
                <w:szCs w:val="20"/>
                <w:color w:val="auto"/>
              </w:rPr>
            </w:pPr>
            <w:r>
              <w:rPr>
                <w:rFonts w:ascii="Arial" w:cs="Arial" w:eastAsia="Arial" w:hAnsi="Arial"/>
                <w:sz w:val="18"/>
                <w:szCs w:val="18"/>
                <w:color w:val="auto"/>
              </w:rPr>
              <w:t>context around the effects</w:t>
            </w:r>
          </w:p>
        </w:tc>
        <w:tc>
          <w:tcPr>
            <w:tcW w:w="160" w:type="dxa"/>
            <w:vAlign w:val="bottom"/>
          </w:tcPr>
          <w:p>
            <w:pPr>
              <w:spacing w:after="0"/>
              <w:rPr>
                <w:sz w:val="17"/>
                <w:szCs w:val="17"/>
                <w:color w:val="auto"/>
              </w:rPr>
            </w:pPr>
          </w:p>
        </w:tc>
        <w:tc>
          <w:tcPr>
            <w:tcW w:w="6740" w:type="dxa"/>
            <w:vAlign w:val="bottom"/>
            <w:tcBorders>
              <w:right w:val="single" w:sz="8" w:color="2B4C9B"/>
            </w:tcBorders>
            <w:vMerge w:val="restart"/>
          </w:tcPr>
          <w:p>
            <w:pP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Our IEA NZE-modeled operating cash flow disclosures in our ACS have been</w:t>
            </w:r>
          </w:p>
        </w:tc>
        <w:tc>
          <w:tcPr>
            <w:tcW w:w="0" w:type="dxa"/>
            <w:vAlign w:val="bottom"/>
          </w:tcPr>
          <w:p>
            <w:pPr>
              <w:spacing w:after="0"/>
              <w:rPr>
                <w:sz w:val="1"/>
                <w:szCs w:val="1"/>
                <w:color w:val="auto"/>
              </w:rPr>
            </w:pPr>
          </w:p>
        </w:tc>
      </w:tr>
      <w:tr>
        <w:trPr>
          <w:trHeight w:val="94"/>
        </w:trPr>
        <w:tc>
          <w:tcPr>
            <w:tcW w:w="2460" w:type="dxa"/>
            <w:vAlign w:val="bottom"/>
            <w:tcBorders>
              <w:left w:val="single" w:sz="8" w:color="2B4C9B"/>
              <w:right w:val="single" w:sz="8" w:color="2B4C9B"/>
            </w:tcBorders>
            <w:gridSpan w:val="2"/>
            <w:vMerge w:val="restart"/>
          </w:tcPr>
          <w:p>
            <w:pPr>
              <w:ind w:left="180"/>
              <w:spacing w:after="0" w:line="202" w:lineRule="exact"/>
              <w:rPr>
                <w:sz w:val="20"/>
                <w:szCs w:val="20"/>
                <w:color w:val="auto"/>
              </w:rPr>
            </w:pPr>
            <w:r>
              <w:rPr>
                <w:rFonts w:ascii="Arial" w:cs="Arial" w:eastAsia="Arial" w:hAnsi="Arial"/>
                <w:sz w:val="18"/>
                <w:szCs w:val="18"/>
                <w:color w:val="auto"/>
              </w:rPr>
              <w:t>the IEA NZE assumptions</w:t>
            </w:r>
          </w:p>
        </w:tc>
        <w:tc>
          <w:tcPr>
            <w:tcW w:w="160" w:type="dxa"/>
            <w:vAlign w:val="bottom"/>
          </w:tcPr>
          <w:p>
            <w:pPr>
              <w:spacing w:after="0"/>
              <w:rPr>
                <w:sz w:val="8"/>
                <w:szCs w:val="8"/>
                <w:color w:val="auto"/>
              </w:rPr>
            </w:pPr>
          </w:p>
        </w:tc>
        <w:tc>
          <w:tcPr>
            <w:tcW w:w="6740" w:type="dxa"/>
            <w:vAlign w:val="bottom"/>
            <w:tcBorders>
              <w:right w:val="single" w:sz="8" w:color="2B4C9B"/>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460" w:type="dxa"/>
            <w:vAlign w:val="bottom"/>
            <w:tcBorders>
              <w:left w:val="single" w:sz="8" w:color="2B4C9B"/>
              <w:right w:val="single" w:sz="8" w:color="2B4C9B"/>
            </w:tcBorders>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740" w:type="dxa"/>
            <w:vAlign w:val="bottom"/>
            <w:tcBorders>
              <w:right w:val="single" w:sz="8" w:color="2B4C9B"/>
            </w:tcBorders>
            <w:vMerge w:val="restart"/>
          </w:tcPr>
          <w:p>
            <w:pPr>
              <w:ind w:left="180"/>
              <w:spacing w:after="0" w:line="202" w:lineRule="exact"/>
              <w:rPr>
                <w:sz w:val="20"/>
                <w:szCs w:val="20"/>
                <w:color w:val="auto"/>
              </w:rPr>
            </w:pPr>
            <w:r>
              <w:rPr>
                <w:rFonts w:ascii="Arial" w:cs="Arial" w:eastAsia="Arial" w:hAnsi="Arial"/>
                <w:sz w:val="18"/>
                <w:szCs w:val="18"/>
                <w:color w:val="auto"/>
              </w:rPr>
              <w:t>designed to show more scale and the potential growth or contraction over time for</w:t>
            </w:r>
          </w:p>
        </w:tc>
        <w:tc>
          <w:tcPr>
            <w:tcW w:w="0" w:type="dxa"/>
            <w:vAlign w:val="bottom"/>
          </w:tcPr>
          <w:p>
            <w:pPr>
              <w:spacing w:after="0"/>
              <w:rPr>
                <w:sz w:val="1"/>
                <w:szCs w:val="1"/>
                <w:color w:val="auto"/>
              </w:rPr>
            </w:pPr>
          </w:p>
        </w:tc>
      </w:tr>
      <w:tr>
        <w:trPr>
          <w:trHeight w:val="94"/>
        </w:trPr>
        <w:tc>
          <w:tcPr>
            <w:tcW w:w="2460" w:type="dxa"/>
            <w:vAlign w:val="bottom"/>
            <w:tcBorders>
              <w:left w:val="single" w:sz="8" w:color="2B4C9B"/>
              <w:right w:val="single" w:sz="8" w:color="2B4C9B"/>
            </w:tcBorders>
            <w:gridSpan w:val="2"/>
            <w:vMerge w:val="restart"/>
          </w:tcPr>
          <w:p>
            <w:pPr>
              <w:ind w:left="180"/>
              <w:spacing w:after="0" w:line="202" w:lineRule="exact"/>
              <w:rPr>
                <w:sz w:val="20"/>
                <w:szCs w:val="20"/>
                <w:color w:val="auto"/>
              </w:rPr>
            </w:pPr>
            <w:r>
              <w:rPr>
                <w:rFonts w:ascii="Arial" w:cs="Arial" w:eastAsia="Arial" w:hAnsi="Arial"/>
                <w:sz w:val="18"/>
                <w:szCs w:val="18"/>
                <w:color w:val="auto"/>
              </w:rPr>
              <w:t>could have on our 2022</w:t>
            </w:r>
          </w:p>
        </w:tc>
        <w:tc>
          <w:tcPr>
            <w:tcW w:w="160" w:type="dxa"/>
            <w:vAlign w:val="bottom"/>
          </w:tcPr>
          <w:p>
            <w:pPr>
              <w:spacing w:after="0"/>
              <w:rPr>
                <w:sz w:val="8"/>
                <w:szCs w:val="8"/>
                <w:color w:val="auto"/>
              </w:rPr>
            </w:pPr>
          </w:p>
        </w:tc>
        <w:tc>
          <w:tcPr>
            <w:tcW w:w="6740" w:type="dxa"/>
            <w:vAlign w:val="bottom"/>
            <w:tcBorders>
              <w:right w:val="single" w:sz="8" w:color="2B4C9B"/>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460" w:type="dxa"/>
            <w:vAlign w:val="bottom"/>
            <w:tcBorders>
              <w:left w:val="single" w:sz="8" w:color="2B4C9B"/>
              <w:right w:val="single" w:sz="8" w:color="2B4C9B"/>
            </w:tcBorders>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740" w:type="dxa"/>
            <w:vAlign w:val="bottom"/>
            <w:tcBorders>
              <w:right w:val="single" w:sz="8" w:color="2B4C9B"/>
            </w:tcBorders>
            <w:vMerge w:val="restart"/>
          </w:tcPr>
          <w:p>
            <w:pPr>
              <w:ind w:left="180"/>
              <w:spacing w:after="0" w:line="202" w:lineRule="exact"/>
              <w:rPr>
                <w:sz w:val="20"/>
                <w:szCs w:val="20"/>
                <w:color w:val="auto"/>
              </w:rPr>
            </w:pPr>
            <w:r>
              <w:rPr>
                <w:rFonts w:ascii="Arial" w:cs="Arial" w:eastAsia="Arial" w:hAnsi="Arial"/>
                <w:sz w:val="18"/>
                <w:szCs w:val="18"/>
                <w:color w:val="auto"/>
              </w:rPr>
              <w:t>key elements of our portfolio under this scenario.</w:t>
            </w:r>
          </w:p>
        </w:tc>
        <w:tc>
          <w:tcPr>
            <w:tcW w:w="0" w:type="dxa"/>
            <w:vAlign w:val="bottom"/>
          </w:tcPr>
          <w:p>
            <w:pPr>
              <w:spacing w:after="0"/>
              <w:rPr>
                <w:sz w:val="1"/>
                <w:szCs w:val="1"/>
                <w:color w:val="auto"/>
              </w:rPr>
            </w:pPr>
          </w:p>
        </w:tc>
      </w:tr>
      <w:tr>
        <w:trPr>
          <w:trHeight w:val="94"/>
        </w:trPr>
        <w:tc>
          <w:tcPr>
            <w:tcW w:w="2460" w:type="dxa"/>
            <w:vAlign w:val="bottom"/>
            <w:tcBorders>
              <w:left w:val="single" w:sz="8" w:color="2B4C9B"/>
              <w:right w:val="single" w:sz="8" w:color="2B4C9B"/>
            </w:tcBorders>
            <w:gridSpan w:val="2"/>
            <w:vMerge w:val="restart"/>
          </w:tcPr>
          <w:p>
            <w:pPr>
              <w:ind w:left="180"/>
              <w:spacing w:after="0" w:line="202" w:lineRule="exact"/>
              <w:rPr>
                <w:sz w:val="20"/>
                <w:szCs w:val="20"/>
                <w:color w:val="auto"/>
              </w:rPr>
            </w:pPr>
            <w:r>
              <w:rPr>
                <w:rFonts w:ascii="Arial" w:cs="Arial" w:eastAsia="Arial" w:hAnsi="Arial"/>
                <w:sz w:val="18"/>
                <w:szCs w:val="18"/>
                <w:color w:val="auto"/>
              </w:rPr>
              <w:t>ACS IEA NZE modeling of</w:t>
            </w:r>
          </w:p>
        </w:tc>
        <w:tc>
          <w:tcPr>
            <w:tcW w:w="160" w:type="dxa"/>
            <w:vAlign w:val="bottom"/>
          </w:tcPr>
          <w:p>
            <w:pPr>
              <w:spacing w:after="0"/>
              <w:rPr>
                <w:sz w:val="8"/>
                <w:szCs w:val="8"/>
                <w:color w:val="auto"/>
              </w:rPr>
            </w:pPr>
          </w:p>
        </w:tc>
        <w:tc>
          <w:tcPr>
            <w:tcW w:w="6740" w:type="dxa"/>
            <w:vAlign w:val="bottom"/>
            <w:tcBorders>
              <w:right w:val="single" w:sz="8" w:color="2B4C9B"/>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460" w:type="dxa"/>
            <w:vAlign w:val="bottom"/>
            <w:tcBorders>
              <w:left w:val="single" w:sz="8" w:color="2B4C9B"/>
              <w:right w:val="single" w:sz="8" w:color="2B4C9B"/>
            </w:tcBorders>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740" w:type="dxa"/>
            <w:vAlign w:val="bottom"/>
            <w:tcBorders>
              <w:right w:val="single" w:sz="8" w:color="2B4C9B"/>
            </w:tcBorders>
            <w:vMerge w:val="restart"/>
          </w:tcPr>
          <w:p>
            <w:pP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Similarly, modeled effects on capital expenditures were enhanced to provide</w:t>
            </w:r>
          </w:p>
        </w:tc>
        <w:tc>
          <w:tcPr>
            <w:tcW w:w="0" w:type="dxa"/>
            <w:vAlign w:val="bottom"/>
          </w:tcPr>
          <w:p>
            <w:pPr>
              <w:spacing w:after="0"/>
              <w:rPr>
                <w:sz w:val="1"/>
                <w:szCs w:val="1"/>
                <w:color w:val="auto"/>
              </w:rPr>
            </w:pPr>
          </w:p>
        </w:tc>
      </w:tr>
      <w:tr>
        <w:trPr>
          <w:trHeight w:val="108"/>
        </w:trPr>
        <w:tc>
          <w:tcPr>
            <w:tcW w:w="2040" w:type="dxa"/>
            <w:vAlign w:val="bottom"/>
            <w:tcBorders>
              <w:left w:val="single" w:sz="8" w:color="2B4C9B"/>
            </w:tcBorders>
            <w:vMerge w:val="restart"/>
          </w:tcPr>
          <w:p>
            <w:pPr>
              <w:ind w:left="180"/>
              <w:spacing w:after="0" w:line="202" w:lineRule="exact"/>
              <w:rPr>
                <w:sz w:val="20"/>
                <w:szCs w:val="20"/>
                <w:color w:val="auto"/>
              </w:rPr>
            </w:pPr>
            <w:r>
              <w:rPr>
                <w:rFonts w:ascii="Arial" w:cs="Arial" w:eastAsia="Arial" w:hAnsi="Arial"/>
                <w:sz w:val="18"/>
                <w:szCs w:val="18"/>
                <w:color w:val="auto"/>
              </w:rPr>
              <w:t>financial statement</w:t>
            </w:r>
          </w:p>
        </w:tc>
        <w:tc>
          <w:tcPr>
            <w:tcW w:w="420" w:type="dxa"/>
            <w:vAlign w:val="bottom"/>
            <w:tcBorders>
              <w:right w:val="single" w:sz="8" w:color="2B4C9B"/>
            </w:tcBorders>
          </w:tcPr>
          <w:p>
            <w:pPr>
              <w:spacing w:after="0"/>
              <w:rPr>
                <w:sz w:val="9"/>
                <w:szCs w:val="9"/>
                <w:color w:val="auto"/>
              </w:rPr>
            </w:pPr>
          </w:p>
        </w:tc>
        <w:tc>
          <w:tcPr>
            <w:tcW w:w="160" w:type="dxa"/>
            <w:vAlign w:val="bottom"/>
          </w:tcPr>
          <w:p>
            <w:pPr>
              <w:spacing w:after="0"/>
              <w:rPr>
                <w:sz w:val="9"/>
                <w:szCs w:val="9"/>
                <w:color w:val="auto"/>
              </w:rPr>
            </w:pPr>
          </w:p>
        </w:tc>
        <w:tc>
          <w:tcPr>
            <w:tcW w:w="6740" w:type="dxa"/>
            <w:vAlign w:val="bottom"/>
            <w:tcBorders>
              <w:right w:val="single" w:sz="8" w:color="2B4C9B"/>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040" w:type="dxa"/>
            <w:vAlign w:val="bottom"/>
            <w:tcBorders>
              <w:left w:val="single" w:sz="8" w:color="2B4C9B"/>
            </w:tcBorders>
            <w:vMerge w:val="continue"/>
          </w:tcPr>
          <w:p>
            <w:pPr>
              <w:spacing w:after="0"/>
              <w:rPr>
                <w:sz w:val="8"/>
                <w:szCs w:val="8"/>
                <w:color w:val="auto"/>
              </w:rPr>
            </w:pPr>
          </w:p>
        </w:tc>
        <w:tc>
          <w:tcPr>
            <w:tcW w:w="420" w:type="dxa"/>
            <w:vAlign w:val="bottom"/>
            <w:tcBorders>
              <w:right w:val="single" w:sz="8" w:color="2B4C9B"/>
            </w:tcBorders>
          </w:tcPr>
          <w:p>
            <w:pPr>
              <w:spacing w:after="0"/>
              <w:rPr>
                <w:sz w:val="8"/>
                <w:szCs w:val="8"/>
                <w:color w:val="auto"/>
              </w:rPr>
            </w:pPr>
          </w:p>
        </w:tc>
        <w:tc>
          <w:tcPr>
            <w:tcW w:w="160" w:type="dxa"/>
            <w:vAlign w:val="bottom"/>
          </w:tcPr>
          <w:p>
            <w:pPr>
              <w:spacing w:after="0"/>
              <w:rPr>
                <w:sz w:val="8"/>
                <w:szCs w:val="8"/>
                <w:color w:val="auto"/>
              </w:rPr>
            </w:pPr>
          </w:p>
        </w:tc>
        <w:tc>
          <w:tcPr>
            <w:tcW w:w="6740" w:type="dxa"/>
            <w:vAlign w:val="bottom"/>
            <w:tcBorders>
              <w:right w:val="single" w:sz="8" w:color="2B4C9B"/>
            </w:tcBorders>
            <w:vMerge w:val="restart"/>
          </w:tcPr>
          <w:p>
            <w:pPr>
              <w:ind w:left="180"/>
              <w:spacing w:after="0" w:line="202" w:lineRule="exact"/>
              <w:rPr>
                <w:sz w:val="20"/>
                <w:szCs w:val="20"/>
                <w:color w:val="auto"/>
              </w:rPr>
            </w:pPr>
            <w:r>
              <w:rPr>
                <w:rFonts w:ascii="Arial" w:cs="Arial" w:eastAsia="Arial" w:hAnsi="Arial"/>
                <w:sz w:val="18"/>
                <w:szCs w:val="18"/>
                <w:color w:val="auto"/>
              </w:rPr>
              <w:t>greater transparency by business to 2050.</w:t>
            </w:r>
          </w:p>
        </w:tc>
        <w:tc>
          <w:tcPr>
            <w:tcW w:w="0" w:type="dxa"/>
            <w:vAlign w:val="bottom"/>
          </w:tcPr>
          <w:p>
            <w:pPr>
              <w:spacing w:after="0"/>
              <w:rPr>
                <w:sz w:val="1"/>
                <w:szCs w:val="1"/>
                <w:color w:val="auto"/>
              </w:rPr>
            </w:pPr>
          </w:p>
        </w:tc>
      </w:tr>
      <w:tr>
        <w:trPr>
          <w:trHeight w:val="108"/>
        </w:trPr>
        <w:tc>
          <w:tcPr>
            <w:tcW w:w="2460" w:type="dxa"/>
            <w:vAlign w:val="bottom"/>
            <w:tcBorders>
              <w:left w:val="single" w:sz="8" w:color="2B4C9B"/>
              <w:right w:val="single" w:sz="8" w:color="2B4C9B"/>
            </w:tcBorders>
            <w:gridSpan w:val="2"/>
            <w:vMerge w:val="restart"/>
          </w:tcPr>
          <w:p>
            <w:pPr>
              <w:ind w:left="180"/>
              <w:spacing w:after="0" w:line="202" w:lineRule="exact"/>
              <w:rPr>
                <w:sz w:val="20"/>
                <w:szCs w:val="20"/>
                <w:color w:val="auto"/>
              </w:rPr>
            </w:pPr>
            <w:r>
              <w:rPr>
                <w:rFonts w:ascii="Arial" w:cs="Arial" w:eastAsia="Arial" w:hAnsi="Arial"/>
                <w:sz w:val="18"/>
                <w:szCs w:val="18"/>
                <w:color w:val="auto"/>
              </w:rPr>
              <w:t>estimates of operating cash</w:t>
            </w:r>
          </w:p>
        </w:tc>
        <w:tc>
          <w:tcPr>
            <w:tcW w:w="160" w:type="dxa"/>
            <w:vAlign w:val="bottom"/>
          </w:tcPr>
          <w:p>
            <w:pPr>
              <w:spacing w:after="0"/>
              <w:rPr>
                <w:sz w:val="9"/>
                <w:szCs w:val="9"/>
                <w:color w:val="auto"/>
              </w:rPr>
            </w:pPr>
          </w:p>
        </w:tc>
        <w:tc>
          <w:tcPr>
            <w:tcW w:w="6740" w:type="dxa"/>
            <w:vAlign w:val="bottom"/>
            <w:tcBorders>
              <w:right w:val="single" w:sz="8" w:color="2B4C9B"/>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460" w:type="dxa"/>
            <w:vAlign w:val="bottom"/>
            <w:tcBorders>
              <w:left w:val="single" w:sz="8" w:color="2B4C9B"/>
              <w:right w:val="single" w:sz="8" w:color="2B4C9B"/>
            </w:tcBorders>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6740" w:type="dxa"/>
            <w:vAlign w:val="bottom"/>
            <w:tcBorders>
              <w:right w:val="single" w:sz="8" w:color="2B4C9B"/>
            </w:tcBorders>
            <w:vMerge w:val="restart"/>
          </w:tcPr>
          <w:p>
            <w:pP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See ACS Page 31.</w:t>
            </w:r>
          </w:p>
        </w:tc>
        <w:tc>
          <w:tcPr>
            <w:tcW w:w="0" w:type="dxa"/>
            <w:vAlign w:val="bottom"/>
          </w:tcPr>
          <w:p>
            <w:pPr>
              <w:spacing w:after="0"/>
              <w:rPr>
                <w:sz w:val="1"/>
                <w:szCs w:val="1"/>
                <w:color w:val="auto"/>
              </w:rPr>
            </w:pPr>
          </w:p>
        </w:tc>
      </w:tr>
      <w:tr>
        <w:trPr>
          <w:trHeight w:val="144"/>
        </w:trPr>
        <w:tc>
          <w:tcPr>
            <w:tcW w:w="2040" w:type="dxa"/>
            <w:vAlign w:val="bottom"/>
            <w:tcBorders>
              <w:left w:val="single" w:sz="8" w:color="2B4C9B"/>
            </w:tcBorders>
            <w:vMerge w:val="restart"/>
          </w:tcPr>
          <w:p>
            <w:pPr>
              <w:ind w:left="180"/>
              <w:spacing w:after="0" w:line="202" w:lineRule="exact"/>
              <w:rPr>
                <w:sz w:val="20"/>
                <w:szCs w:val="20"/>
                <w:color w:val="auto"/>
              </w:rPr>
            </w:pPr>
            <w:r>
              <w:rPr>
                <w:rFonts w:ascii="Arial" w:cs="Arial" w:eastAsia="Arial" w:hAnsi="Arial"/>
                <w:sz w:val="18"/>
                <w:szCs w:val="18"/>
                <w:color w:val="auto"/>
              </w:rPr>
              <w:t>flow and capital</w:t>
            </w:r>
          </w:p>
        </w:tc>
        <w:tc>
          <w:tcPr>
            <w:tcW w:w="420" w:type="dxa"/>
            <w:vAlign w:val="bottom"/>
            <w:tcBorders>
              <w:right w:val="single" w:sz="8" w:color="2B4C9B"/>
            </w:tcBorders>
          </w:tcPr>
          <w:p>
            <w:pPr>
              <w:spacing w:after="0"/>
              <w:rPr>
                <w:sz w:val="12"/>
                <w:szCs w:val="12"/>
                <w:color w:val="auto"/>
              </w:rPr>
            </w:pPr>
          </w:p>
        </w:tc>
        <w:tc>
          <w:tcPr>
            <w:tcW w:w="160" w:type="dxa"/>
            <w:vAlign w:val="bottom"/>
          </w:tcPr>
          <w:p>
            <w:pPr>
              <w:spacing w:after="0"/>
              <w:rPr>
                <w:sz w:val="12"/>
                <w:szCs w:val="12"/>
                <w:color w:val="auto"/>
              </w:rPr>
            </w:pPr>
          </w:p>
        </w:tc>
        <w:tc>
          <w:tcPr>
            <w:tcW w:w="6740" w:type="dxa"/>
            <w:vAlign w:val="bottom"/>
            <w:tcBorders>
              <w:right w:val="single" w:sz="8" w:color="2B4C9B"/>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8"/>
        </w:trPr>
        <w:tc>
          <w:tcPr>
            <w:tcW w:w="2040" w:type="dxa"/>
            <w:vAlign w:val="bottom"/>
            <w:tcBorders>
              <w:left w:val="single" w:sz="8" w:color="2B4C9B"/>
            </w:tcBorders>
            <w:vMerge w:val="continue"/>
          </w:tcPr>
          <w:p>
            <w:pPr>
              <w:spacing w:after="0"/>
              <w:rPr>
                <w:sz w:val="5"/>
                <w:szCs w:val="5"/>
                <w:color w:val="auto"/>
              </w:rPr>
            </w:pPr>
          </w:p>
        </w:tc>
        <w:tc>
          <w:tcPr>
            <w:tcW w:w="420" w:type="dxa"/>
            <w:vAlign w:val="bottom"/>
            <w:tcBorders>
              <w:right w:val="single" w:sz="8" w:color="2B4C9B"/>
            </w:tcBorders>
          </w:tcPr>
          <w:p>
            <w:pPr>
              <w:spacing w:after="0"/>
              <w:rPr>
                <w:sz w:val="5"/>
                <w:szCs w:val="5"/>
                <w:color w:val="auto"/>
              </w:rPr>
            </w:pPr>
          </w:p>
        </w:tc>
        <w:tc>
          <w:tcPr>
            <w:tcW w:w="160" w:type="dxa"/>
            <w:vAlign w:val="bottom"/>
          </w:tcPr>
          <w:p>
            <w:pPr>
              <w:spacing w:after="0"/>
              <w:rPr>
                <w:sz w:val="5"/>
                <w:szCs w:val="5"/>
                <w:color w:val="auto"/>
              </w:rPr>
            </w:pPr>
          </w:p>
        </w:tc>
        <w:tc>
          <w:tcPr>
            <w:tcW w:w="6740" w:type="dxa"/>
            <w:vAlign w:val="bottom"/>
            <w:tcBorders>
              <w:right w:val="single" w:sz="8" w:color="2B4C9B"/>
            </w:tcBorders>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2040" w:type="dxa"/>
            <w:vAlign w:val="bottom"/>
            <w:tcBorders>
              <w:left w:val="single" w:sz="8" w:color="2B4C9B"/>
            </w:tcBorders>
          </w:tcPr>
          <w:p>
            <w:pPr>
              <w:ind w:left="180"/>
              <w:spacing w:after="0"/>
              <w:rPr>
                <w:sz w:val="20"/>
                <w:szCs w:val="20"/>
                <w:color w:val="auto"/>
              </w:rPr>
            </w:pPr>
            <w:r>
              <w:rPr>
                <w:rFonts w:ascii="Arial" w:cs="Arial" w:eastAsia="Arial" w:hAnsi="Arial"/>
                <w:sz w:val="18"/>
                <w:szCs w:val="18"/>
                <w:color w:val="auto"/>
              </w:rPr>
              <w:t>expenditures.</w:t>
            </w:r>
          </w:p>
        </w:tc>
        <w:tc>
          <w:tcPr>
            <w:tcW w:w="420" w:type="dxa"/>
            <w:vAlign w:val="bottom"/>
            <w:tcBorders>
              <w:right w:val="single" w:sz="8" w:color="2B4C9B"/>
            </w:tcBorders>
          </w:tcPr>
          <w:p>
            <w:pPr>
              <w:spacing w:after="0"/>
              <w:rPr>
                <w:sz w:val="20"/>
                <w:szCs w:val="20"/>
                <w:color w:val="auto"/>
              </w:rPr>
            </w:pPr>
          </w:p>
        </w:tc>
        <w:tc>
          <w:tcPr>
            <w:tcW w:w="160" w:type="dxa"/>
            <w:vAlign w:val="bottom"/>
          </w:tcPr>
          <w:p>
            <w:pPr>
              <w:spacing w:after="0"/>
              <w:rPr>
                <w:sz w:val="20"/>
                <w:szCs w:val="20"/>
                <w:color w:val="auto"/>
              </w:rPr>
            </w:pPr>
          </w:p>
        </w:tc>
        <w:tc>
          <w:tcPr>
            <w:tcW w:w="6740" w:type="dxa"/>
            <w:vAlign w:val="bottom"/>
            <w:tcBorders>
              <w:right w:val="single" w:sz="8" w:color="2B4C9B"/>
            </w:tcBorders>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40" w:type="dxa"/>
            <w:vAlign w:val="bottom"/>
            <w:tcBorders>
              <w:left w:val="single" w:sz="8" w:color="2B4C9B"/>
              <w:bottom w:val="single" w:sz="8" w:color="2B4C9B"/>
            </w:tcBorders>
          </w:tcPr>
          <w:p>
            <w:pPr>
              <w:spacing w:after="0"/>
              <w:rPr>
                <w:sz w:val="13"/>
                <w:szCs w:val="13"/>
                <w:color w:val="auto"/>
              </w:rPr>
            </w:pPr>
          </w:p>
        </w:tc>
        <w:tc>
          <w:tcPr>
            <w:tcW w:w="420" w:type="dxa"/>
            <w:vAlign w:val="bottom"/>
            <w:tcBorders>
              <w:bottom w:val="single" w:sz="8" w:color="2B4C9B"/>
              <w:right w:val="single" w:sz="8" w:color="2B4C9B"/>
            </w:tcBorders>
          </w:tcPr>
          <w:p>
            <w:pPr>
              <w:spacing w:after="0"/>
              <w:rPr>
                <w:sz w:val="13"/>
                <w:szCs w:val="13"/>
                <w:color w:val="auto"/>
              </w:rPr>
            </w:pPr>
          </w:p>
        </w:tc>
        <w:tc>
          <w:tcPr>
            <w:tcW w:w="160" w:type="dxa"/>
            <w:vAlign w:val="bottom"/>
            <w:tcBorders>
              <w:bottom w:val="single" w:sz="8" w:color="2B4C9B"/>
            </w:tcBorders>
          </w:tcPr>
          <w:p>
            <w:pPr>
              <w:spacing w:after="0"/>
              <w:rPr>
                <w:sz w:val="13"/>
                <w:szCs w:val="13"/>
                <w:color w:val="auto"/>
              </w:rPr>
            </w:pPr>
          </w:p>
        </w:tc>
        <w:tc>
          <w:tcPr>
            <w:tcW w:w="6740" w:type="dxa"/>
            <w:vAlign w:val="bottom"/>
            <w:tcBorders>
              <w:bottom w:val="single" w:sz="8" w:color="2B4C9B"/>
              <w:right w:val="single" w:sz="8" w:color="2B4C9B"/>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40" w:type="dxa"/>
            <w:vAlign w:val="bottom"/>
            <w:tcBorders>
              <w:left w:val="single" w:sz="8" w:color="2B4C9B"/>
            </w:tcBorders>
          </w:tcPr>
          <w:p>
            <w:pPr>
              <w:spacing w:after="0"/>
              <w:rPr>
                <w:sz w:val="16"/>
                <w:szCs w:val="16"/>
                <w:color w:val="auto"/>
              </w:rPr>
            </w:pPr>
          </w:p>
        </w:tc>
        <w:tc>
          <w:tcPr>
            <w:tcW w:w="420" w:type="dxa"/>
            <w:vAlign w:val="bottom"/>
            <w:tcBorders>
              <w:right w:val="single" w:sz="8" w:color="2B4C9B"/>
            </w:tcBorders>
          </w:tcPr>
          <w:p>
            <w:pPr>
              <w:spacing w:after="0"/>
              <w:rPr>
                <w:sz w:val="16"/>
                <w:szCs w:val="16"/>
                <w:color w:val="auto"/>
              </w:rPr>
            </w:pPr>
          </w:p>
        </w:tc>
        <w:tc>
          <w:tcPr>
            <w:tcW w:w="160" w:type="dxa"/>
            <w:vAlign w:val="bottom"/>
          </w:tcPr>
          <w:p>
            <w:pPr>
              <w:spacing w:after="0"/>
              <w:rPr>
                <w:sz w:val="16"/>
                <w:szCs w:val="16"/>
                <w:color w:val="auto"/>
              </w:rPr>
            </w:pPr>
          </w:p>
        </w:tc>
        <w:tc>
          <w:tcPr>
            <w:tcW w:w="6740" w:type="dxa"/>
            <w:vAlign w:val="bottom"/>
            <w:tcBorders>
              <w:right w:val="single" w:sz="8" w:color="2B4C9B"/>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The ACS includes a discussion of why we believe our disclosure of future cash</w:t>
            </w:r>
          </w:p>
        </w:tc>
        <w:tc>
          <w:tcPr>
            <w:tcW w:w="0" w:type="dxa"/>
            <w:vAlign w:val="bottom"/>
          </w:tcPr>
          <w:p>
            <w:pPr>
              <w:spacing w:after="0"/>
              <w:rPr>
                <w:sz w:val="1"/>
                <w:szCs w:val="1"/>
                <w:color w:val="auto"/>
              </w:rPr>
            </w:pPr>
          </w:p>
        </w:tc>
      </w:tr>
      <w:tr>
        <w:trPr>
          <w:trHeight w:val="203"/>
        </w:trPr>
        <w:tc>
          <w:tcPr>
            <w:tcW w:w="2040" w:type="dxa"/>
            <w:vAlign w:val="bottom"/>
            <w:tcBorders>
              <w:left w:val="single" w:sz="8" w:color="2B4C9B"/>
            </w:tcBorders>
          </w:tcPr>
          <w:p>
            <w:pPr>
              <w:spacing w:after="0"/>
              <w:rPr>
                <w:sz w:val="17"/>
                <w:szCs w:val="17"/>
                <w:color w:val="auto"/>
              </w:rPr>
            </w:pPr>
          </w:p>
        </w:tc>
        <w:tc>
          <w:tcPr>
            <w:tcW w:w="420" w:type="dxa"/>
            <w:vAlign w:val="bottom"/>
            <w:tcBorders>
              <w:right w:val="single" w:sz="8" w:color="2B4C9B"/>
            </w:tcBorders>
          </w:tcPr>
          <w:p>
            <w:pPr>
              <w:spacing w:after="0"/>
              <w:rPr>
                <w:sz w:val="17"/>
                <w:szCs w:val="17"/>
                <w:color w:val="auto"/>
              </w:rPr>
            </w:pPr>
          </w:p>
        </w:tc>
        <w:tc>
          <w:tcPr>
            <w:tcW w:w="160" w:type="dxa"/>
            <w:vAlign w:val="bottom"/>
          </w:tcPr>
          <w:p>
            <w:pPr>
              <w:spacing w:after="0"/>
              <w:rPr>
                <w:sz w:val="17"/>
                <w:szCs w:val="17"/>
                <w:color w:val="auto"/>
              </w:rPr>
            </w:pPr>
          </w:p>
        </w:tc>
        <w:tc>
          <w:tcPr>
            <w:tcW w:w="6740" w:type="dxa"/>
            <w:vAlign w:val="bottom"/>
            <w:tcBorders>
              <w:right w:val="single" w:sz="8" w:color="2B4C9B"/>
            </w:tcBorders>
          </w:tcPr>
          <w:p>
            <w:pPr>
              <w:ind w:left="180"/>
              <w:spacing w:after="0" w:line="202" w:lineRule="exact"/>
              <w:rPr>
                <w:sz w:val="20"/>
                <w:szCs w:val="20"/>
                <w:color w:val="auto"/>
              </w:rPr>
            </w:pPr>
            <w:r>
              <w:rPr>
                <w:rFonts w:ascii="Arial" w:cs="Arial" w:eastAsia="Arial" w:hAnsi="Arial"/>
                <w:sz w:val="18"/>
                <w:szCs w:val="18"/>
                <w:color w:val="auto"/>
              </w:rPr>
              <w:t>flow and capital expenditures under the IEA NZE scenario is a valuable, industry-</w:t>
            </w:r>
          </w:p>
        </w:tc>
        <w:tc>
          <w:tcPr>
            <w:tcW w:w="0" w:type="dxa"/>
            <w:vAlign w:val="bottom"/>
          </w:tcPr>
          <w:p>
            <w:pPr>
              <w:spacing w:after="0"/>
              <w:rPr>
                <w:sz w:val="1"/>
                <w:szCs w:val="1"/>
                <w:color w:val="auto"/>
              </w:rPr>
            </w:pPr>
          </w:p>
        </w:tc>
      </w:tr>
      <w:tr>
        <w:trPr>
          <w:trHeight w:val="203"/>
        </w:trPr>
        <w:tc>
          <w:tcPr>
            <w:tcW w:w="2040" w:type="dxa"/>
            <w:vAlign w:val="bottom"/>
            <w:tcBorders>
              <w:left w:val="single" w:sz="8" w:color="2B4C9B"/>
            </w:tcBorders>
          </w:tcPr>
          <w:p>
            <w:pPr>
              <w:spacing w:after="0"/>
              <w:rPr>
                <w:sz w:val="17"/>
                <w:szCs w:val="17"/>
                <w:color w:val="auto"/>
              </w:rPr>
            </w:pPr>
          </w:p>
        </w:tc>
        <w:tc>
          <w:tcPr>
            <w:tcW w:w="420" w:type="dxa"/>
            <w:vAlign w:val="bottom"/>
            <w:tcBorders>
              <w:right w:val="single" w:sz="8" w:color="2B4C9B"/>
            </w:tcBorders>
          </w:tcPr>
          <w:p>
            <w:pPr>
              <w:spacing w:after="0"/>
              <w:rPr>
                <w:sz w:val="17"/>
                <w:szCs w:val="17"/>
                <w:color w:val="auto"/>
              </w:rPr>
            </w:pPr>
          </w:p>
        </w:tc>
        <w:tc>
          <w:tcPr>
            <w:tcW w:w="160" w:type="dxa"/>
            <w:vAlign w:val="bottom"/>
          </w:tcPr>
          <w:p>
            <w:pPr>
              <w:spacing w:after="0"/>
              <w:rPr>
                <w:sz w:val="17"/>
                <w:szCs w:val="17"/>
                <w:color w:val="auto"/>
              </w:rPr>
            </w:pPr>
          </w:p>
        </w:tc>
        <w:tc>
          <w:tcPr>
            <w:tcW w:w="6740" w:type="dxa"/>
            <w:vAlign w:val="bottom"/>
            <w:tcBorders>
              <w:right w:val="single" w:sz="8" w:color="2B4C9B"/>
            </w:tcBorders>
          </w:tcPr>
          <w:p>
            <w:pPr>
              <w:ind w:left="180"/>
              <w:spacing w:after="0" w:line="202" w:lineRule="exact"/>
              <w:rPr>
                <w:sz w:val="20"/>
                <w:szCs w:val="20"/>
                <w:color w:val="auto"/>
              </w:rPr>
            </w:pPr>
            <w:r>
              <w:rPr>
                <w:rFonts w:ascii="Arial" w:cs="Arial" w:eastAsia="Arial" w:hAnsi="Arial"/>
                <w:sz w:val="18"/>
                <w:szCs w:val="18"/>
                <w:color w:val="auto"/>
              </w:rPr>
              <w:t>leading disclosure. It also provides a clearer view of the resiliency and enterprise</w:t>
            </w:r>
          </w:p>
        </w:tc>
        <w:tc>
          <w:tcPr>
            <w:tcW w:w="0" w:type="dxa"/>
            <w:vAlign w:val="bottom"/>
          </w:tcPr>
          <w:p>
            <w:pPr>
              <w:spacing w:after="0"/>
              <w:rPr>
                <w:sz w:val="1"/>
                <w:szCs w:val="1"/>
                <w:color w:val="auto"/>
              </w:rPr>
            </w:pPr>
          </w:p>
        </w:tc>
      </w:tr>
      <w:tr>
        <w:trPr>
          <w:trHeight w:val="203"/>
        </w:trPr>
        <w:tc>
          <w:tcPr>
            <w:tcW w:w="2040" w:type="dxa"/>
            <w:vAlign w:val="bottom"/>
            <w:tcBorders>
              <w:left w:val="single" w:sz="8" w:color="2B4C9B"/>
            </w:tcBorders>
          </w:tcPr>
          <w:p>
            <w:pPr>
              <w:spacing w:after="0"/>
              <w:rPr>
                <w:sz w:val="17"/>
                <w:szCs w:val="17"/>
                <w:color w:val="auto"/>
              </w:rPr>
            </w:pPr>
          </w:p>
        </w:tc>
        <w:tc>
          <w:tcPr>
            <w:tcW w:w="420" w:type="dxa"/>
            <w:vAlign w:val="bottom"/>
            <w:tcBorders>
              <w:right w:val="single" w:sz="8" w:color="2B4C9B"/>
            </w:tcBorders>
          </w:tcPr>
          <w:p>
            <w:pPr>
              <w:spacing w:after="0"/>
              <w:rPr>
                <w:sz w:val="17"/>
                <w:szCs w:val="17"/>
                <w:color w:val="auto"/>
              </w:rPr>
            </w:pPr>
          </w:p>
        </w:tc>
        <w:tc>
          <w:tcPr>
            <w:tcW w:w="160" w:type="dxa"/>
            <w:vAlign w:val="bottom"/>
          </w:tcPr>
          <w:p>
            <w:pPr>
              <w:spacing w:after="0"/>
              <w:rPr>
                <w:sz w:val="17"/>
                <w:szCs w:val="17"/>
                <w:color w:val="auto"/>
              </w:rPr>
            </w:pPr>
          </w:p>
        </w:tc>
        <w:tc>
          <w:tcPr>
            <w:tcW w:w="6740" w:type="dxa"/>
            <w:vAlign w:val="bottom"/>
            <w:tcBorders>
              <w:right w:val="single" w:sz="8" w:color="2B4C9B"/>
            </w:tcBorders>
          </w:tcPr>
          <w:p>
            <w:pPr>
              <w:ind w:left="180"/>
              <w:spacing w:after="0" w:line="202" w:lineRule="exact"/>
              <w:rPr>
                <w:sz w:val="20"/>
                <w:szCs w:val="20"/>
                <w:color w:val="auto"/>
              </w:rPr>
            </w:pPr>
            <w:r>
              <w:rPr>
                <w:rFonts w:ascii="Arial" w:cs="Arial" w:eastAsia="Arial" w:hAnsi="Arial"/>
                <w:sz w:val="18"/>
                <w:szCs w:val="18"/>
                <w:color w:val="auto"/>
              </w:rPr>
              <w:t>value of our portfolio, expertise, and the opportunities we could have under such</w:t>
            </w:r>
          </w:p>
        </w:tc>
        <w:tc>
          <w:tcPr>
            <w:tcW w:w="0" w:type="dxa"/>
            <w:vAlign w:val="bottom"/>
          </w:tcPr>
          <w:p>
            <w:pPr>
              <w:spacing w:after="0"/>
              <w:rPr>
                <w:sz w:val="1"/>
                <w:szCs w:val="1"/>
                <w:color w:val="auto"/>
              </w:rPr>
            </w:pPr>
          </w:p>
        </w:tc>
      </w:tr>
      <w:tr>
        <w:trPr>
          <w:trHeight w:val="203"/>
        </w:trPr>
        <w:tc>
          <w:tcPr>
            <w:tcW w:w="2040" w:type="dxa"/>
            <w:vAlign w:val="bottom"/>
            <w:tcBorders>
              <w:left w:val="single" w:sz="8" w:color="2B4C9B"/>
            </w:tcBorders>
          </w:tcPr>
          <w:p>
            <w:pPr>
              <w:spacing w:after="0"/>
              <w:rPr>
                <w:sz w:val="17"/>
                <w:szCs w:val="17"/>
                <w:color w:val="auto"/>
              </w:rPr>
            </w:pPr>
          </w:p>
        </w:tc>
        <w:tc>
          <w:tcPr>
            <w:tcW w:w="420" w:type="dxa"/>
            <w:vAlign w:val="bottom"/>
            <w:tcBorders>
              <w:right w:val="single" w:sz="8" w:color="2B4C9B"/>
            </w:tcBorders>
          </w:tcPr>
          <w:p>
            <w:pPr>
              <w:spacing w:after="0"/>
              <w:rPr>
                <w:sz w:val="17"/>
                <w:szCs w:val="17"/>
                <w:color w:val="auto"/>
              </w:rPr>
            </w:pPr>
          </w:p>
        </w:tc>
        <w:tc>
          <w:tcPr>
            <w:tcW w:w="160" w:type="dxa"/>
            <w:vAlign w:val="bottom"/>
          </w:tcPr>
          <w:p>
            <w:pPr>
              <w:spacing w:after="0"/>
              <w:rPr>
                <w:sz w:val="17"/>
                <w:szCs w:val="17"/>
                <w:color w:val="auto"/>
              </w:rPr>
            </w:pPr>
          </w:p>
        </w:tc>
        <w:tc>
          <w:tcPr>
            <w:tcW w:w="6740" w:type="dxa"/>
            <w:vAlign w:val="bottom"/>
            <w:tcBorders>
              <w:right w:val="single" w:sz="8" w:color="2B4C9B"/>
            </w:tcBorders>
          </w:tcPr>
          <w:p>
            <w:pPr>
              <w:ind w:left="180"/>
              <w:spacing w:after="0" w:line="202" w:lineRule="exact"/>
              <w:rPr>
                <w:sz w:val="20"/>
                <w:szCs w:val="20"/>
                <w:color w:val="auto"/>
              </w:rPr>
            </w:pPr>
            <w:r>
              <w:rPr>
                <w:rFonts w:ascii="Arial" w:cs="Arial" w:eastAsia="Arial" w:hAnsi="Arial"/>
                <w:sz w:val="18"/>
                <w:szCs w:val="18"/>
                <w:color w:val="auto"/>
              </w:rPr>
              <w:t>an aggressive scenario. We believe this disclosure is more useful to investors</w:t>
            </w:r>
          </w:p>
        </w:tc>
        <w:tc>
          <w:tcPr>
            <w:tcW w:w="0" w:type="dxa"/>
            <w:vAlign w:val="bottom"/>
          </w:tcPr>
          <w:p>
            <w:pPr>
              <w:spacing w:after="0"/>
              <w:rPr>
                <w:sz w:val="1"/>
                <w:szCs w:val="1"/>
                <w:color w:val="auto"/>
              </w:rPr>
            </w:pPr>
          </w:p>
        </w:tc>
      </w:tr>
      <w:tr>
        <w:trPr>
          <w:trHeight w:val="203"/>
        </w:trPr>
        <w:tc>
          <w:tcPr>
            <w:tcW w:w="2040" w:type="dxa"/>
            <w:vAlign w:val="bottom"/>
            <w:tcBorders>
              <w:left w:val="single" w:sz="8" w:color="2B4C9B"/>
            </w:tcBorders>
          </w:tcPr>
          <w:p>
            <w:pPr>
              <w:spacing w:after="0"/>
              <w:rPr>
                <w:sz w:val="17"/>
                <w:szCs w:val="17"/>
                <w:color w:val="auto"/>
              </w:rPr>
            </w:pPr>
          </w:p>
        </w:tc>
        <w:tc>
          <w:tcPr>
            <w:tcW w:w="420" w:type="dxa"/>
            <w:vAlign w:val="bottom"/>
            <w:tcBorders>
              <w:right w:val="single" w:sz="8" w:color="2B4C9B"/>
            </w:tcBorders>
          </w:tcPr>
          <w:p>
            <w:pPr>
              <w:spacing w:after="0"/>
              <w:rPr>
                <w:sz w:val="17"/>
                <w:szCs w:val="17"/>
                <w:color w:val="auto"/>
              </w:rPr>
            </w:pPr>
          </w:p>
        </w:tc>
        <w:tc>
          <w:tcPr>
            <w:tcW w:w="160" w:type="dxa"/>
            <w:vAlign w:val="bottom"/>
          </w:tcPr>
          <w:p>
            <w:pPr>
              <w:spacing w:after="0"/>
              <w:rPr>
                <w:sz w:val="17"/>
                <w:szCs w:val="17"/>
                <w:color w:val="auto"/>
              </w:rPr>
            </w:pPr>
          </w:p>
        </w:tc>
        <w:tc>
          <w:tcPr>
            <w:tcW w:w="6740" w:type="dxa"/>
            <w:vAlign w:val="bottom"/>
            <w:tcBorders>
              <w:right w:val="single" w:sz="8" w:color="2B4C9B"/>
            </w:tcBorders>
          </w:tcPr>
          <w:p>
            <w:pPr>
              <w:ind w:left="180"/>
              <w:spacing w:after="0" w:line="202" w:lineRule="exact"/>
              <w:rPr>
                <w:sz w:val="20"/>
                <w:szCs w:val="20"/>
                <w:color w:val="auto"/>
              </w:rPr>
            </w:pPr>
            <w:r>
              <w:rPr>
                <w:rFonts w:ascii="Arial" w:cs="Arial" w:eastAsia="Arial" w:hAnsi="Arial"/>
                <w:sz w:val="18"/>
                <w:szCs w:val="18"/>
                <w:color w:val="auto"/>
              </w:rPr>
              <w:t>versus narrowly focusing on remaining asset lives and hypothetical noncash</w:t>
            </w:r>
          </w:p>
        </w:tc>
        <w:tc>
          <w:tcPr>
            <w:tcW w:w="0" w:type="dxa"/>
            <w:vAlign w:val="bottom"/>
          </w:tcPr>
          <w:p>
            <w:pPr>
              <w:spacing w:after="0"/>
              <w:rPr>
                <w:sz w:val="1"/>
                <w:szCs w:val="1"/>
                <w:color w:val="auto"/>
              </w:rPr>
            </w:pPr>
          </w:p>
        </w:tc>
      </w:tr>
      <w:tr>
        <w:trPr>
          <w:trHeight w:val="203"/>
        </w:trPr>
        <w:tc>
          <w:tcPr>
            <w:tcW w:w="2040" w:type="dxa"/>
            <w:vAlign w:val="bottom"/>
            <w:tcBorders>
              <w:left w:val="single" w:sz="8" w:color="2B4C9B"/>
            </w:tcBorders>
          </w:tcPr>
          <w:p>
            <w:pPr>
              <w:spacing w:after="0"/>
              <w:rPr>
                <w:sz w:val="17"/>
                <w:szCs w:val="17"/>
                <w:color w:val="auto"/>
              </w:rPr>
            </w:pPr>
          </w:p>
        </w:tc>
        <w:tc>
          <w:tcPr>
            <w:tcW w:w="420" w:type="dxa"/>
            <w:vAlign w:val="bottom"/>
            <w:tcBorders>
              <w:right w:val="single" w:sz="8" w:color="2B4C9B"/>
            </w:tcBorders>
          </w:tcPr>
          <w:p>
            <w:pPr>
              <w:spacing w:after="0"/>
              <w:rPr>
                <w:sz w:val="17"/>
                <w:szCs w:val="17"/>
                <w:color w:val="auto"/>
              </w:rPr>
            </w:pPr>
          </w:p>
        </w:tc>
        <w:tc>
          <w:tcPr>
            <w:tcW w:w="160" w:type="dxa"/>
            <w:vAlign w:val="bottom"/>
          </w:tcPr>
          <w:p>
            <w:pPr>
              <w:spacing w:after="0"/>
              <w:rPr>
                <w:sz w:val="17"/>
                <w:szCs w:val="17"/>
                <w:color w:val="auto"/>
              </w:rPr>
            </w:pPr>
          </w:p>
        </w:tc>
        <w:tc>
          <w:tcPr>
            <w:tcW w:w="6740" w:type="dxa"/>
            <w:vAlign w:val="bottom"/>
            <w:tcBorders>
              <w:right w:val="single" w:sz="8" w:color="2B4C9B"/>
            </w:tcBorders>
          </w:tcPr>
          <w:p>
            <w:pPr>
              <w:ind w:left="180"/>
              <w:spacing w:after="0" w:line="202" w:lineRule="exact"/>
              <w:rPr>
                <w:sz w:val="20"/>
                <w:szCs w:val="20"/>
                <w:color w:val="auto"/>
              </w:rPr>
            </w:pPr>
            <w:r>
              <w:rPr>
                <w:rFonts w:ascii="Arial" w:cs="Arial" w:eastAsia="Arial" w:hAnsi="Arial"/>
                <w:sz w:val="18"/>
                <w:szCs w:val="18"/>
                <w:color w:val="auto"/>
              </w:rPr>
              <w:t>accounting measures such as AROs that are dependent on asset-specific</w:t>
            </w:r>
          </w:p>
        </w:tc>
        <w:tc>
          <w:tcPr>
            <w:tcW w:w="0" w:type="dxa"/>
            <w:vAlign w:val="bottom"/>
          </w:tcPr>
          <w:p>
            <w:pPr>
              <w:spacing w:after="0"/>
              <w:rPr>
                <w:sz w:val="1"/>
                <w:szCs w:val="1"/>
                <w:color w:val="auto"/>
              </w:rPr>
            </w:pPr>
          </w:p>
        </w:tc>
      </w:tr>
      <w:tr>
        <w:trPr>
          <w:trHeight w:val="203"/>
        </w:trPr>
        <w:tc>
          <w:tcPr>
            <w:tcW w:w="2040" w:type="dxa"/>
            <w:vAlign w:val="bottom"/>
            <w:tcBorders>
              <w:left w:val="single" w:sz="8" w:color="2B4C9B"/>
            </w:tcBorders>
          </w:tcPr>
          <w:p>
            <w:pPr>
              <w:spacing w:after="0"/>
              <w:rPr>
                <w:sz w:val="17"/>
                <w:szCs w:val="17"/>
                <w:color w:val="auto"/>
              </w:rPr>
            </w:pPr>
          </w:p>
        </w:tc>
        <w:tc>
          <w:tcPr>
            <w:tcW w:w="420" w:type="dxa"/>
            <w:vAlign w:val="bottom"/>
            <w:tcBorders>
              <w:right w:val="single" w:sz="8" w:color="2B4C9B"/>
            </w:tcBorders>
          </w:tcPr>
          <w:p>
            <w:pPr>
              <w:spacing w:after="0"/>
              <w:rPr>
                <w:sz w:val="17"/>
                <w:szCs w:val="17"/>
                <w:color w:val="auto"/>
              </w:rPr>
            </w:pPr>
          </w:p>
        </w:tc>
        <w:tc>
          <w:tcPr>
            <w:tcW w:w="160" w:type="dxa"/>
            <w:vAlign w:val="bottom"/>
          </w:tcPr>
          <w:p>
            <w:pPr>
              <w:spacing w:after="0"/>
              <w:rPr>
                <w:sz w:val="17"/>
                <w:szCs w:val="17"/>
                <w:color w:val="auto"/>
              </w:rPr>
            </w:pPr>
          </w:p>
        </w:tc>
        <w:tc>
          <w:tcPr>
            <w:tcW w:w="6740" w:type="dxa"/>
            <w:vAlign w:val="bottom"/>
            <w:tcBorders>
              <w:right w:val="single" w:sz="8" w:color="2B4C9B"/>
            </w:tcBorders>
          </w:tcPr>
          <w:p>
            <w:pPr>
              <w:ind w:left="180"/>
              <w:spacing w:after="0" w:line="202" w:lineRule="exact"/>
              <w:rPr>
                <w:sz w:val="20"/>
                <w:szCs w:val="20"/>
                <w:color w:val="auto"/>
              </w:rPr>
            </w:pPr>
            <w:r>
              <w:rPr>
                <w:rFonts w:ascii="Arial" w:cs="Arial" w:eastAsia="Arial" w:hAnsi="Arial"/>
                <w:sz w:val="18"/>
                <w:szCs w:val="18"/>
                <w:color w:val="auto"/>
              </w:rPr>
              <w:t>assumptions and technology and policy developments not provided by the IEA</w:t>
            </w:r>
          </w:p>
        </w:tc>
        <w:tc>
          <w:tcPr>
            <w:tcW w:w="0" w:type="dxa"/>
            <w:vAlign w:val="bottom"/>
          </w:tcPr>
          <w:p>
            <w:pPr>
              <w:spacing w:after="0"/>
              <w:rPr>
                <w:sz w:val="1"/>
                <w:szCs w:val="1"/>
                <w:color w:val="auto"/>
              </w:rPr>
            </w:pPr>
          </w:p>
        </w:tc>
      </w:tr>
      <w:tr>
        <w:trPr>
          <w:trHeight w:val="203"/>
        </w:trPr>
        <w:tc>
          <w:tcPr>
            <w:tcW w:w="2040" w:type="dxa"/>
            <w:vAlign w:val="bottom"/>
            <w:tcBorders>
              <w:left w:val="single" w:sz="8" w:color="2B4C9B"/>
            </w:tcBorders>
          </w:tcPr>
          <w:p>
            <w:pPr>
              <w:spacing w:after="0"/>
              <w:rPr>
                <w:sz w:val="17"/>
                <w:szCs w:val="17"/>
                <w:color w:val="auto"/>
              </w:rPr>
            </w:pPr>
          </w:p>
        </w:tc>
        <w:tc>
          <w:tcPr>
            <w:tcW w:w="420" w:type="dxa"/>
            <w:vAlign w:val="bottom"/>
            <w:tcBorders>
              <w:right w:val="single" w:sz="8" w:color="2B4C9B"/>
            </w:tcBorders>
          </w:tcPr>
          <w:p>
            <w:pPr>
              <w:spacing w:after="0"/>
              <w:rPr>
                <w:sz w:val="17"/>
                <w:szCs w:val="17"/>
                <w:color w:val="auto"/>
              </w:rPr>
            </w:pPr>
          </w:p>
        </w:tc>
        <w:tc>
          <w:tcPr>
            <w:tcW w:w="160" w:type="dxa"/>
            <w:vAlign w:val="bottom"/>
          </w:tcPr>
          <w:p>
            <w:pPr>
              <w:spacing w:after="0"/>
              <w:rPr>
                <w:sz w:val="17"/>
                <w:szCs w:val="17"/>
                <w:color w:val="auto"/>
              </w:rPr>
            </w:pPr>
          </w:p>
        </w:tc>
        <w:tc>
          <w:tcPr>
            <w:tcW w:w="6740" w:type="dxa"/>
            <w:vAlign w:val="bottom"/>
            <w:tcBorders>
              <w:right w:val="single" w:sz="8" w:color="2B4C9B"/>
            </w:tcBorders>
          </w:tcPr>
          <w:p>
            <w:pPr>
              <w:ind w:left="180"/>
              <w:spacing w:after="0" w:line="202" w:lineRule="exact"/>
              <w:rPr>
                <w:sz w:val="20"/>
                <w:szCs w:val="20"/>
                <w:color w:val="auto"/>
              </w:rPr>
            </w:pPr>
            <w:r>
              <w:rPr>
                <w:rFonts w:ascii="Arial" w:cs="Arial" w:eastAsia="Arial" w:hAnsi="Arial"/>
                <w:sz w:val="18"/>
                <w:szCs w:val="18"/>
                <w:color w:val="auto"/>
              </w:rPr>
              <w:t>NZE scenario.</w:t>
            </w:r>
          </w:p>
        </w:tc>
        <w:tc>
          <w:tcPr>
            <w:tcW w:w="0" w:type="dxa"/>
            <w:vAlign w:val="bottom"/>
          </w:tcPr>
          <w:p>
            <w:pPr>
              <w:spacing w:after="0"/>
              <w:rPr>
                <w:sz w:val="1"/>
                <w:szCs w:val="1"/>
                <w:color w:val="auto"/>
              </w:rPr>
            </w:pPr>
          </w:p>
        </w:tc>
      </w:tr>
      <w:tr>
        <w:trPr>
          <w:trHeight w:val="216"/>
        </w:trPr>
        <w:tc>
          <w:tcPr>
            <w:tcW w:w="2040" w:type="dxa"/>
            <w:vAlign w:val="bottom"/>
            <w:tcBorders>
              <w:left w:val="single" w:sz="8" w:color="2B4C9B"/>
            </w:tcBorders>
          </w:tcPr>
          <w:p>
            <w:pPr>
              <w:spacing w:after="0"/>
              <w:rPr>
                <w:sz w:val="18"/>
                <w:szCs w:val="18"/>
                <w:color w:val="auto"/>
              </w:rPr>
            </w:pPr>
          </w:p>
        </w:tc>
        <w:tc>
          <w:tcPr>
            <w:tcW w:w="420" w:type="dxa"/>
            <w:vAlign w:val="bottom"/>
            <w:tcBorders>
              <w:right w:val="single" w:sz="8" w:color="2B4C9B"/>
            </w:tcBorders>
          </w:tcPr>
          <w:p>
            <w:pPr>
              <w:spacing w:after="0"/>
              <w:rPr>
                <w:sz w:val="18"/>
                <w:szCs w:val="18"/>
                <w:color w:val="auto"/>
              </w:rPr>
            </w:pPr>
          </w:p>
        </w:tc>
        <w:tc>
          <w:tcPr>
            <w:tcW w:w="160" w:type="dxa"/>
            <w:vAlign w:val="bottom"/>
          </w:tcPr>
          <w:p>
            <w:pPr>
              <w:spacing w:after="0"/>
              <w:rPr>
                <w:sz w:val="18"/>
                <w:szCs w:val="18"/>
                <w:color w:val="auto"/>
              </w:rPr>
            </w:pPr>
          </w:p>
        </w:tc>
        <w:tc>
          <w:tcPr>
            <w:tcW w:w="6740" w:type="dxa"/>
            <w:vAlign w:val="bottom"/>
            <w:tcBorders>
              <w:right w:val="single" w:sz="8" w:color="2B4C9B"/>
            </w:tcBorders>
          </w:tcPr>
          <w:p>
            <w:pP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We did, however, expand our disclosure to discuss why we believe our existing</w:t>
            </w:r>
          </w:p>
        </w:tc>
        <w:tc>
          <w:tcPr>
            <w:tcW w:w="0" w:type="dxa"/>
            <w:vAlign w:val="bottom"/>
          </w:tcPr>
          <w:p>
            <w:pPr>
              <w:spacing w:after="0"/>
              <w:rPr>
                <w:sz w:val="1"/>
                <w:szCs w:val="1"/>
                <w:color w:val="auto"/>
              </w:rPr>
            </w:pPr>
          </w:p>
        </w:tc>
      </w:tr>
      <w:tr>
        <w:trPr>
          <w:trHeight w:val="203"/>
        </w:trPr>
        <w:tc>
          <w:tcPr>
            <w:tcW w:w="2040" w:type="dxa"/>
            <w:vAlign w:val="bottom"/>
            <w:tcBorders>
              <w:left w:val="single" w:sz="8" w:color="2B4C9B"/>
            </w:tcBorders>
          </w:tcPr>
          <w:p>
            <w:pPr>
              <w:spacing w:after="0"/>
              <w:rPr>
                <w:sz w:val="17"/>
                <w:szCs w:val="17"/>
                <w:color w:val="auto"/>
              </w:rPr>
            </w:pPr>
          </w:p>
        </w:tc>
        <w:tc>
          <w:tcPr>
            <w:tcW w:w="420" w:type="dxa"/>
            <w:vAlign w:val="bottom"/>
            <w:tcBorders>
              <w:right w:val="single" w:sz="8" w:color="2B4C9B"/>
            </w:tcBorders>
          </w:tcPr>
          <w:p>
            <w:pPr>
              <w:spacing w:after="0"/>
              <w:rPr>
                <w:sz w:val="17"/>
                <w:szCs w:val="17"/>
                <w:color w:val="auto"/>
              </w:rPr>
            </w:pPr>
          </w:p>
        </w:tc>
        <w:tc>
          <w:tcPr>
            <w:tcW w:w="160" w:type="dxa"/>
            <w:vAlign w:val="bottom"/>
          </w:tcPr>
          <w:p>
            <w:pPr>
              <w:spacing w:after="0"/>
              <w:rPr>
                <w:sz w:val="17"/>
                <w:szCs w:val="17"/>
                <w:color w:val="auto"/>
              </w:rPr>
            </w:pPr>
          </w:p>
        </w:tc>
        <w:tc>
          <w:tcPr>
            <w:tcW w:w="6740" w:type="dxa"/>
            <w:vAlign w:val="bottom"/>
            <w:tcBorders>
              <w:right w:val="single" w:sz="8" w:color="2B4C9B"/>
            </w:tcBorders>
          </w:tcPr>
          <w:p>
            <w:pPr>
              <w:ind w:left="180"/>
              <w:spacing w:after="0" w:line="202" w:lineRule="exact"/>
              <w:rPr>
                <w:sz w:val="20"/>
                <w:szCs w:val="20"/>
                <w:color w:val="auto"/>
              </w:rPr>
            </w:pPr>
            <w:r>
              <w:rPr>
                <w:rFonts w:ascii="Arial" w:cs="Arial" w:eastAsia="Arial" w:hAnsi="Arial"/>
                <w:sz w:val="18"/>
                <w:szCs w:val="18"/>
                <w:color w:val="auto"/>
              </w:rPr>
              <w:t>assets are generally resilient in the energy transition, and in the IEA NZE</w:t>
            </w:r>
          </w:p>
        </w:tc>
        <w:tc>
          <w:tcPr>
            <w:tcW w:w="0" w:type="dxa"/>
            <w:vAlign w:val="bottom"/>
          </w:tcPr>
          <w:p>
            <w:pPr>
              <w:spacing w:after="0"/>
              <w:rPr>
                <w:sz w:val="1"/>
                <w:szCs w:val="1"/>
                <w:color w:val="auto"/>
              </w:rPr>
            </w:pPr>
          </w:p>
        </w:tc>
      </w:tr>
      <w:tr>
        <w:trPr>
          <w:trHeight w:val="203"/>
        </w:trPr>
        <w:tc>
          <w:tcPr>
            <w:tcW w:w="2040" w:type="dxa"/>
            <w:vAlign w:val="bottom"/>
            <w:tcBorders>
              <w:left w:val="single" w:sz="8" w:color="2B4C9B"/>
            </w:tcBorders>
          </w:tcPr>
          <w:p>
            <w:pPr>
              <w:spacing w:after="0"/>
              <w:rPr>
                <w:sz w:val="17"/>
                <w:szCs w:val="17"/>
                <w:color w:val="auto"/>
              </w:rPr>
            </w:pPr>
          </w:p>
        </w:tc>
        <w:tc>
          <w:tcPr>
            <w:tcW w:w="420" w:type="dxa"/>
            <w:vAlign w:val="bottom"/>
            <w:tcBorders>
              <w:right w:val="single" w:sz="8" w:color="2B4C9B"/>
            </w:tcBorders>
          </w:tcPr>
          <w:p>
            <w:pPr>
              <w:spacing w:after="0"/>
              <w:rPr>
                <w:sz w:val="17"/>
                <w:szCs w:val="17"/>
                <w:color w:val="auto"/>
              </w:rPr>
            </w:pPr>
          </w:p>
        </w:tc>
        <w:tc>
          <w:tcPr>
            <w:tcW w:w="160" w:type="dxa"/>
            <w:vAlign w:val="bottom"/>
          </w:tcPr>
          <w:p>
            <w:pPr>
              <w:spacing w:after="0"/>
              <w:rPr>
                <w:sz w:val="17"/>
                <w:szCs w:val="17"/>
                <w:color w:val="auto"/>
              </w:rPr>
            </w:pPr>
          </w:p>
        </w:tc>
        <w:tc>
          <w:tcPr>
            <w:tcW w:w="6740" w:type="dxa"/>
            <w:vAlign w:val="bottom"/>
            <w:tcBorders>
              <w:right w:val="single" w:sz="8" w:color="2B4C9B"/>
            </w:tcBorders>
          </w:tcPr>
          <w:p>
            <w:pPr>
              <w:ind w:left="180"/>
              <w:spacing w:after="0" w:line="202" w:lineRule="exact"/>
              <w:rPr>
                <w:sz w:val="20"/>
                <w:szCs w:val="20"/>
                <w:color w:val="auto"/>
              </w:rPr>
            </w:pPr>
            <w:r>
              <w:rPr>
                <w:rFonts w:ascii="Arial" w:cs="Arial" w:eastAsia="Arial" w:hAnsi="Arial"/>
                <w:sz w:val="18"/>
                <w:szCs w:val="18"/>
                <w:color w:val="auto"/>
              </w:rPr>
              <w:t>scenario.</w:t>
            </w:r>
          </w:p>
        </w:tc>
        <w:tc>
          <w:tcPr>
            <w:tcW w:w="0" w:type="dxa"/>
            <w:vAlign w:val="bottom"/>
          </w:tcPr>
          <w:p>
            <w:pPr>
              <w:spacing w:after="0"/>
              <w:rPr>
                <w:sz w:val="1"/>
                <w:szCs w:val="1"/>
                <w:color w:val="auto"/>
              </w:rPr>
            </w:pPr>
          </w:p>
        </w:tc>
      </w:tr>
      <w:tr>
        <w:trPr>
          <w:trHeight w:val="203"/>
        </w:trPr>
        <w:tc>
          <w:tcPr>
            <w:tcW w:w="2460" w:type="dxa"/>
            <w:vAlign w:val="bottom"/>
            <w:tcBorders>
              <w:left w:val="single" w:sz="8" w:color="2B4C9B"/>
              <w:right w:val="single" w:sz="8" w:color="2B4C9B"/>
            </w:tcBorders>
            <w:gridSpan w:val="2"/>
            <w:vMerge w:val="restart"/>
          </w:tcPr>
          <w:p>
            <w:pPr>
              <w:ind w:left="180"/>
              <w:spacing w:after="0"/>
              <w:rPr>
                <w:sz w:val="20"/>
                <w:szCs w:val="20"/>
                <w:color w:val="auto"/>
              </w:rPr>
            </w:pPr>
            <w:r>
              <w:rPr>
                <w:rFonts w:ascii="Arial" w:cs="Arial" w:eastAsia="Arial" w:hAnsi="Arial"/>
                <w:sz w:val="18"/>
                <w:szCs w:val="18"/>
                <w:color w:val="auto"/>
              </w:rPr>
              <w:t>We should provide greater</w:t>
            </w:r>
          </w:p>
        </w:tc>
        <w:tc>
          <w:tcPr>
            <w:tcW w:w="160" w:type="dxa"/>
            <w:vAlign w:val="bottom"/>
          </w:tcPr>
          <w:p>
            <w:pPr>
              <w:spacing w:after="0"/>
              <w:rPr>
                <w:sz w:val="17"/>
                <w:szCs w:val="17"/>
                <w:color w:val="auto"/>
              </w:rPr>
            </w:pPr>
          </w:p>
        </w:tc>
        <w:tc>
          <w:tcPr>
            <w:tcW w:w="6740" w:type="dxa"/>
            <w:vAlign w:val="bottom"/>
            <w:tcBorders>
              <w:right w:val="single" w:sz="8" w:color="2B4C9B"/>
            </w:tcBorders>
          </w:tcPr>
          <w:p>
            <w:pPr>
              <w:ind w:left="180"/>
              <w:spacing w:after="0"/>
              <w:rPr>
                <w:sz w:val="20"/>
                <w:szCs w:val="20"/>
                <w:color w:val="auto"/>
              </w:rPr>
            </w:pPr>
            <w:r>
              <w:rPr>
                <w:rFonts w:ascii="Wingdings" w:cs="Wingdings" w:eastAsia="Wingdings" w:hAnsi="Wingdings"/>
                <w:sz w:val="13"/>
                <w:szCs w:val="13"/>
                <w:b w:val="1"/>
                <w:bCs w:val="1"/>
                <w:color w:val="auto"/>
              </w:rPr>
              <w:t>¡</w:t>
            </w:r>
            <w:r>
              <w:rPr>
                <w:rFonts w:ascii="Arial" w:cs="Arial" w:eastAsia="Arial" w:hAnsi="Arial"/>
                <w:sz w:val="17"/>
                <w:szCs w:val="17"/>
                <w:color w:val="auto"/>
              </w:rPr>
              <w:t>  Due to superior performance attributes and generally lower greenhouse gas</w:t>
            </w:r>
          </w:p>
        </w:tc>
        <w:tc>
          <w:tcPr>
            <w:tcW w:w="0" w:type="dxa"/>
            <w:vAlign w:val="bottom"/>
          </w:tcPr>
          <w:p>
            <w:pPr>
              <w:spacing w:after="0"/>
              <w:rPr>
                <w:sz w:val="1"/>
                <w:szCs w:val="1"/>
                <w:color w:val="auto"/>
              </w:rPr>
            </w:pPr>
          </w:p>
        </w:tc>
      </w:tr>
      <w:tr>
        <w:trPr>
          <w:trHeight w:val="181"/>
        </w:trPr>
        <w:tc>
          <w:tcPr>
            <w:tcW w:w="2460" w:type="dxa"/>
            <w:vAlign w:val="bottom"/>
            <w:tcBorders>
              <w:left w:val="single" w:sz="8" w:color="2B4C9B"/>
              <w:right w:val="single" w:sz="8" w:color="2B4C9B"/>
            </w:tcBorders>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740" w:type="dxa"/>
            <w:vAlign w:val="bottom"/>
            <w:tcBorders>
              <w:right w:val="single" w:sz="8" w:color="2B4C9B"/>
            </w:tcBorders>
          </w:tcPr>
          <w:p>
            <w:pPr>
              <w:ind w:left="360"/>
              <w:spacing w:after="0" w:line="181" w:lineRule="exact"/>
              <w:rPr>
                <w:sz w:val="20"/>
                <w:szCs w:val="20"/>
                <w:color w:val="auto"/>
              </w:rPr>
            </w:pPr>
            <w:r>
              <w:rPr>
                <w:rFonts w:ascii="Arial" w:cs="Arial" w:eastAsia="Arial" w:hAnsi="Arial"/>
                <w:sz w:val="18"/>
                <w:szCs w:val="18"/>
                <w:color w:val="auto"/>
              </w:rPr>
              <w:t>intensity versus alternatives, the demand for chemicals is robust, even in the</w:t>
            </w:r>
          </w:p>
        </w:tc>
        <w:tc>
          <w:tcPr>
            <w:tcW w:w="0" w:type="dxa"/>
            <w:vAlign w:val="bottom"/>
          </w:tcPr>
          <w:p>
            <w:pPr>
              <w:spacing w:after="0"/>
              <w:rPr>
                <w:sz w:val="1"/>
                <w:szCs w:val="1"/>
                <w:color w:val="auto"/>
              </w:rPr>
            </w:pPr>
          </w:p>
        </w:tc>
      </w:tr>
      <w:tr>
        <w:trPr>
          <w:trHeight w:val="203"/>
        </w:trPr>
        <w:tc>
          <w:tcPr>
            <w:tcW w:w="2040" w:type="dxa"/>
            <w:vAlign w:val="bottom"/>
            <w:tcBorders>
              <w:left w:val="single" w:sz="8" w:color="2B4C9B"/>
            </w:tcBorders>
          </w:tcPr>
          <w:p>
            <w:pPr>
              <w:ind w:left="180"/>
              <w:spacing w:after="0" w:line="202" w:lineRule="exact"/>
              <w:rPr>
                <w:sz w:val="20"/>
                <w:szCs w:val="20"/>
                <w:color w:val="auto"/>
              </w:rPr>
            </w:pPr>
            <w:r>
              <w:rPr>
                <w:rFonts w:ascii="Arial" w:cs="Arial" w:eastAsia="Arial" w:hAnsi="Arial"/>
                <w:sz w:val="18"/>
                <w:szCs w:val="18"/>
                <w:color w:val="auto"/>
              </w:rPr>
              <w:t>detail on the potential</w:t>
            </w:r>
          </w:p>
        </w:tc>
        <w:tc>
          <w:tcPr>
            <w:tcW w:w="420" w:type="dxa"/>
            <w:vAlign w:val="bottom"/>
            <w:tcBorders>
              <w:right w:val="single" w:sz="8" w:color="2B4C9B"/>
            </w:tcBorders>
          </w:tcPr>
          <w:p>
            <w:pPr>
              <w:spacing w:after="0"/>
              <w:rPr>
                <w:sz w:val="17"/>
                <w:szCs w:val="17"/>
                <w:color w:val="auto"/>
              </w:rPr>
            </w:pPr>
          </w:p>
        </w:tc>
        <w:tc>
          <w:tcPr>
            <w:tcW w:w="160" w:type="dxa"/>
            <w:vAlign w:val="bottom"/>
          </w:tcPr>
          <w:p>
            <w:pPr>
              <w:spacing w:after="0"/>
              <w:rPr>
                <w:sz w:val="17"/>
                <w:szCs w:val="17"/>
                <w:color w:val="auto"/>
              </w:rPr>
            </w:pPr>
          </w:p>
        </w:tc>
        <w:tc>
          <w:tcPr>
            <w:tcW w:w="6740" w:type="dxa"/>
            <w:vAlign w:val="bottom"/>
            <w:tcBorders>
              <w:right w:val="single" w:sz="8" w:color="2B4C9B"/>
            </w:tcBorders>
          </w:tcPr>
          <w:p>
            <w:pPr>
              <w:ind w:left="360"/>
              <w:spacing w:after="0" w:line="202" w:lineRule="exact"/>
              <w:rPr>
                <w:sz w:val="20"/>
                <w:szCs w:val="20"/>
                <w:color w:val="auto"/>
              </w:rPr>
            </w:pPr>
            <w:r>
              <w:rPr>
                <w:rFonts w:ascii="Arial" w:cs="Arial" w:eastAsia="Arial" w:hAnsi="Arial"/>
                <w:sz w:val="18"/>
                <w:szCs w:val="18"/>
                <w:color w:val="auto"/>
              </w:rPr>
              <w:t>IEA NZE scenario.</w:t>
            </w:r>
          </w:p>
        </w:tc>
        <w:tc>
          <w:tcPr>
            <w:tcW w:w="0" w:type="dxa"/>
            <w:vAlign w:val="bottom"/>
          </w:tcPr>
          <w:p>
            <w:pPr>
              <w:spacing w:after="0"/>
              <w:rPr>
                <w:sz w:val="1"/>
                <w:szCs w:val="1"/>
                <w:color w:val="auto"/>
              </w:rPr>
            </w:pPr>
          </w:p>
        </w:tc>
      </w:tr>
      <w:tr>
        <w:trPr>
          <w:trHeight w:val="203"/>
        </w:trPr>
        <w:tc>
          <w:tcPr>
            <w:tcW w:w="2040" w:type="dxa"/>
            <w:vAlign w:val="bottom"/>
            <w:tcBorders>
              <w:left w:val="single" w:sz="8" w:color="2B4C9B"/>
            </w:tcBorders>
          </w:tcPr>
          <w:p>
            <w:pPr>
              <w:ind w:left="180"/>
              <w:spacing w:after="0" w:line="202" w:lineRule="exact"/>
              <w:rPr>
                <w:sz w:val="20"/>
                <w:szCs w:val="20"/>
                <w:color w:val="auto"/>
              </w:rPr>
            </w:pPr>
            <w:r>
              <w:rPr>
                <w:rFonts w:ascii="Arial" w:cs="Arial" w:eastAsia="Arial" w:hAnsi="Arial"/>
                <w:sz w:val="18"/>
                <w:szCs w:val="18"/>
                <w:color w:val="auto"/>
              </w:rPr>
              <w:t>impact of the IEA NZE</w:t>
            </w:r>
          </w:p>
        </w:tc>
        <w:tc>
          <w:tcPr>
            <w:tcW w:w="420" w:type="dxa"/>
            <w:vAlign w:val="bottom"/>
            <w:tcBorders>
              <w:right w:val="single" w:sz="8" w:color="2B4C9B"/>
            </w:tcBorders>
          </w:tcPr>
          <w:p>
            <w:pPr>
              <w:spacing w:after="0"/>
              <w:rPr>
                <w:sz w:val="17"/>
                <w:szCs w:val="17"/>
                <w:color w:val="auto"/>
              </w:rPr>
            </w:pPr>
          </w:p>
        </w:tc>
        <w:tc>
          <w:tcPr>
            <w:tcW w:w="160" w:type="dxa"/>
            <w:vAlign w:val="bottom"/>
          </w:tcPr>
          <w:p>
            <w:pPr>
              <w:spacing w:after="0"/>
              <w:rPr>
                <w:sz w:val="17"/>
                <w:szCs w:val="17"/>
                <w:color w:val="auto"/>
              </w:rPr>
            </w:pPr>
          </w:p>
        </w:tc>
        <w:tc>
          <w:tcPr>
            <w:tcW w:w="6740" w:type="dxa"/>
            <w:vAlign w:val="bottom"/>
            <w:tcBorders>
              <w:right w:val="single" w:sz="8" w:color="2B4C9B"/>
            </w:tcBorders>
          </w:tcPr>
          <w:p>
            <w:pPr>
              <w:ind w:left="180"/>
              <w:spacing w:after="0"/>
              <w:rPr>
                <w:sz w:val="20"/>
                <w:szCs w:val="20"/>
                <w:color w:val="auto"/>
              </w:rPr>
            </w:pPr>
            <w:r>
              <w:rPr>
                <w:rFonts w:ascii="Wingdings" w:cs="Wingdings" w:eastAsia="Wingdings" w:hAnsi="Wingdings"/>
                <w:sz w:val="13"/>
                <w:szCs w:val="13"/>
                <w:b w:val="1"/>
                <w:bCs w:val="1"/>
                <w:color w:val="auto"/>
              </w:rPr>
              <w:t>¡</w:t>
            </w:r>
            <w:r>
              <w:rPr>
                <w:rFonts w:ascii="Arial" w:cs="Arial" w:eastAsia="Arial" w:hAnsi="Arial"/>
                <w:sz w:val="17"/>
                <w:szCs w:val="17"/>
                <w:color w:val="auto"/>
              </w:rPr>
              <w:t>  Business resiliency of our refineries was exemplified with our disclosure</w:t>
            </w:r>
          </w:p>
        </w:tc>
        <w:tc>
          <w:tcPr>
            <w:tcW w:w="0" w:type="dxa"/>
            <w:vAlign w:val="bottom"/>
          </w:tcPr>
          <w:p>
            <w:pPr>
              <w:spacing w:after="0"/>
              <w:rPr>
                <w:sz w:val="1"/>
                <w:szCs w:val="1"/>
                <w:color w:val="auto"/>
              </w:rPr>
            </w:pPr>
          </w:p>
        </w:tc>
      </w:tr>
      <w:tr>
        <w:trPr>
          <w:trHeight w:val="203"/>
        </w:trPr>
        <w:tc>
          <w:tcPr>
            <w:tcW w:w="2460" w:type="dxa"/>
            <w:vAlign w:val="bottom"/>
            <w:tcBorders>
              <w:left w:val="single" w:sz="8" w:color="2B4C9B"/>
              <w:right w:val="single" w:sz="8" w:color="2B4C9B"/>
            </w:tcBorders>
            <w:gridSpan w:val="2"/>
          </w:tcPr>
          <w:p>
            <w:pPr>
              <w:ind w:left="180"/>
              <w:spacing w:after="0" w:line="202" w:lineRule="exact"/>
              <w:rPr>
                <w:sz w:val="20"/>
                <w:szCs w:val="20"/>
                <w:color w:val="auto"/>
              </w:rPr>
            </w:pPr>
            <w:r>
              <w:rPr>
                <w:rFonts w:ascii="Arial" w:cs="Arial" w:eastAsia="Arial" w:hAnsi="Arial"/>
                <w:sz w:val="18"/>
                <w:szCs w:val="18"/>
                <w:color w:val="auto"/>
                <w:w w:val="99"/>
              </w:rPr>
              <w:t>scenario on remaining asset</w:t>
            </w:r>
          </w:p>
        </w:tc>
        <w:tc>
          <w:tcPr>
            <w:tcW w:w="160" w:type="dxa"/>
            <w:vAlign w:val="bottom"/>
          </w:tcPr>
          <w:p>
            <w:pPr>
              <w:spacing w:after="0"/>
              <w:rPr>
                <w:sz w:val="17"/>
                <w:szCs w:val="17"/>
                <w:color w:val="auto"/>
              </w:rPr>
            </w:pPr>
          </w:p>
        </w:tc>
        <w:tc>
          <w:tcPr>
            <w:tcW w:w="6740" w:type="dxa"/>
            <w:vAlign w:val="bottom"/>
            <w:tcBorders>
              <w:right w:val="single" w:sz="8" w:color="2B4C9B"/>
            </w:tcBorders>
          </w:tcPr>
          <w:p>
            <w:pPr>
              <w:ind w:left="360"/>
              <w:spacing w:after="0" w:line="202" w:lineRule="exact"/>
              <w:rPr>
                <w:sz w:val="20"/>
                <w:szCs w:val="20"/>
                <w:color w:val="auto"/>
              </w:rPr>
            </w:pPr>
            <w:r>
              <w:rPr>
                <w:rFonts w:ascii="Arial" w:cs="Arial" w:eastAsia="Arial" w:hAnsi="Arial"/>
                <w:sz w:val="18"/>
                <w:szCs w:val="18"/>
                <w:color w:val="auto"/>
              </w:rPr>
              <w:t>describing that more than 75 percent of our refining capacity is co-located with</w:t>
            </w:r>
          </w:p>
        </w:tc>
        <w:tc>
          <w:tcPr>
            <w:tcW w:w="0" w:type="dxa"/>
            <w:vAlign w:val="bottom"/>
          </w:tcPr>
          <w:p>
            <w:pPr>
              <w:spacing w:after="0"/>
              <w:rPr>
                <w:sz w:val="1"/>
                <w:szCs w:val="1"/>
                <w:color w:val="auto"/>
              </w:rPr>
            </w:pPr>
          </w:p>
        </w:tc>
      </w:tr>
      <w:tr>
        <w:trPr>
          <w:trHeight w:val="203"/>
        </w:trPr>
        <w:tc>
          <w:tcPr>
            <w:tcW w:w="2040" w:type="dxa"/>
            <w:vAlign w:val="bottom"/>
            <w:tcBorders>
              <w:left w:val="single" w:sz="8" w:color="2B4C9B"/>
            </w:tcBorders>
          </w:tcPr>
          <w:p>
            <w:pPr>
              <w:ind w:left="180"/>
              <w:spacing w:after="0" w:line="202" w:lineRule="exact"/>
              <w:rPr>
                <w:sz w:val="20"/>
                <w:szCs w:val="20"/>
                <w:color w:val="auto"/>
              </w:rPr>
            </w:pPr>
            <w:r>
              <w:rPr>
                <w:rFonts w:ascii="Arial" w:cs="Arial" w:eastAsia="Arial" w:hAnsi="Arial"/>
                <w:sz w:val="18"/>
                <w:szCs w:val="18"/>
                <w:color w:val="auto"/>
              </w:rPr>
              <w:t>lives, asset retirement</w:t>
            </w:r>
          </w:p>
        </w:tc>
        <w:tc>
          <w:tcPr>
            <w:tcW w:w="420" w:type="dxa"/>
            <w:vAlign w:val="bottom"/>
            <w:tcBorders>
              <w:right w:val="single" w:sz="8" w:color="2B4C9B"/>
            </w:tcBorders>
          </w:tcPr>
          <w:p>
            <w:pPr>
              <w:spacing w:after="0"/>
              <w:rPr>
                <w:sz w:val="17"/>
                <w:szCs w:val="17"/>
                <w:color w:val="auto"/>
              </w:rPr>
            </w:pPr>
          </w:p>
        </w:tc>
        <w:tc>
          <w:tcPr>
            <w:tcW w:w="160" w:type="dxa"/>
            <w:vAlign w:val="bottom"/>
          </w:tcPr>
          <w:p>
            <w:pPr>
              <w:spacing w:after="0"/>
              <w:rPr>
                <w:sz w:val="17"/>
                <w:szCs w:val="17"/>
                <w:color w:val="auto"/>
              </w:rPr>
            </w:pPr>
          </w:p>
        </w:tc>
        <w:tc>
          <w:tcPr>
            <w:tcW w:w="6740" w:type="dxa"/>
            <w:vAlign w:val="bottom"/>
            <w:tcBorders>
              <w:right w:val="single" w:sz="8" w:color="2B4C9B"/>
            </w:tcBorders>
          </w:tcPr>
          <w:p>
            <w:pPr>
              <w:ind w:left="360"/>
              <w:spacing w:after="0" w:line="202" w:lineRule="exact"/>
              <w:rPr>
                <w:sz w:val="20"/>
                <w:szCs w:val="20"/>
                <w:color w:val="auto"/>
              </w:rPr>
            </w:pPr>
            <w:r>
              <w:rPr>
                <w:rFonts w:ascii="Arial" w:cs="Arial" w:eastAsia="Arial" w:hAnsi="Arial"/>
                <w:sz w:val="18"/>
                <w:szCs w:val="18"/>
                <w:color w:val="auto"/>
              </w:rPr>
              <w:t>chemical manufacturing capacity in large, integrated sites that have the</w:t>
            </w:r>
          </w:p>
        </w:tc>
        <w:tc>
          <w:tcPr>
            <w:tcW w:w="0" w:type="dxa"/>
            <w:vAlign w:val="bottom"/>
          </w:tcPr>
          <w:p>
            <w:pPr>
              <w:spacing w:after="0"/>
              <w:rPr>
                <w:sz w:val="1"/>
                <w:szCs w:val="1"/>
                <w:color w:val="auto"/>
              </w:rPr>
            </w:pPr>
          </w:p>
        </w:tc>
      </w:tr>
      <w:tr>
        <w:trPr>
          <w:trHeight w:val="203"/>
        </w:trPr>
        <w:tc>
          <w:tcPr>
            <w:tcW w:w="2460" w:type="dxa"/>
            <w:vAlign w:val="bottom"/>
            <w:tcBorders>
              <w:left w:val="single" w:sz="8" w:color="2B4C9B"/>
              <w:right w:val="single" w:sz="8" w:color="2B4C9B"/>
            </w:tcBorders>
            <w:gridSpan w:val="2"/>
          </w:tcPr>
          <w:p>
            <w:pPr>
              <w:ind w:left="180"/>
              <w:spacing w:after="0" w:line="202" w:lineRule="exact"/>
              <w:rPr>
                <w:sz w:val="20"/>
                <w:szCs w:val="20"/>
                <w:color w:val="auto"/>
              </w:rPr>
            </w:pPr>
            <w:r>
              <w:rPr>
                <w:rFonts w:ascii="Arial" w:cs="Arial" w:eastAsia="Arial" w:hAnsi="Arial"/>
                <w:sz w:val="18"/>
                <w:szCs w:val="18"/>
                <w:color w:val="auto"/>
              </w:rPr>
              <w:t>obligations (AROs), and</w:t>
            </w:r>
          </w:p>
        </w:tc>
        <w:tc>
          <w:tcPr>
            <w:tcW w:w="160" w:type="dxa"/>
            <w:vAlign w:val="bottom"/>
          </w:tcPr>
          <w:p>
            <w:pPr>
              <w:spacing w:after="0"/>
              <w:rPr>
                <w:sz w:val="17"/>
                <w:szCs w:val="17"/>
                <w:color w:val="auto"/>
              </w:rPr>
            </w:pPr>
          </w:p>
        </w:tc>
        <w:tc>
          <w:tcPr>
            <w:tcW w:w="6740" w:type="dxa"/>
            <w:vAlign w:val="bottom"/>
            <w:tcBorders>
              <w:right w:val="single" w:sz="8" w:color="2B4C9B"/>
            </w:tcBorders>
          </w:tcPr>
          <w:p>
            <w:pPr>
              <w:ind w:left="360"/>
              <w:spacing w:after="0" w:line="202" w:lineRule="exact"/>
              <w:rPr>
                <w:sz w:val="20"/>
                <w:szCs w:val="20"/>
                <w:color w:val="auto"/>
              </w:rPr>
            </w:pPr>
            <w:r>
              <w:rPr>
                <w:rFonts w:ascii="Arial" w:cs="Arial" w:eastAsia="Arial" w:hAnsi="Arial"/>
                <w:sz w:val="18"/>
                <w:szCs w:val="18"/>
                <w:color w:val="auto"/>
              </w:rPr>
              <w:t>flexibility to shift toward biofuels and chemical feedstocks as demand for</w:t>
            </w:r>
          </w:p>
        </w:tc>
        <w:tc>
          <w:tcPr>
            <w:tcW w:w="0" w:type="dxa"/>
            <w:vAlign w:val="bottom"/>
          </w:tcPr>
          <w:p>
            <w:pPr>
              <w:spacing w:after="0"/>
              <w:rPr>
                <w:sz w:val="1"/>
                <w:szCs w:val="1"/>
                <w:color w:val="auto"/>
              </w:rPr>
            </w:pPr>
          </w:p>
        </w:tc>
      </w:tr>
      <w:tr>
        <w:trPr>
          <w:trHeight w:val="224"/>
        </w:trPr>
        <w:tc>
          <w:tcPr>
            <w:tcW w:w="2040" w:type="dxa"/>
            <w:vAlign w:val="bottom"/>
            <w:tcBorders>
              <w:left w:val="single" w:sz="8" w:color="2B4C9B"/>
            </w:tcBorders>
          </w:tcPr>
          <w:p>
            <w:pPr>
              <w:ind w:left="180"/>
              <w:spacing w:after="0"/>
              <w:rPr>
                <w:sz w:val="20"/>
                <w:szCs w:val="20"/>
                <w:color w:val="auto"/>
              </w:rPr>
            </w:pPr>
            <w:r>
              <w:rPr>
                <w:rFonts w:ascii="Arial" w:cs="Arial" w:eastAsia="Arial" w:hAnsi="Arial"/>
                <w:sz w:val="18"/>
                <w:szCs w:val="18"/>
                <w:color w:val="auto"/>
              </w:rPr>
              <w:t>asset-use optionality.</w:t>
            </w:r>
          </w:p>
        </w:tc>
        <w:tc>
          <w:tcPr>
            <w:tcW w:w="420" w:type="dxa"/>
            <w:vAlign w:val="bottom"/>
            <w:tcBorders>
              <w:right w:val="single" w:sz="8" w:color="2B4C9B"/>
            </w:tcBorders>
          </w:tcPr>
          <w:p>
            <w:pPr>
              <w:spacing w:after="0"/>
              <w:rPr>
                <w:sz w:val="19"/>
                <w:szCs w:val="19"/>
                <w:color w:val="auto"/>
              </w:rPr>
            </w:pPr>
          </w:p>
        </w:tc>
        <w:tc>
          <w:tcPr>
            <w:tcW w:w="160" w:type="dxa"/>
            <w:vAlign w:val="bottom"/>
          </w:tcPr>
          <w:p>
            <w:pPr>
              <w:spacing w:after="0"/>
              <w:rPr>
                <w:sz w:val="19"/>
                <w:szCs w:val="19"/>
                <w:color w:val="auto"/>
              </w:rPr>
            </w:pPr>
          </w:p>
        </w:tc>
        <w:tc>
          <w:tcPr>
            <w:tcW w:w="6740" w:type="dxa"/>
            <w:vAlign w:val="bottom"/>
            <w:tcBorders>
              <w:right w:val="single" w:sz="8" w:color="2B4C9B"/>
            </w:tcBorders>
          </w:tcPr>
          <w:p>
            <w:pPr>
              <w:ind w:left="360"/>
              <w:spacing w:after="0"/>
              <w:rPr>
                <w:sz w:val="20"/>
                <w:szCs w:val="20"/>
                <w:color w:val="auto"/>
              </w:rPr>
            </w:pPr>
            <w:r>
              <w:rPr>
                <w:rFonts w:ascii="Arial" w:cs="Arial" w:eastAsia="Arial" w:hAnsi="Arial"/>
                <w:sz w:val="18"/>
                <w:szCs w:val="18"/>
                <w:color w:val="auto"/>
              </w:rPr>
              <w:t>conventional road transport fuels declines, thereby extending their useful lives.</w:t>
            </w:r>
          </w:p>
        </w:tc>
        <w:tc>
          <w:tcPr>
            <w:tcW w:w="0" w:type="dxa"/>
            <w:vAlign w:val="bottom"/>
          </w:tcPr>
          <w:p>
            <w:pPr>
              <w:spacing w:after="0"/>
              <w:rPr>
                <w:sz w:val="1"/>
                <w:szCs w:val="1"/>
                <w:color w:val="auto"/>
              </w:rPr>
            </w:pPr>
          </w:p>
        </w:tc>
      </w:tr>
      <w:tr>
        <w:trPr>
          <w:trHeight w:val="203"/>
        </w:trPr>
        <w:tc>
          <w:tcPr>
            <w:tcW w:w="2040" w:type="dxa"/>
            <w:vAlign w:val="bottom"/>
            <w:tcBorders>
              <w:left w:val="single" w:sz="8" w:color="2B4C9B"/>
            </w:tcBorders>
          </w:tcPr>
          <w:p>
            <w:pPr>
              <w:spacing w:after="0"/>
              <w:rPr>
                <w:sz w:val="17"/>
                <w:szCs w:val="17"/>
                <w:color w:val="auto"/>
              </w:rPr>
            </w:pPr>
          </w:p>
        </w:tc>
        <w:tc>
          <w:tcPr>
            <w:tcW w:w="420" w:type="dxa"/>
            <w:vAlign w:val="bottom"/>
            <w:tcBorders>
              <w:right w:val="single" w:sz="8" w:color="2B4C9B"/>
            </w:tcBorders>
          </w:tcPr>
          <w:p>
            <w:pPr>
              <w:spacing w:after="0"/>
              <w:rPr>
                <w:sz w:val="17"/>
                <w:szCs w:val="17"/>
                <w:color w:val="auto"/>
              </w:rPr>
            </w:pPr>
          </w:p>
        </w:tc>
        <w:tc>
          <w:tcPr>
            <w:tcW w:w="160" w:type="dxa"/>
            <w:vAlign w:val="bottom"/>
          </w:tcPr>
          <w:p>
            <w:pPr>
              <w:spacing w:after="0"/>
              <w:rPr>
                <w:sz w:val="17"/>
                <w:szCs w:val="17"/>
                <w:color w:val="auto"/>
              </w:rPr>
            </w:pPr>
          </w:p>
        </w:tc>
        <w:tc>
          <w:tcPr>
            <w:tcW w:w="6740" w:type="dxa"/>
            <w:vAlign w:val="bottom"/>
            <w:tcBorders>
              <w:right w:val="single" w:sz="8" w:color="2B4C9B"/>
            </w:tcBorders>
          </w:tcPr>
          <w:p>
            <w:pPr>
              <w:ind w:left="360"/>
              <w:spacing w:after="0" w:line="202" w:lineRule="exact"/>
              <w:rPr>
                <w:sz w:val="20"/>
                <w:szCs w:val="20"/>
                <w:color w:val="auto"/>
              </w:rPr>
            </w:pPr>
            <w:r>
              <w:rPr>
                <w:rFonts w:ascii="Arial" w:cs="Arial" w:eastAsia="Arial" w:hAnsi="Arial"/>
                <w:sz w:val="18"/>
                <w:szCs w:val="18"/>
                <w:color w:val="auto"/>
              </w:rPr>
              <w:t>In addition to repurposing select assets, consistent with our strategy, less</w:t>
            </w:r>
          </w:p>
        </w:tc>
        <w:tc>
          <w:tcPr>
            <w:tcW w:w="0" w:type="dxa"/>
            <w:vAlign w:val="bottom"/>
          </w:tcPr>
          <w:p>
            <w:pPr>
              <w:spacing w:after="0"/>
              <w:rPr>
                <w:sz w:val="1"/>
                <w:szCs w:val="1"/>
                <w:color w:val="auto"/>
              </w:rPr>
            </w:pPr>
          </w:p>
        </w:tc>
      </w:tr>
      <w:tr>
        <w:trPr>
          <w:trHeight w:val="202"/>
        </w:trPr>
        <w:tc>
          <w:tcPr>
            <w:tcW w:w="2040" w:type="dxa"/>
            <w:vAlign w:val="bottom"/>
            <w:tcBorders>
              <w:left w:val="single" w:sz="8" w:color="2B4C9B"/>
            </w:tcBorders>
          </w:tcPr>
          <w:p>
            <w:pPr>
              <w:spacing w:after="0"/>
              <w:rPr>
                <w:sz w:val="17"/>
                <w:szCs w:val="17"/>
                <w:color w:val="auto"/>
              </w:rPr>
            </w:pPr>
          </w:p>
        </w:tc>
        <w:tc>
          <w:tcPr>
            <w:tcW w:w="420" w:type="dxa"/>
            <w:vAlign w:val="bottom"/>
            <w:tcBorders>
              <w:right w:val="single" w:sz="8" w:color="2B4C9B"/>
            </w:tcBorders>
          </w:tcPr>
          <w:p>
            <w:pPr>
              <w:spacing w:after="0"/>
              <w:rPr>
                <w:sz w:val="17"/>
                <w:szCs w:val="17"/>
                <w:color w:val="auto"/>
              </w:rPr>
            </w:pPr>
          </w:p>
        </w:tc>
        <w:tc>
          <w:tcPr>
            <w:tcW w:w="160" w:type="dxa"/>
            <w:vAlign w:val="bottom"/>
          </w:tcPr>
          <w:p>
            <w:pPr>
              <w:spacing w:after="0"/>
              <w:rPr>
                <w:sz w:val="17"/>
                <w:szCs w:val="17"/>
                <w:color w:val="auto"/>
              </w:rPr>
            </w:pPr>
          </w:p>
        </w:tc>
        <w:tc>
          <w:tcPr>
            <w:tcW w:w="6740" w:type="dxa"/>
            <w:vAlign w:val="bottom"/>
            <w:tcBorders>
              <w:right w:val="single" w:sz="8" w:color="2B4C9B"/>
            </w:tcBorders>
          </w:tcPr>
          <w:p>
            <w:pPr>
              <w:ind w:left="360"/>
              <w:spacing w:after="0" w:line="202" w:lineRule="exact"/>
              <w:rPr>
                <w:sz w:val="20"/>
                <w:szCs w:val="20"/>
                <w:color w:val="auto"/>
              </w:rPr>
            </w:pPr>
            <w:r>
              <w:rPr>
                <w:rFonts w:ascii="Arial" w:cs="Arial" w:eastAsia="Arial" w:hAnsi="Arial"/>
                <w:sz w:val="18"/>
                <w:szCs w:val="18"/>
                <w:color w:val="auto"/>
              </w:rPr>
              <w:t>advantaged, non-integrated refineries could be converted to terminals (again</w:t>
            </w:r>
          </w:p>
        </w:tc>
        <w:tc>
          <w:tcPr>
            <w:tcW w:w="0" w:type="dxa"/>
            <w:vAlign w:val="bottom"/>
          </w:tcPr>
          <w:p>
            <w:pPr>
              <w:spacing w:after="0"/>
              <w:rPr>
                <w:sz w:val="1"/>
                <w:szCs w:val="1"/>
                <w:color w:val="auto"/>
              </w:rPr>
            </w:pPr>
          </w:p>
        </w:tc>
      </w:tr>
      <w:tr>
        <w:trPr>
          <w:trHeight w:val="203"/>
        </w:trPr>
        <w:tc>
          <w:tcPr>
            <w:tcW w:w="2040" w:type="dxa"/>
            <w:vAlign w:val="bottom"/>
            <w:tcBorders>
              <w:left w:val="single" w:sz="8" w:color="2B4C9B"/>
            </w:tcBorders>
          </w:tcPr>
          <w:p>
            <w:pPr>
              <w:spacing w:after="0"/>
              <w:rPr>
                <w:sz w:val="17"/>
                <w:szCs w:val="17"/>
                <w:color w:val="auto"/>
              </w:rPr>
            </w:pPr>
          </w:p>
        </w:tc>
        <w:tc>
          <w:tcPr>
            <w:tcW w:w="420" w:type="dxa"/>
            <w:vAlign w:val="bottom"/>
            <w:tcBorders>
              <w:right w:val="single" w:sz="8" w:color="2B4C9B"/>
            </w:tcBorders>
          </w:tcPr>
          <w:p>
            <w:pPr>
              <w:spacing w:after="0"/>
              <w:rPr>
                <w:sz w:val="17"/>
                <w:szCs w:val="17"/>
                <w:color w:val="auto"/>
              </w:rPr>
            </w:pPr>
          </w:p>
        </w:tc>
        <w:tc>
          <w:tcPr>
            <w:tcW w:w="160" w:type="dxa"/>
            <w:vAlign w:val="bottom"/>
          </w:tcPr>
          <w:p>
            <w:pPr>
              <w:spacing w:after="0"/>
              <w:rPr>
                <w:sz w:val="17"/>
                <w:szCs w:val="17"/>
                <w:color w:val="auto"/>
              </w:rPr>
            </w:pPr>
          </w:p>
        </w:tc>
        <w:tc>
          <w:tcPr>
            <w:tcW w:w="6740" w:type="dxa"/>
            <w:vAlign w:val="bottom"/>
            <w:tcBorders>
              <w:right w:val="single" w:sz="8" w:color="2B4C9B"/>
            </w:tcBorders>
          </w:tcPr>
          <w:p>
            <w:pPr>
              <w:ind w:left="360"/>
              <w:spacing w:after="0" w:line="202" w:lineRule="exact"/>
              <w:rPr>
                <w:sz w:val="20"/>
                <w:szCs w:val="20"/>
                <w:color w:val="auto"/>
              </w:rPr>
            </w:pPr>
            <w:r>
              <w:rPr>
                <w:rFonts w:ascii="Arial" w:cs="Arial" w:eastAsia="Arial" w:hAnsi="Arial"/>
                <w:sz w:val="18"/>
                <w:szCs w:val="18"/>
                <w:color w:val="auto"/>
              </w:rPr>
              <w:t>extending their useful lives) or sold.</w:t>
            </w:r>
          </w:p>
        </w:tc>
        <w:tc>
          <w:tcPr>
            <w:tcW w:w="0" w:type="dxa"/>
            <w:vAlign w:val="bottom"/>
          </w:tcPr>
          <w:p>
            <w:pPr>
              <w:spacing w:after="0"/>
              <w:rPr>
                <w:sz w:val="1"/>
                <w:szCs w:val="1"/>
                <w:color w:val="auto"/>
              </w:rPr>
            </w:pPr>
          </w:p>
        </w:tc>
      </w:tr>
      <w:tr>
        <w:trPr>
          <w:trHeight w:val="203"/>
        </w:trPr>
        <w:tc>
          <w:tcPr>
            <w:tcW w:w="2040" w:type="dxa"/>
            <w:vAlign w:val="bottom"/>
            <w:tcBorders>
              <w:left w:val="single" w:sz="8" w:color="2B4C9B"/>
            </w:tcBorders>
          </w:tcPr>
          <w:p>
            <w:pPr>
              <w:spacing w:after="0"/>
              <w:rPr>
                <w:sz w:val="17"/>
                <w:szCs w:val="17"/>
                <w:color w:val="auto"/>
              </w:rPr>
            </w:pPr>
          </w:p>
        </w:tc>
        <w:tc>
          <w:tcPr>
            <w:tcW w:w="420" w:type="dxa"/>
            <w:vAlign w:val="bottom"/>
            <w:tcBorders>
              <w:right w:val="single" w:sz="8" w:color="2B4C9B"/>
            </w:tcBorders>
          </w:tcPr>
          <w:p>
            <w:pPr>
              <w:spacing w:after="0"/>
              <w:rPr>
                <w:sz w:val="17"/>
                <w:szCs w:val="17"/>
                <w:color w:val="auto"/>
              </w:rPr>
            </w:pPr>
          </w:p>
        </w:tc>
        <w:tc>
          <w:tcPr>
            <w:tcW w:w="160" w:type="dxa"/>
            <w:vAlign w:val="bottom"/>
          </w:tcPr>
          <w:p>
            <w:pPr>
              <w:spacing w:after="0"/>
              <w:rPr>
                <w:sz w:val="17"/>
                <w:szCs w:val="17"/>
                <w:color w:val="auto"/>
              </w:rPr>
            </w:pPr>
          </w:p>
        </w:tc>
        <w:tc>
          <w:tcPr>
            <w:tcW w:w="6740" w:type="dxa"/>
            <w:vAlign w:val="bottom"/>
            <w:tcBorders>
              <w:right w:val="single" w:sz="8" w:color="2B4C9B"/>
            </w:tcBorders>
          </w:tcPr>
          <w:p>
            <w:pPr>
              <w:ind w:left="180"/>
              <w:spacing w:after="0"/>
              <w:rPr>
                <w:sz w:val="20"/>
                <w:szCs w:val="20"/>
                <w:color w:val="auto"/>
              </w:rPr>
            </w:pPr>
            <w:r>
              <w:rPr>
                <w:rFonts w:ascii="Wingdings" w:cs="Wingdings" w:eastAsia="Wingdings" w:hAnsi="Wingdings"/>
                <w:sz w:val="13"/>
                <w:szCs w:val="13"/>
                <w:b w:val="1"/>
                <w:bCs w:val="1"/>
                <w:color w:val="auto"/>
              </w:rPr>
              <w:t>¡</w:t>
            </w:r>
            <w:r>
              <w:rPr>
                <w:rFonts w:ascii="Arial" w:cs="Arial" w:eastAsia="Arial" w:hAnsi="Arial"/>
                <w:sz w:val="17"/>
                <w:szCs w:val="17"/>
                <w:color w:val="auto"/>
              </w:rPr>
              <w:t>  Additionally, we note that a substantial majority of our proved reserves are</w:t>
            </w:r>
          </w:p>
        </w:tc>
        <w:tc>
          <w:tcPr>
            <w:tcW w:w="0" w:type="dxa"/>
            <w:vAlign w:val="bottom"/>
          </w:tcPr>
          <w:p>
            <w:pPr>
              <w:spacing w:after="0"/>
              <w:rPr>
                <w:sz w:val="1"/>
                <w:szCs w:val="1"/>
                <w:color w:val="auto"/>
              </w:rPr>
            </w:pPr>
          </w:p>
        </w:tc>
      </w:tr>
      <w:tr>
        <w:trPr>
          <w:trHeight w:val="203"/>
        </w:trPr>
        <w:tc>
          <w:tcPr>
            <w:tcW w:w="2040" w:type="dxa"/>
            <w:vAlign w:val="bottom"/>
            <w:tcBorders>
              <w:left w:val="single" w:sz="8" w:color="2B4C9B"/>
            </w:tcBorders>
          </w:tcPr>
          <w:p>
            <w:pPr>
              <w:spacing w:after="0"/>
              <w:rPr>
                <w:sz w:val="17"/>
                <w:szCs w:val="17"/>
                <w:color w:val="auto"/>
              </w:rPr>
            </w:pPr>
          </w:p>
        </w:tc>
        <w:tc>
          <w:tcPr>
            <w:tcW w:w="420" w:type="dxa"/>
            <w:vAlign w:val="bottom"/>
            <w:tcBorders>
              <w:right w:val="single" w:sz="8" w:color="2B4C9B"/>
            </w:tcBorders>
          </w:tcPr>
          <w:p>
            <w:pPr>
              <w:spacing w:after="0"/>
              <w:rPr>
                <w:sz w:val="17"/>
                <w:szCs w:val="17"/>
                <w:color w:val="auto"/>
              </w:rPr>
            </w:pPr>
          </w:p>
        </w:tc>
        <w:tc>
          <w:tcPr>
            <w:tcW w:w="160" w:type="dxa"/>
            <w:vAlign w:val="bottom"/>
          </w:tcPr>
          <w:p>
            <w:pPr>
              <w:spacing w:after="0"/>
              <w:rPr>
                <w:sz w:val="17"/>
                <w:szCs w:val="17"/>
                <w:color w:val="auto"/>
              </w:rPr>
            </w:pPr>
          </w:p>
        </w:tc>
        <w:tc>
          <w:tcPr>
            <w:tcW w:w="6740" w:type="dxa"/>
            <w:vAlign w:val="bottom"/>
            <w:tcBorders>
              <w:right w:val="single" w:sz="8" w:color="2B4C9B"/>
            </w:tcBorders>
          </w:tcPr>
          <w:p>
            <w:pPr>
              <w:ind w:left="360"/>
              <w:spacing w:after="0" w:line="202" w:lineRule="exact"/>
              <w:rPr>
                <w:sz w:val="20"/>
                <w:szCs w:val="20"/>
                <w:color w:val="auto"/>
              </w:rPr>
            </w:pPr>
            <w:r>
              <w:rPr>
                <w:rFonts w:ascii="Arial" w:cs="Arial" w:eastAsia="Arial" w:hAnsi="Arial"/>
                <w:sz w:val="18"/>
                <w:szCs w:val="18"/>
                <w:color w:val="auto"/>
              </w:rPr>
              <w:t>expected to have been produced by 2050. For proved reserves projected to be</w:t>
            </w:r>
          </w:p>
        </w:tc>
        <w:tc>
          <w:tcPr>
            <w:tcW w:w="0" w:type="dxa"/>
            <w:vAlign w:val="bottom"/>
          </w:tcPr>
          <w:p>
            <w:pPr>
              <w:spacing w:after="0"/>
              <w:rPr>
                <w:sz w:val="1"/>
                <w:szCs w:val="1"/>
                <w:color w:val="auto"/>
              </w:rPr>
            </w:pPr>
          </w:p>
        </w:tc>
      </w:tr>
      <w:tr>
        <w:trPr>
          <w:trHeight w:val="203"/>
        </w:trPr>
        <w:tc>
          <w:tcPr>
            <w:tcW w:w="2040" w:type="dxa"/>
            <w:vAlign w:val="bottom"/>
            <w:tcBorders>
              <w:left w:val="single" w:sz="8" w:color="2B4C9B"/>
            </w:tcBorders>
          </w:tcPr>
          <w:p>
            <w:pPr>
              <w:spacing w:after="0"/>
              <w:rPr>
                <w:sz w:val="17"/>
                <w:szCs w:val="17"/>
                <w:color w:val="auto"/>
              </w:rPr>
            </w:pPr>
          </w:p>
        </w:tc>
        <w:tc>
          <w:tcPr>
            <w:tcW w:w="420" w:type="dxa"/>
            <w:vAlign w:val="bottom"/>
            <w:tcBorders>
              <w:right w:val="single" w:sz="8" w:color="2B4C9B"/>
            </w:tcBorders>
          </w:tcPr>
          <w:p>
            <w:pPr>
              <w:spacing w:after="0"/>
              <w:rPr>
                <w:sz w:val="17"/>
                <w:szCs w:val="17"/>
                <w:color w:val="auto"/>
              </w:rPr>
            </w:pPr>
          </w:p>
        </w:tc>
        <w:tc>
          <w:tcPr>
            <w:tcW w:w="160" w:type="dxa"/>
            <w:vAlign w:val="bottom"/>
          </w:tcPr>
          <w:p>
            <w:pPr>
              <w:spacing w:after="0"/>
              <w:rPr>
                <w:sz w:val="17"/>
                <w:szCs w:val="17"/>
                <w:color w:val="auto"/>
              </w:rPr>
            </w:pPr>
          </w:p>
        </w:tc>
        <w:tc>
          <w:tcPr>
            <w:tcW w:w="6740" w:type="dxa"/>
            <w:vAlign w:val="bottom"/>
            <w:tcBorders>
              <w:right w:val="single" w:sz="8" w:color="2B4C9B"/>
            </w:tcBorders>
          </w:tcPr>
          <w:p>
            <w:pPr>
              <w:ind w:left="360"/>
              <w:spacing w:after="0" w:line="202" w:lineRule="exact"/>
              <w:rPr>
                <w:sz w:val="20"/>
                <w:szCs w:val="20"/>
                <w:color w:val="auto"/>
              </w:rPr>
            </w:pPr>
            <w:r>
              <w:rPr>
                <w:rFonts w:ascii="Arial" w:cs="Arial" w:eastAsia="Arial" w:hAnsi="Arial"/>
                <w:sz w:val="18"/>
                <w:szCs w:val="18"/>
                <w:color w:val="auto"/>
              </w:rPr>
              <w:t>produced beyond 2050, the majority of development costs will have been</w:t>
            </w:r>
          </w:p>
        </w:tc>
        <w:tc>
          <w:tcPr>
            <w:tcW w:w="0" w:type="dxa"/>
            <w:vAlign w:val="bottom"/>
          </w:tcPr>
          <w:p>
            <w:pPr>
              <w:spacing w:after="0"/>
              <w:rPr>
                <w:sz w:val="1"/>
                <w:szCs w:val="1"/>
                <w:color w:val="auto"/>
              </w:rPr>
            </w:pPr>
          </w:p>
        </w:tc>
      </w:tr>
      <w:tr>
        <w:trPr>
          <w:trHeight w:val="203"/>
        </w:trPr>
        <w:tc>
          <w:tcPr>
            <w:tcW w:w="2040" w:type="dxa"/>
            <w:vAlign w:val="bottom"/>
            <w:tcBorders>
              <w:left w:val="single" w:sz="8" w:color="2B4C9B"/>
            </w:tcBorders>
          </w:tcPr>
          <w:p>
            <w:pPr>
              <w:spacing w:after="0"/>
              <w:rPr>
                <w:sz w:val="17"/>
                <w:szCs w:val="17"/>
                <w:color w:val="auto"/>
              </w:rPr>
            </w:pPr>
          </w:p>
        </w:tc>
        <w:tc>
          <w:tcPr>
            <w:tcW w:w="420" w:type="dxa"/>
            <w:vAlign w:val="bottom"/>
            <w:tcBorders>
              <w:right w:val="single" w:sz="8" w:color="2B4C9B"/>
            </w:tcBorders>
          </w:tcPr>
          <w:p>
            <w:pPr>
              <w:spacing w:after="0"/>
              <w:rPr>
                <w:sz w:val="17"/>
                <w:szCs w:val="17"/>
                <w:color w:val="auto"/>
              </w:rPr>
            </w:pPr>
          </w:p>
        </w:tc>
        <w:tc>
          <w:tcPr>
            <w:tcW w:w="160" w:type="dxa"/>
            <w:vAlign w:val="bottom"/>
          </w:tcPr>
          <w:p>
            <w:pPr>
              <w:spacing w:after="0"/>
              <w:rPr>
                <w:sz w:val="17"/>
                <w:szCs w:val="17"/>
                <w:color w:val="auto"/>
              </w:rPr>
            </w:pPr>
          </w:p>
        </w:tc>
        <w:tc>
          <w:tcPr>
            <w:tcW w:w="6740" w:type="dxa"/>
            <w:vAlign w:val="bottom"/>
            <w:tcBorders>
              <w:right w:val="single" w:sz="8" w:color="2B4C9B"/>
            </w:tcBorders>
          </w:tcPr>
          <w:p>
            <w:pPr>
              <w:ind w:left="360"/>
              <w:spacing w:after="0" w:line="202" w:lineRule="exact"/>
              <w:rPr>
                <w:sz w:val="20"/>
                <w:szCs w:val="20"/>
                <w:color w:val="auto"/>
              </w:rPr>
            </w:pPr>
            <w:r>
              <w:rPr>
                <w:rFonts w:ascii="Arial" w:cs="Arial" w:eastAsia="Arial" w:hAnsi="Arial"/>
                <w:sz w:val="18"/>
                <w:szCs w:val="18"/>
                <w:color w:val="auto"/>
              </w:rPr>
              <w:t>incurred before 2050.</w:t>
            </w:r>
          </w:p>
        </w:tc>
        <w:tc>
          <w:tcPr>
            <w:tcW w:w="0" w:type="dxa"/>
            <w:vAlign w:val="bottom"/>
          </w:tcPr>
          <w:p>
            <w:pPr>
              <w:spacing w:after="0"/>
              <w:rPr>
                <w:sz w:val="1"/>
                <w:szCs w:val="1"/>
                <w:color w:val="auto"/>
              </w:rPr>
            </w:pPr>
          </w:p>
        </w:tc>
      </w:tr>
      <w:tr>
        <w:trPr>
          <w:trHeight w:val="216"/>
        </w:trPr>
        <w:tc>
          <w:tcPr>
            <w:tcW w:w="2040" w:type="dxa"/>
            <w:vAlign w:val="bottom"/>
            <w:tcBorders>
              <w:left w:val="single" w:sz="8" w:color="2B4C9B"/>
            </w:tcBorders>
          </w:tcPr>
          <w:p>
            <w:pPr>
              <w:spacing w:after="0"/>
              <w:rPr>
                <w:sz w:val="18"/>
                <w:szCs w:val="18"/>
                <w:color w:val="auto"/>
              </w:rPr>
            </w:pPr>
          </w:p>
        </w:tc>
        <w:tc>
          <w:tcPr>
            <w:tcW w:w="420" w:type="dxa"/>
            <w:vAlign w:val="bottom"/>
            <w:tcBorders>
              <w:right w:val="single" w:sz="8" w:color="2B4C9B"/>
            </w:tcBorders>
          </w:tcPr>
          <w:p>
            <w:pPr>
              <w:spacing w:after="0"/>
              <w:rPr>
                <w:sz w:val="18"/>
                <w:szCs w:val="18"/>
                <w:color w:val="auto"/>
              </w:rPr>
            </w:pPr>
          </w:p>
        </w:tc>
        <w:tc>
          <w:tcPr>
            <w:tcW w:w="160" w:type="dxa"/>
            <w:vAlign w:val="bottom"/>
          </w:tcPr>
          <w:p>
            <w:pPr>
              <w:spacing w:after="0"/>
              <w:rPr>
                <w:sz w:val="18"/>
                <w:szCs w:val="18"/>
                <w:color w:val="auto"/>
              </w:rPr>
            </w:pPr>
          </w:p>
        </w:tc>
        <w:tc>
          <w:tcPr>
            <w:tcW w:w="6740" w:type="dxa"/>
            <w:vAlign w:val="bottom"/>
            <w:tcBorders>
              <w:right w:val="single" w:sz="8" w:color="2B4C9B"/>
            </w:tcBorders>
          </w:tcPr>
          <w:p>
            <w:pP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Providing further asset-specific public disclosure regarding remaining useful lives,</w:t>
            </w:r>
          </w:p>
        </w:tc>
        <w:tc>
          <w:tcPr>
            <w:tcW w:w="0" w:type="dxa"/>
            <w:vAlign w:val="bottom"/>
          </w:tcPr>
          <w:p>
            <w:pPr>
              <w:spacing w:after="0"/>
              <w:rPr>
                <w:sz w:val="1"/>
                <w:szCs w:val="1"/>
                <w:color w:val="auto"/>
              </w:rPr>
            </w:pPr>
          </w:p>
        </w:tc>
      </w:tr>
      <w:tr>
        <w:trPr>
          <w:trHeight w:val="203"/>
        </w:trPr>
        <w:tc>
          <w:tcPr>
            <w:tcW w:w="2040" w:type="dxa"/>
            <w:vAlign w:val="bottom"/>
            <w:tcBorders>
              <w:left w:val="single" w:sz="8" w:color="2B4C9B"/>
            </w:tcBorders>
          </w:tcPr>
          <w:p>
            <w:pPr>
              <w:spacing w:after="0"/>
              <w:rPr>
                <w:sz w:val="17"/>
                <w:szCs w:val="17"/>
                <w:color w:val="auto"/>
              </w:rPr>
            </w:pPr>
          </w:p>
        </w:tc>
        <w:tc>
          <w:tcPr>
            <w:tcW w:w="420" w:type="dxa"/>
            <w:vAlign w:val="bottom"/>
            <w:tcBorders>
              <w:right w:val="single" w:sz="8" w:color="2B4C9B"/>
            </w:tcBorders>
          </w:tcPr>
          <w:p>
            <w:pPr>
              <w:spacing w:after="0"/>
              <w:rPr>
                <w:sz w:val="17"/>
                <w:szCs w:val="17"/>
                <w:color w:val="auto"/>
              </w:rPr>
            </w:pPr>
          </w:p>
        </w:tc>
        <w:tc>
          <w:tcPr>
            <w:tcW w:w="160" w:type="dxa"/>
            <w:vAlign w:val="bottom"/>
          </w:tcPr>
          <w:p>
            <w:pPr>
              <w:spacing w:after="0"/>
              <w:rPr>
                <w:sz w:val="17"/>
                <w:szCs w:val="17"/>
                <w:color w:val="auto"/>
              </w:rPr>
            </w:pPr>
          </w:p>
        </w:tc>
        <w:tc>
          <w:tcPr>
            <w:tcW w:w="6740" w:type="dxa"/>
            <w:vAlign w:val="bottom"/>
            <w:tcBorders>
              <w:right w:val="single" w:sz="8" w:color="2B4C9B"/>
            </w:tcBorders>
          </w:tcPr>
          <w:p>
            <w:pPr>
              <w:ind w:left="180"/>
              <w:spacing w:after="0" w:line="202" w:lineRule="exact"/>
              <w:rPr>
                <w:sz w:val="20"/>
                <w:szCs w:val="20"/>
                <w:color w:val="auto"/>
              </w:rPr>
            </w:pPr>
            <w:r>
              <w:rPr>
                <w:rFonts w:ascii="Arial" w:cs="Arial" w:eastAsia="Arial" w:hAnsi="Arial"/>
                <w:sz w:val="18"/>
                <w:szCs w:val="18"/>
                <w:color w:val="auto"/>
              </w:rPr>
              <w:t>retirement costs, and potential proved reserves in an IEA NZE scenario could</w:t>
            </w:r>
          </w:p>
        </w:tc>
        <w:tc>
          <w:tcPr>
            <w:tcW w:w="0" w:type="dxa"/>
            <w:vAlign w:val="bottom"/>
          </w:tcPr>
          <w:p>
            <w:pPr>
              <w:spacing w:after="0"/>
              <w:rPr>
                <w:sz w:val="1"/>
                <w:szCs w:val="1"/>
                <w:color w:val="auto"/>
              </w:rPr>
            </w:pPr>
          </w:p>
        </w:tc>
      </w:tr>
      <w:tr>
        <w:trPr>
          <w:trHeight w:val="203"/>
        </w:trPr>
        <w:tc>
          <w:tcPr>
            <w:tcW w:w="2040" w:type="dxa"/>
            <w:vAlign w:val="bottom"/>
            <w:tcBorders>
              <w:left w:val="single" w:sz="8" w:color="2B4C9B"/>
            </w:tcBorders>
          </w:tcPr>
          <w:p>
            <w:pPr>
              <w:spacing w:after="0"/>
              <w:rPr>
                <w:sz w:val="17"/>
                <w:szCs w:val="17"/>
                <w:color w:val="auto"/>
              </w:rPr>
            </w:pPr>
          </w:p>
        </w:tc>
        <w:tc>
          <w:tcPr>
            <w:tcW w:w="420" w:type="dxa"/>
            <w:vAlign w:val="bottom"/>
            <w:tcBorders>
              <w:right w:val="single" w:sz="8" w:color="2B4C9B"/>
            </w:tcBorders>
          </w:tcPr>
          <w:p>
            <w:pPr>
              <w:spacing w:after="0"/>
              <w:rPr>
                <w:sz w:val="17"/>
                <w:szCs w:val="17"/>
                <w:color w:val="auto"/>
              </w:rPr>
            </w:pPr>
          </w:p>
        </w:tc>
        <w:tc>
          <w:tcPr>
            <w:tcW w:w="160" w:type="dxa"/>
            <w:vAlign w:val="bottom"/>
          </w:tcPr>
          <w:p>
            <w:pPr>
              <w:spacing w:after="0"/>
              <w:rPr>
                <w:sz w:val="17"/>
                <w:szCs w:val="17"/>
                <w:color w:val="auto"/>
              </w:rPr>
            </w:pPr>
          </w:p>
        </w:tc>
        <w:tc>
          <w:tcPr>
            <w:tcW w:w="6740" w:type="dxa"/>
            <w:vAlign w:val="bottom"/>
            <w:tcBorders>
              <w:right w:val="single" w:sz="8" w:color="2B4C9B"/>
            </w:tcBorders>
          </w:tcPr>
          <w:p>
            <w:pPr>
              <w:ind w:left="180"/>
              <w:spacing w:after="0" w:line="202" w:lineRule="exact"/>
              <w:rPr>
                <w:sz w:val="20"/>
                <w:szCs w:val="20"/>
                <w:color w:val="auto"/>
              </w:rPr>
            </w:pPr>
            <w:r>
              <w:rPr>
                <w:rFonts w:ascii="Arial" w:cs="Arial" w:eastAsia="Arial" w:hAnsi="Arial"/>
                <w:sz w:val="18"/>
                <w:szCs w:val="18"/>
                <w:color w:val="auto"/>
              </w:rPr>
              <w:t>imply a higher degree of certainty than exists. It also could provide competitively</w:t>
            </w:r>
          </w:p>
        </w:tc>
        <w:tc>
          <w:tcPr>
            <w:tcW w:w="0" w:type="dxa"/>
            <w:vAlign w:val="bottom"/>
          </w:tcPr>
          <w:p>
            <w:pPr>
              <w:spacing w:after="0"/>
              <w:rPr>
                <w:sz w:val="1"/>
                <w:szCs w:val="1"/>
                <w:color w:val="auto"/>
              </w:rPr>
            </w:pPr>
          </w:p>
        </w:tc>
      </w:tr>
      <w:tr>
        <w:trPr>
          <w:trHeight w:val="203"/>
        </w:trPr>
        <w:tc>
          <w:tcPr>
            <w:tcW w:w="2040" w:type="dxa"/>
            <w:vAlign w:val="bottom"/>
            <w:tcBorders>
              <w:left w:val="single" w:sz="8" w:color="2B4C9B"/>
            </w:tcBorders>
          </w:tcPr>
          <w:p>
            <w:pPr>
              <w:spacing w:after="0"/>
              <w:rPr>
                <w:sz w:val="17"/>
                <w:szCs w:val="17"/>
                <w:color w:val="auto"/>
              </w:rPr>
            </w:pPr>
          </w:p>
        </w:tc>
        <w:tc>
          <w:tcPr>
            <w:tcW w:w="420" w:type="dxa"/>
            <w:vAlign w:val="bottom"/>
            <w:tcBorders>
              <w:right w:val="single" w:sz="8" w:color="2B4C9B"/>
            </w:tcBorders>
          </w:tcPr>
          <w:p>
            <w:pPr>
              <w:spacing w:after="0"/>
              <w:rPr>
                <w:sz w:val="17"/>
                <w:szCs w:val="17"/>
                <w:color w:val="auto"/>
              </w:rPr>
            </w:pPr>
          </w:p>
        </w:tc>
        <w:tc>
          <w:tcPr>
            <w:tcW w:w="160" w:type="dxa"/>
            <w:vAlign w:val="bottom"/>
          </w:tcPr>
          <w:p>
            <w:pPr>
              <w:spacing w:after="0"/>
              <w:rPr>
                <w:sz w:val="17"/>
                <w:szCs w:val="17"/>
                <w:color w:val="auto"/>
              </w:rPr>
            </w:pPr>
          </w:p>
        </w:tc>
        <w:tc>
          <w:tcPr>
            <w:tcW w:w="6740" w:type="dxa"/>
            <w:vAlign w:val="bottom"/>
            <w:tcBorders>
              <w:right w:val="single" w:sz="8" w:color="2B4C9B"/>
            </w:tcBorders>
          </w:tcPr>
          <w:p>
            <w:pPr>
              <w:ind w:left="180"/>
              <w:spacing w:after="0" w:line="202" w:lineRule="exact"/>
              <w:rPr>
                <w:sz w:val="20"/>
                <w:szCs w:val="20"/>
                <w:color w:val="auto"/>
              </w:rPr>
            </w:pPr>
            <w:r>
              <w:rPr>
                <w:rFonts w:ascii="Arial" w:cs="Arial" w:eastAsia="Arial" w:hAnsi="Arial"/>
                <w:sz w:val="18"/>
                <w:szCs w:val="18"/>
                <w:color w:val="auto"/>
              </w:rPr>
              <w:t>sensitive information on how we might make adjustments to our portfolio.</w:t>
            </w:r>
          </w:p>
        </w:tc>
        <w:tc>
          <w:tcPr>
            <w:tcW w:w="0" w:type="dxa"/>
            <w:vAlign w:val="bottom"/>
          </w:tcPr>
          <w:p>
            <w:pPr>
              <w:spacing w:after="0"/>
              <w:rPr>
                <w:sz w:val="1"/>
                <w:szCs w:val="1"/>
                <w:color w:val="auto"/>
              </w:rPr>
            </w:pPr>
          </w:p>
        </w:tc>
      </w:tr>
      <w:tr>
        <w:trPr>
          <w:trHeight w:val="239"/>
        </w:trPr>
        <w:tc>
          <w:tcPr>
            <w:tcW w:w="2040" w:type="dxa"/>
            <w:vAlign w:val="bottom"/>
            <w:tcBorders>
              <w:left w:val="single" w:sz="8" w:color="2B4C9B"/>
            </w:tcBorders>
          </w:tcPr>
          <w:p>
            <w:pPr>
              <w:spacing w:after="0"/>
              <w:rPr>
                <w:sz w:val="20"/>
                <w:szCs w:val="20"/>
                <w:color w:val="auto"/>
              </w:rPr>
            </w:pPr>
          </w:p>
        </w:tc>
        <w:tc>
          <w:tcPr>
            <w:tcW w:w="420" w:type="dxa"/>
            <w:vAlign w:val="bottom"/>
            <w:tcBorders>
              <w:right w:val="single" w:sz="8" w:color="2B4C9B"/>
            </w:tcBorders>
          </w:tcPr>
          <w:p>
            <w:pPr>
              <w:spacing w:after="0"/>
              <w:rPr>
                <w:sz w:val="20"/>
                <w:szCs w:val="20"/>
                <w:color w:val="auto"/>
              </w:rPr>
            </w:pPr>
          </w:p>
        </w:tc>
        <w:tc>
          <w:tcPr>
            <w:tcW w:w="160" w:type="dxa"/>
            <w:vAlign w:val="bottom"/>
          </w:tcPr>
          <w:p>
            <w:pPr>
              <w:spacing w:after="0"/>
              <w:rPr>
                <w:sz w:val="20"/>
                <w:szCs w:val="20"/>
                <w:color w:val="auto"/>
              </w:rPr>
            </w:pPr>
          </w:p>
        </w:tc>
        <w:tc>
          <w:tcPr>
            <w:tcW w:w="6740" w:type="dxa"/>
            <w:vAlign w:val="bottom"/>
            <w:tcBorders>
              <w:right w:val="single" w:sz="8" w:color="2B4C9B"/>
            </w:tcBorders>
          </w:tcPr>
          <w:p>
            <w:pP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See ACS Pages 18 and 30-37.</w:t>
            </w:r>
          </w:p>
        </w:tc>
        <w:tc>
          <w:tcPr>
            <w:tcW w:w="0" w:type="dxa"/>
            <w:vAlign w:val="bottom"/>
          </w:tcPr>
          <w:p>
            <w:pPr>
              <w:spacing w:after="0"/>
              <w:rPr>
                <w:sz w:val="1"/>
                <w:szCs w:val="1"/>
                <w:color w:val="auto"/>
              </w:rPr>
            </w:pPr>
          </w:p>
        </w:tc>
      </w:tr>
      <w:tr>
        <w:trPr>
          <w:trHeight w:val="145"/>
        </w:trPr>
        <w:tc>
          <w:tcPr>
            <w:tcW w:w="2040" w:type="dxa"/>
            <w:vAlign w:val="bottom"/>
            <w:tcBorders>
              <w:left w:val="single" w:sz="8" w:color="2B4C9B"/>
              <w:bottom w:val="single" w:sz="8" w:color="2B4C9B"/>
            </w:tcBorders>
          </w:tcPr>
          <w:p>
            <w:pPr>
              <w:spacing w:after="0"/>
              <w:rPr>
                <w:sz w:val="12"/>
                <w:szCs w:val="12"/>
                <w:color w:val="auto"/>
              </w:rPr>
            </w:pPr>
          </w:p>
        </w:tc>
        <w:tc>
          <w:tcPr>
            <w:tcW w:w="420" w:type="dxa"/>
            <w:vAlign w:val="bottom"/>
            <w:tcBorders>
              <w:bottom w:val="single" w:sz="8" w:color="2B4C9B"/>
              <w:right w:val="single" w:sz="8" w:color="2B4C9B"/>
            </w:tcBorders>
          </w:tcPr>
          <w:p>
            <w:pPr>
              <w:spacing w:after="0"/>
              <w:rPr>
                <w:sz w:val="12"/>
                <w:szCs w:val="12"/>
                <w:color w:val="auto"/>
              </w:rPr>
            </w:pPr>
          </w:p>
        </w:tc>
        <w:tc>
          <w:tcPr>
            <w:tcW w:w="160" w:type="dxa"/>
            <w:vAlign w:val="bottom"/>
            <w:tcBorders>
              <w:bottom w:val="single" w:sz="8" w:color="2B4C9B"/>
            </w:tcBorders>
          </w:tcPr>
          <w:p>
            <w:pPr>
              <w:spacing w:after="0"/>
              <w:rPr>
                <w:sz w:val="12"/>
                <w:szCs w:val="12"/>
                <w:color w:val="auto"/>
              </w:rPr>
            </w:pPr>
          </w:p>
        </w:tc>
        <w:tc>
          <w:tcPr>
            <w:tcW w:w="6740" w:type="dxa"/>
            <w:vAlign w:val="bottom"/>
            <w:tcBorders>
              <w:bottom w:val="single" w:sz="8" w:color="2B4C9B"/>
              <w:right w:val="single" w:sz="8" w:color="2B4C9B"/>
            </w:tcBorders>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40" w:type="dxa"/>
            <w:vAlign w:val="bottom"/>
            <w:tcBorders>
              <w:left w:val="single" w:sz="8" w:color="2B4C9B"/>
            </w:tcBorders>
          </w:tcPr>
          <w:p>
            <w:pPr>
              <w:spacing w:after="0"/>
              <w:rPr>
                <w:sz w:val="16"/>
                <w:szCs w:val="16"/>
                <w:color w:val="auto"/>
              </w:rPr>
            </w:pPr>
          </w:p>
        </w:tc>
        <w:tc>
          <w:tcPr>
            <w:tcW w:w="420" w:type="dxa"/>
            <w:vAlign w:val="bottom"/>
            <w:tcBorders>
              <w:right w:val="single" w:sz="8" w:color="2B4C9B"/>
            </w:tcBorders>
          </w:tcPr>
          <w:p>
            <w:pPr>
              <w:spacing w:after="0"/>
              <w:rPr>
                <w:sz w:val="16"/>
                <w:szCs w:val="16"/>
                <w:color w:val="auto"/>
              </w:rPr>
            </w:pPr>
          </w:p>
        </w:tc>
        <w:tc>
          <w:tcPr>
            <w:tcW w:w="160" w:type="dxa"/>
            <w:vAlign w:val="bottom"/>
          </w:tcPr>
          <w:p>
            <w:pPr>
              <w:spacing w:after="0"/>
              <w:rPr>
                <w:sz w:val="16"/>
                <w:szCs w:val="16"/>
                <w:color w:val="auto"/>
              </w:rPr>
            </w:pPr>
          </w:p>
        </w:tc>
        <w:tc>
          <w:tcPr>
            <w:tcW w:w="6740" w:type="dxa"/>
            <w:vAlign w:val="bottom"/>
            <w:tcBorders>
              <w:right w:val="single" w:sz="8" w:color="2B4C9B"/>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Details of the audit performed by Wood Mackenzie are disclosed in the ACS,</w:t>
            </w:r>
          </w:p>
        </w:tc>
        <w:tc>
          <w:tcPr>
            <w:tcW w:w="0" w:type="dxa"/>
            <w:vAlign w:val="bottom"/>
          </w:tcPr>
          <w:p>
            <w:pPr>
              <w:spacing w:after="0"/>
              <w:rPr>
                <w:sz w:val="1"/>
                <w:szCs w:val="1"/>
                <w:color w:val="auto"/>
              </w:rPr>
            </w:pPr>
          </w:p>
        </w:tc>
      </w:tr>
      <w:tr>
        <w:trPr>
          <w:trHeight w:val="203"/>
        </w:trPr>
        <w:tc>
          <w:tcPr>
            <w:tcW w:w="2460" w:type="dxa"/>
            <w:vAlign w:val="bottom"/>
            <w:tcBorders>
              <w:left w:val="single" w:sz="8" w:color="2B4C9B"/>
              <w:right w:val="single" w:sz="8" w:color="2B4C9B"/>
            </w:tcBorders>
            <w:gridSpan w:val="2"/>
            <w:vMerge w:val="restart"/>
          </w:tcPr>
          <w:p>
            <w:pPr>
              <w:ind w:left="180"/>
              <w:spacing w:after="0"/>
              <w:rPr>
                <w:sz w:val="20"/>
                <w:szCs w:val="20"/>
                <w:color w:val="auto"/>
              </w:rPr>
            </w:pPr>
            <w:r>
              <w:rPr>
                <w:rFonts w:ascii="Arial" w:cs="Arial" w:eastAsia="Arial" w:hAnsi="Arial"/>
                <w:sz w:val="18"/>
                <w:szCs w:val="18"/>
                <w:color w:val="auto"/>
              </w:rPr>
              <w:t>We should provide more</w:t>
            </w:r>
          </w:p>
        </w:tc>
        <w:tc>
          <w:tcPr>
            <w:tcW w:w="160" w:type="dxa"/>
            <w:vAlign w:val="bottom"/>
          </w:tcPr>
          <w:p>
            <w:pPr>
              <w:spacing w:after="0"/>
              <w:rPr>
                <w:sz w:val="17"/>
                <w:szCs w:val="17"/>
                <w:color w:val="auto"/>
              </w:rPr>
            </w:pPr>
          </w:p>
        </w:tc>
        <w:tc>
          <w:tcPr>
            <w:tcW w:w="6740" w:type="dxa"/>
            <w:vAlign w:val="bottom"/>
            <w:tcBorders>
              <w:right w:val="single" w:sz="8" w:color="2B4C9B"/>
            </w:tcBorders>
          </w:tcPr>
          <w:p>
            <w:pPr>
              <w:ind w:left="180"/>
              <w:spacing w:after="0" w:line="202" w:lineRule="exact"/>
              <w:rPr>
                <w:sz w:val="20"/>
                <w:szCs w:val="20"/>
                <w:color w:val="auto"/>
              </w:rPr>
            </w:pPr>
            <w:r>
              <w:rPr>
                <w:rFonts w:ascii="Arial" w:cs="Arial" w:eastAsia="Arial" w:hAnsi="Arial"/>
                <w:sz w:val="18"/>
                <w:szCs w:val="18"/>
                <w:color w:val="auto"/>
              </w:rPr>
              <w:t>including that the IEA NZE assumptions are accurately reflected in our modeling</w:t>
            </w:r>
          </w:p>
        </w:tc>
        <w:tc>
          <w:tcPr>
            <w:tcW w:w="0" w:type="dxa"/>
            <w:vAlign w:val="bottom"/>
          </w:tcPr>
          <w:p>
            <w:pPr>
              <w:spacing w:after="0"/>
              <w:rPr>
                <w:sz w:val="1"/>
                <w:szCs w:val="1"/>
                <w:color w:val="auto"/>
              </w:rPr>
            </w:pPr>
          </w:p>
        </w:tc>
      </w:tr>
      <w:tr>
        <w:trPr>
          <w:trHeight w:val="181"/>
        </w:trPr>
        <w:tc>
          <w:tcPr>
            <w:tcW w:w="2460" w:type="dxa"/>
            <w:vAlign w:val="bottom"/>
            <w:tcBorders>
              <w:left w:val="single" w:sz="8" w:color="2B4C9B"/>
              <w:right w:val="single" w:sz="8" w:color="2B4C9B"/>
            </w:tcBorders>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740" w:type="dxa"/>
            <w:vAlign w:val="bottom"/>
            <w:tcBorders>
              <w:right w:val="single" w:sz="8" w:color="2B4C9B"/>
            </w:tcBorders>
          </w:tcPr>
          <w:p>
            <w:pPr>
              <w:ind w:left="180"/>
              <w:spacing w:after="0" w:line="181" w:lineRule="exact"/>
              <w:rPr>
                <w:sz w:val="20"/>
                <w:szCs w:val="20"/>
                <w:color w:val="auto"/>
              </w:rPr>
            </w:pPr>
            <w:r>
              <w:rPr>
                <w:rFonts w:ascii="Arial" w:cs="Arial" w:eastAsia="Arial" w:hAnsi="Arial"/>
                <w:sz w:val="18"/>
                <w:szCs w:val="18"/>
                <w:color w:val="auto"/>
              </w:rPr>
              <w:t>and that the output of the model is a reasonable representation of the portfolio</w:t>
            </w:r>
          </w:p>
        </w:tc>
        <w:tc>
          <w:tcPr>
            <w:tcW w:w="0" w:type="dxa"/>
            <w:vAlign w:val="bottom"/>
          </w:tcPr>
          <w:p>
            <w:pPr>
              <w:spacing w:after="0"/>
              <w:rPr>
                <w:sz w:val="1"/>
                <w:szCs w:val="1"/>
                <w:color w:val="auto"/>
              </w:rPr>
            </w:pPr>
          </w:p>
        </w:tc>
      </w:tr>
      <w:tr>
        <w:trPr>
          <w:trHeight w:val="203"/>
        </w:trPr>
        <w:tc>
          <w:tcPr>
            <w:tcW w:w="2040" w:type="dxa"/>
            <w:vAlign w:val="bottom"/>
            <w:tcBorders>
              <w:left w:val="single" w:sz="8" w:color="2B4C9B"/>
            </w:tcBorders>
          </w:tcPr>
          <w:p>
            <w:pPr>
              <w:ind w:left="180"/>
              <w:spacing w:after="0" w:line="202" w:lineRule="exact"/>
              <w:rPr>
                <w:sz w:val="20"/>
                <w:szCs w:val="20"/>
                <w:color w:val="auto"/>
              </w:rPr>
            </w:pPr>
            <w:r>
              <w:rPr>
                <w:rFonts w:ascii="Arial" w:cs="Arial" w:eastAsia="Arial" w:hAnsi="Arial"/>
                <w:sz w:val="18"/>
                <w:szCs w:val="18"/>
                <w:color w:val="auto"/>
              </w:rPr>
              <w:t>detail about the</w:t>
            </w:r>
          </w:p>
        </w:tc>
        <w:tc>
          <w:tcPr>
            <w:tcW w:w="420" w:type="dxa"/>
            <w:vAlign w:val="bottom"/>
            <w:tcBorders>
              <w:right w:val="single" w:sz="8" w:color="2B4C9B"/>
            </w:tcBorders>
          </w:tcPr>
          <w:p>
            <w:pPr>
              <w:spacing w:after="0"/>
              <w:rPr>
                <w:sz w:val="17"/>
                <w:szCs w:val="17"/>
                <w:color w:val="auto"/>
              </w:rPr>
            </w:pPr>
          </w:p>
        </w:tc>
        <w:tc>
          <w:tcPr>
            <w:tcW w:w="160" w:type="dxa"/>
            <w:vAlign w:val="bottom"/>
          </w:tcPr>
          <w:p>
            <w:pPr>
              <w:spacing w:after="0"/>
              <w:rPr>
                <w:sz w:val="17"/>
                <w:szCs w:val="17"/>
                <w:color w:val="auto"/>
              </w:rPr>
            </w:pPr>
          </w:p>
        </w:tc>
        <w:tc>
          <w:tcPr>
            <w:tcW w:w="6740" w:type="dxa"/>
            <w:vAlign w:val="bottom"/>
            <w:tcBorders>
              <w:right w:val="single" w:sz="8" w:color="2B4C9B"/>
            </w:tcBorders>
          </w:tcPr>
          <w:p>
            <w:pPr>
              <w:ind w:left="180"/>
              <w:spacing w:after="0" w:line="202" w:lineRule="exact"/>
              <w:rPr>
                <w:sz w:val="20"/>
                <w:szCs w:val="20"/>
                <w:color w:val="auto"/>
              </w:rPr>
            </w:pPr>
            <w:r>
              <w:rPr>
                <w:rFonts w:ascii="Arial" w:cs="Arial" w:eastAsia="Arial" w:hAnsi="Arial"/>
                <w:sz w:val="18"/>
                <w:szCs w:val="18"/>
                <w:color w:val="auto"/>
              </w:rPr>
              <w:t>mix as defined by the model inputs.</w:t>
            </w:r>
          </w:p>
        </w:tc>
        <w:tc>
          <w:tcPr>
            <w:tcW w:w="0" w:type="dxa"/>
            <w:vAlign w:val="bottom"/>
          </w:tcPr>
          <w:p>
            <w:pPr>
              <w:spacing w:after="0"/>
              <w:rPr>
                <w:sz w:val="1"/>
                <w:szCs w:val="1"/>
                <w:color w:val="auto"/>
              </w:rPr>
            </w:pPr>
          </w:p>
        </w:tc>
      </w:tr>
      <w:tr>
        <w:trPr>
          <w:trHeight w:val="203"/>
        </w:trPr>
        <w:tc>
          <w:tcPr>
            <w:tcW w:w="2040" w:type="dxa"/>
            <w:vAlign w:val="bottom"/>
            <w:tcBorders>
              <w:left w:val="single" w:sz="8" w:color="2B4C9B"/>
            </w:tcBorders>
          </w:tcPr>
          <w:p>
            <w:pPr>
              <w:ind w:left="180"/>
              <w:spacing w:after="0" w:line="202" w:lineRule="exact"/>
              <w:rPr>
                <w:sz w:val="20"/>
                <w:szCs w:val="20"/>
                <w:color w:val="auto"/>
              </w:rPr>
            </w:pPr>
            <w:r>
              <w:rPr>
                <w:rFonts w:ascii="Arial" w:cs="Arial" w:eastAsia="Arial" w:hAnsi="Arial"/>
                <w:sz w:val="18"/>
                <w:szCs w:val="18"/>
                <w:color w:val="auto"/>
                <w:w w:val="99"/>
              </w:rPr>
              <w:t>independent third-party</w:t>
            </w:r>
          </w:p>
        </w:tc>
        <w:tc>
          <w:tcPr>
            <w:tcW w:w="420" w:type="dxa"/>
            <w:vAlign w:val="bottom"/>
            <w:tcBorders>
              <w:right w:val="single" w:sz="8" w:color="2B4C9B"/>
            </w:tcBorders>
          </w:tcPr>
          <w:p>
            <w:pPr>
              <w:spacing w:after="0"/>
              <w:rPr>
                <w:sz w:val="17"/>
                <w:szCs w:val="17"/>
                <w:color w:val="auto"/>
              </w:rPr>
            </w:pPr>
          </w:p>
        </w:tc>
        <w:tc>
          <w:tcPr>
            <w:tcW w:w="160" w:type="dxa"/>
            <w:vAlign w:val="bottom"/>
          </w:tcPr>
          <w:p>
            <w:pPr>
              <w:spacing w:after="0"/>
              <w:rPr>
                <w:sz w:val="17"/>
                <w:szCs w:val="17"/>
                <w:color w:val="auto"/>
              </w:rPr>
            </w:pPr>
          </w:p>
        </w:tc>
        <w:tc>
          <w:tcPr>
            <w:tcW w:w="6740" w:type="dxa"/>
            <w:vAlign w:val="bottom"/>
            <w:tcBorders>
              <w:right w:val="single" w:sz="8" w:color="2B4C9B"/>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The independent audit statement issued by Wood Mackenzie is now disclosed as</w:t>
            </w:r>
          </w:p>
        </w:tc>
        <w:tc>
          <w:tcPr>
            <w:tcW w:w="0" w:type="dxa"/>
            <w:vAlign w:val="bottom"/>
          </w:tcPr>
          <w:p>
            <w:pPr>
              <w:spacing w:after="0"/>
              <w:rPr>
                <w:sz w:val="1"/>
                <w:szCs w:val="1"/>
                <w:color w:val="auto"/>
              </w:rPr>
            </w:pPr>
          </w:p>
        </w:tc>
      </w:tr>
      <w:tr>
        <w:trPr>
          <w:trHeight w:val="216"/>
        </w:trPr>
        <w:tc>
          <w:tcPr>
            <w:tcW w:w="2040" w:type="dxa"/>
            <w:vAlign w:val="bottom"/>
            <w:tcBorders>
              <w:left w:val="single" w:sz="8" w:color="2B4C9B"/>
            </w:tcBorders>
          </w:tcPr>
          <w:p>
            <w:pPr>
              <w:ind w:left="180"/>
              <w:spacing w:after="0"/>
              <w:rPr>
                <w:sz w:val="20"/>
                <w:szCs w:val="20"/>
                <w:color w:val="auto"/>
              </w:rPr>
            </w:pPr>
            <w:r>
              <w:rPr>
                <w:rFonts w:ascii="Arial" w:cs="Arial" w:eastAsia="Arial" w:hAnsi="Arial"/>
                <w:sz w:val="18"/>
                <w:szCs w:val="18"/>
                <w:color w:val="auto"/>
              </w:rPr>
              <w:t>audit of our IEA NZE</w:t>
            </w:r>
          </w:p>
        </w:tc>
        <w:tc>
          <w:tcPr>
            <w:tcW w:w="420" w:type="dxa"/>
            <w:vAlign w:val="bottom"/>
            <w:tcBorders>
              <w:right w:val="single" w:sz="8" w:color="2B4C9B"/>
            </w:tcBorders>
          </w:tcPr>
          <w:p>
            <w:pPr>
              <w:spacing w:after="0"/>
              <w:rPr>
                <w:sz w:val="18"/>
                <w:szCs w:val="18"/>
                <w:color w:val="auto"/>
              </w:rPr>
            </w:pPr>
          </w:p>
        </w:tc>
        <w:tc>
          <w:tcPr>
            <w:tcW w:w="160" w:type="dxa"/>
            <w:vAlign w:val="bottom"/>
          </w:tcPr>
          <w:p>
            <w:pPr>
              <w:spacing w:after="0"/>
              <w:rPr>
                <w:sz w:val="18"/>
                <w:szCs w:val="18"/>
                <w:color w:val="auto"/>
              </w:rPr>
            </w:pPr>
          </w:p>
        </w:tc>
        <w:tc>
          <w:tcPr>
            <w:tcW w:w="6740" w:type="dxa"/>
            <w:vAlign w:val="bottom"/>
            <w:tcBorders>
              <w:right w:val="single" w:sz="8" w:color="2B4C9B"/>
            </w:tcBorders>
          </w:tcPr>
          <w:p>
            <w:pPr>
              <w:ind w:left="180"/>
              <w:spacing w:after="0"/>
              <w:rPr>
                <w:sz w:val="20"/>
                <w:szCs w:val="20"/>
                <w:color w:val="auto"/>
              </w:rPr>
            </w:pPr>
            <w:r>
              <w:rPr>
                <w:rFonts w:ascii="Arial" w:cs="Arial" w:eastAsia="Arial" w:hAnsi="Arial"/>
                <w:sz w:val="18"/>
                <w:szCs w:val="18"/>
                <w:color w:val="auto"/>
              </w:rPr>
              <w:t>part of our ACS publication.</w:t>
            </w:r>
          </w:p>
        </w:tc>
        <w:tc>
          <w:tcPr>
            <w:tcW w:w="0" w:type="dxa"/>
            <w:vAlign w:val="bottom"/>
          </w:tcPr>
          <w:p>
            <w:pPr>
              <w:spacing w:after="0"/>
              <w:rPr>
                <w:sz w:val="1"/>
                <w:szCs w:val="1"/>
                <w:color w:val="auto"/>
              </w:rPr>
            </w:pPr>
          </w:p>
        </w:tc>
      </w:tr>
      <w:tr>
        <w:trPr>
          <w:trHeight w:val="238"/>
        </w:trPr>
        <w:tc>
          <w:tcPr>
            <w:tcW w:w="2040" w:type="dxa"/>
            <w:vAlign w:val="bottom"/>
            <w:tcBorders>
              <w:left w:val="single" w:sz="8" w:color="2B4C9B"/>
            </w:tcBorders>
          </w:tcPr>
          <w:p>
            <w:pPr>
              <w:ind w:left="180"/>
              <w:spacing w:after="0"/>
              <w:rPr>
                <w:sz w:val="20"/>
                <w:szCs w:val="20"/>
                <w:color w:val="auto"/>
              </w:rPr>
            </w:pPr>
            <w:r>
              <w:rPr>
                <w:rFonts w:ascii="Arial" w:cs="Arial" w:eastAsia="Arial" w:hAnsi="Arial"/>
                <w:sz w:val="18"/>
                <w:szCs w:val="18"/>
                <w:color w:val="auto"/>
              </w:rPr>
              <w:t>modeling in the ACS.</w:t>
            </w:r>
          </w:p>
        </w:tc>
        <w:tc>
          <w:tcPr>
            <w:tcW w:w="420" w:type="dxa"/>
            <w:vAlign w:val="bottom"/>
            <w:tcBorders>
              <w:right w:val="single" w:sz="8" w:color="2B4C9B"/>
            </w:tcBorders>
          </w:tcPr>
          <w:p>
            <w:pPr>
              <w:spacing w:after="0"/>
              <w:rPr>
                <w:sz w:val="20"/>
                <w:szCs w:val="20"/>
                <w:color w:val="auto"/>
              </w:rPr>
            </w:pPr>
          </w:p>
        </w:tc>
        <w:tc>
          <w:tcPr>
            <w:tcW w:w="160" w:type="dxa"/>
            <w:vAlign w:val="bottom"/>
          </w:tcPr>
          <w:p>
            <w:pPr>
              <w:spacing w:after="0"/>
              <w:rPr>
                <w:sz w:val="20"/>
                <w:szCs w:val="20"/>
                <w:color w:val="auto"/>
              </w:rPr>
            </w:pPr>
          </w:p>
        </w:tc>
        <w:tc>
          <w:tcPr>
            <w:tcW w:w="6740" w:type="dxa"/>
            <w:vAlign w:val="bottom"/>
            <w:tcBorders>
              <w:right w:val="single" w:sz="8" w:color="2B4C9B"/>
            </w:tcBorders>
          </w:tcPr>
          <w:p>
            <w:pP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See ACS Page 33 for a link to the quality assurance audit statement from Wood</w:t>
            </w:r>
          </w:p>
        </w:tc>
        <w:tc>
          <w:tcPr>
            <w:tcW w:w="0" w:type="dxa"/>
            <w:vAlign w:val="bottom"/>
          </w:tcPr>
          <w:p>
            <w:pPr>
              <w:spacing w:after="0"/>
              <w:rPr>
                <w:sz w:val="1"/>
                <w:szCs w:val="1"/>
                <w:color w:val="auto"/>
              </w:rPr>
            </w:pPr>
          </w:p>
        </w:tc>
      </w:tr>
      <w:tr>
        <w:trPr>
          <w:trHeight w:val="239"/>
        </w:trPr>
        <w:tc>
          <w:tcPr>
            <w:tcW w:w="2040" w:type="dxa"/>
            <w:vAlign w:val="bottom"/>
            <w:tcBorders>
              <w:left w:val="single" w:sz="8" w:color="2B4C9B"/>
            </w:tcBorders>
          </w:tcPr>
          <w:p>
            <w:pPr>
              <w:spacing w:after="0"/>
              <w:rPr>
                <w:sz w:val="20"/>
                <w:szCs w:val="20"/>
                <w:color w:val="auto"/>
              </w:rPr>
            </w:pPr>
          </w:p>
        </w:tc>
        <w:tc>
          <w:tcPr>
            <w:tcW w:w="420" w:type="dxa"/>
            <w:vAlign w:val="bottom"/>
            <w:tcBorders>
              <w:right w:val="single" w:sz="8" w:color="2B4C9B"/>
            </w:tcBorders>
          </w:tcPr>
          <w:p>
            <w:pPr>
              <w:spacing w:after="0"/>
              <w:rPr>
                <w:sz w:val="20"/>
                <w:szCs w:val="20"/>
                <w:color w:val="auto"/>
              </w:rPr>
            </w:pPr>
          </w:p>
        </w:tc>
        <w:tc>
          <w:tcPr>
            <w:tcW w:w="160" w:type="dxa"/>
            <w:vAlign w:val="bottom"/>
          </w:tcPr>
          <w:p>
            <w:pPr>
              <w:spacing w:after="0"/>
              <w:rPr>
                <w:sz w:val="20"/>
                <w:szCs w:val="20"/>
                <w:color w:val="auto"/>
              </w:rPr>
            </w:pPr>
          </w:p>
        </w:tc>
        <w:tc>
          <w:tcPr>
            <w:tcW w:w="6740" w:type="dxa"/>
            <w:vAlign w:val="bottom"/>
            <w:tcBorders>
              <w:right w:val="single" w:sz="8" w:color="2B4C9B"/>
            </w:tcBorders>
          </w:tcPr>
          <w:p>
            <w:pPr>
              <w:ind w:left="180"/>
              <w:spacing w:after="0"/>
              <w:rPr>
                <w:sz w:val="20"/>
                <w:szCs w:val="20"/>
                <w:color w:val="auto"/>
              </w:rPr>
            </w:pPr>
            <w:r>
              <w:rPr>
                <w:rFonts w:ascii="Arial" w:cs="Arial" w:eastAsia="Arial" w:hAnsi="Arial"/>
                <w:sz w:val="18"/>
                <w:szCs w:val="18"/>
                <w:color w:val="auto"/>
              </w:rPr>
              <w:t>Mackenzie.</w:t>
            </w:r>
          </w:p>
        </w:tc>
        <w:tc>
          <w:tcPr>
            <w:tcW w:w="0" w:type="dxa"/>
            <w:vAlign w:val="bottom"/>
          </w:tcPr>
          <w:p>
            <w:pPr>
              <w:spacing w:after="0"/>
              <w:rPr>
                <w:sz w:val="1"/>
                <w:szCs w:val="1"/>
                <w:color w:val="auto"/>
              </w:rPr>
            </w:pPr>
          </w:p>
        </w:tc>
      </w:tr>
      <w:tr>
        <w:trPr>
          <w:trHeight w:val="131"/>
        </w:trPr>
        <w:tc>
          <w:tcPr>
            <w:tcW w:w="2040" w:type="dxa"/>
            <w:vAlign w:val="bottom"/>
            <w:tcBorders>
              <w:left w:val="single" w:sz="8" w:color="2B4C9B"/>
              <w:bottom w:val="single" w:sz="8" w:color="2B4C9B"/>
            </w:tcBorders>
          </w:tcPr>
          <w:p>
            <w:pPr>
              <w:spacing w:after="0"/>
              <w:rPr>
                <w:sz w:val="11"/>
                <w:szCs w:val="11"/>
                <w:color w:val="auto"/>
              </w:rPr>
            </w:pPr>
          </w:p>
        </w:tc>
        <w:tc>
          <w:tcPr>
            <w:tcW w:w="420" w:type="dxa"/>
            <w:vAlign w:val="bottom"/>
            <w:tcBorders>
              <w:bottom w:val="single" w:sz="8" w:color="2B4C9B"/>
              <w:right w:val="single" w:sz="8" w:color="2B4C9B"/>
            </w:tcBorders>
          </w:tcPr>
          <w:p>
            <w:pPr>
              <w:spacing w:after="0"/>
              <w:rPr>
                <w:sz w:val="11"/>
                <w:szCs w:val="11"/>
                <w:color w:val="auto"/>
              </w:rPr>
            </w:pPr>
          </w:p>
        </w:tc>
        <w:tc>
          <w:tcPr>
            <w:tcW w:w="160" w:type="dxa"/>
            <w:vAlign w:val="bottom"/>
            <w:tcBorders>
              <w:bottom w:val="single" w:sz="8" w:color="2B4C9B"/>
            </w:tcBorders>
          </w:tcPr>
          <w:p>
            <w:pPr>
              <w:spacing w:after="0"/>
              <w:rPr>
                <w:sz w:val="11"/>
                <w:szCs w:val="11"/>
                <w:color w:val="auto"/>
              </w:rPr>
            </w:pPr>
          </w:p>
        </w:tc>
        <w:tc>
          <w:tcPr>
            <w:tcW w:w="6740" w:type="dxa"/>
            <w:vAlign w:val="bottom"/>
            <w:tcBorders>
              <w:bottom w:val="single" w:sz="8" w:color="2B4C9B"/>
              <w:right w:val="single" w:sz="8" w:color="2B4C9B"/>
            </w:tcBorders>
          </w:tcPr>
          <w:p>
            <w:pPr>
              <w:spacing w:after="0"/>
              <w:rPr>
                <w:sz w:val="11"/>
                <w:szCs w:val="11"/>
                <w:color w:val="auto"/>
              </w:rPr>
            </w:pPr>
          </w:p>
        </w:tc>
        <w:tc>
          <w:tcPr>
            <w:tcW w:w="0" w:type="dxa"/>
            <w:vAlign w:val="bottom"/>
          </w:tcPr>
          <w:p>
            <w:pPr>
              <w:spacing w:after="0"/>
              <w:rPr>
                <w:sz w:val="1"/>
                <w:szCs w:val="1"/>
                <w:color w:val="auto"/>
              </w:rPr>
            </w:pPr>
          </w:p>
        </w:tc>
      </w:tr>
      <w:tr>
        <w:trPr>
          <w:trHeight w:val="362"/>
        </w:trPr>
        <w:tc>
          <w:tcPr>
            <w:tcW w:w="2040" w:type="dxa"/>
            <w:vAlign w:val="bottom"/>
          </w:tcPr>
          <w:p>
            <w:pPr>
              <w:ind w:left="20"/>
              <w:spacing w:after="0"/>
              <w:rPr>
                <w:sz w:val="20"/>
                <w:szCs w:val="20"/>
                <w:color w:val="auto"/>
              </w:rPr>
            </w:pPr>
            <w:r>
              <w:rPr>
                <w:rFonts w:ascii="Arial" w:cs="Arial" w:eastAsia="Arial" w:hAnsi="Arial"/>
                <w:sz w:val="18"/>
                <w:szCs w:val="18"/>
                <w:color w:val="auto"/>
              </w:rPr>
              <w:t>30</w:t>
            </w:r>
          </w:p>
        </w:tc>
        <w:tc>
          <w:tcPr>
            <w:tcW w:w="732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-139065</wp:posOffset>
            </wp:positionV>
            <wp:extent cx="737235" cy="1454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tbl>
      <w:tblPr>
        <w:tblLayout w:type="fixed"/>
        <w:tblInd w:w="770" w:type="dxa"/>
        <w:tblCellMar>
          <w:top w:w="0" w:type="dxa"/>
          <w:left w:w="0" w:type="dxa"/>
          <w:bottom w:w="0" w:type="dxa"/>
          <w:right w:w="0" w:type="dxa"/>
        </w:tblCellMar>
      </w:tblPr>
      <w:tr>
        <w:trPr>
          <w:trHeight w:val="202"/>
        </w:trPr>
        <w:tc>
          <w:tcPr>
            <w:tcW w:w="2460" w:type="dxa"/>
            <w:vAlign w:val="bottom"/>
            <w:tcBorders>
              <w:left w:val="single" w:sz="8" w:color="2B4C9B"/>
              <w:right w:val="single" w:sz="8" w:color="2B4C9B"/>
            </w:tcBorders>
            <w:shd w:val="clear" w:color="auto" w:fill="2B4C9B"/>
          </w:tcPr>
          <w:p>
            <w:pPr>
              <w:ind w:left="160"/>
              <w:spacing w:after="0"/>
              <w:rPr>
                <w:sz w:val="20"/>
                <w:szCs w:val="20"/>
                <w:color w:val="auto"/>
              </w:rPr>
            </w:pPr>
            <w:r>
              <w:rPr>
                <w:rFonts w:ascii="Arial" w:cs="Arial" w:eastAsia="Arial" w:hAnsi="Arial"/>
                <w:sz w:val="16"/>
                <w:szCs w:val="16"/>
                <w:b w:val="1"/>
                <w:bCs w:val="1"/>
                <w:color w:val="FFFFFF"/>
              </w:rPr>
              <w:t>Key items heard from</w:t>
            </w:r>
          </w:p>
        </w:tc>
        <w:tc>
          <w:tcPr>
            <w:tcW w:w="160" w:type="dxa"/>
            <w:vAlign w:val="bottom"/>
            <w:shd w:val="clear" w:color="auto" w:fill="2B4C9B"/>
          </w:tcPr>
          <w:p>
            <w:pPr>
              <w:spacing w:after="0"/>
              <w:rPr>
                <w:sz w:val="17"/>
                <w:szCs w:val="17"/>
                <w:color w:val="auto"/>
              </w:rPr>
            </w:pPr>
          </w:p>
        </w:tc>
        <w:tc>
          <w:tcPr>
            <w:tcW w:w="6740" w:type="dxa"/>
            <w:vAlign w:val="bottom"/>
            <w:tcBorders>
              <w:right w:val="single" w:sz="8" w:color="2B4C9B"/>
            </w:tcBorders>
            <w:shd w:val="clear" w:color="auto" w:fill="2B4C9B"/>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460" w:type="dxa"/>
            <w:vAlign w:val="bottom"/>
            <w:tcBorders>
              <w:left w:val="single" w:sz="8" w:color="2B4C9B"/>
              <w:right w:val="single" w:sz="8" w:color="2B4C9B"/>
            </w:tcBorders>
            <w:shd w:val="clear" w:color="auto" w:fill="2B4C9B"/>
          </w:tcPr>
          <w:p>
            <w:pPr>
              <w:ind w:left="160"/>
              <w:spacing w:after="0"/>
              <w:rPr>
                <w:sz w:val="20"/>
                <w:szCs w:val="20"/>
                <w:color w:val="auto"/>
              </w:rPr>
            </w:pPr>
            <w:r>
              <w:rPr>
                <w:rFonts w:ascii="Arial" w:cs="Arial" w:eastAsia="Arial" w:hAnsi="Arial"/>
                <w:sz w:val="16"/>
                <w:szCs w:val="16"/>
                <w:b w:val="1"/>
                <w:bCs w:val="1"/>
                <w:color w:val="FFFFFF"/>
              </w:rPr>
              <w:t>shareholders</w:t>
            </w:r>
          </w:p>
        </w:tc>
        <w:tc>
          <w:tcPr>
            <w:tcW w:w="160" w:type="dxa"/>
            <w:vAlign w:val="bottom"/>
            <w:shd w:val="clear" w:color="auto" w:fill="2B4C9B"/>
          </w:tcPr>
          <w:p>
            <w:pPr>
              <w:spacing w:after="0"/>
              <w:rPr>
                <w:sz w:val="18"/>
                <w:szCs w:val="18"/>
                <w:color w:val="auto"/>
              </w:rPr>
            </w:pPr>
          </w:p>
        </w:tc>
        <w:tc>
          <w:tcPr>
            <w:tcW w:w="6740" w:type="dxa"/>
            <w:vAlign w:val="bottom"/>
            <w:tcBorders>
              <w:right w:val="single" w:sz="8" w:color="2B4C9B"/>
            </w:tcBorders>
            <w:shd w:val="clear" w:color="auto" w:fill="2B4C9B"/>
          </w:tcPr>
          <w:p>
            <w:pPr>
              <w:spacing w:after="0"/>
              <w:rPr>
                <w:sz w:val="20"/>
                <w:szCs w:val="20"/>
                <w:color w:val="auto"/>
              </w:rPr>
            </w:pPr>
            <w:r>
              <w:rPr>
                <w:rFonts w:ascii="Arial" w:cs="Arial" w:eastAsia="Arial" w:hAnsi="Arial"/>
                <w:sz w:val="16"/>
                <w:szCs w:val="16"/>
                <w:b w:val="1"/>
                <w:bCs w:val="1"/>
                <w:color w:val="FFFFFF"/>
              </w:rPr>
              <w:t>How we responded in our 2023 ACS disclosure</w:t>
            </w:r>
          </w:p>
        </w:tc>
        <w:tc>
          <w:tcPr>
            <w:tcW w:w="0" w:type="dxa"/>
            <w:vAlign w:val="bottom"/>
          </w:tcPr>
          <w:p>
            <w:pPr>
              <w:spacing w:after="0"/>
              <w:rPr>
                <w:sz w:val="1"/>
                <w:szCs w:val="1"/>
                <w:color w:val="auto"/>
              </w:rPr>
            </w:pPr>
          </w:p>
        </w:tc>
      </w:tr>
      <w:tr>
        <w:trPr>
          <w:trHeight w:val="197"/>
        </w:trPr>
        <w:tc>
          <w:tcPr>
            <w:tcW w:w="2460" w:type="dxa"/>
            <w:vAlign w:val="bottom"/>
            <w:tcBorders>
              <w:left w:val="single" w:sz="8" w:color="2B4C9B"/>
              <w:right w:val="single" w:sz="8" w:color="2B4C9B"/>
            </w:tcBorders>
          </w:tcPr>
          <w:p>
            <w:pPr>
              <w:spacing w:after="0"/>
              <w:rPr>
                <w:sz w:val="17"/>
                <w:szCs w:val="17"/>
                <w:color w:val="auto"/>
              </w:rPr>
            </w:pPr>
          </w:p>
        </w:tc>
        <w:tc>
          <w:tcPr>
            <w:tcW w:w="160" w:type="dxa"/>
            <w:vAlign w:val="bottom"/>
          </w:tcPr>
          <w:p>
            <w:pPr>
              <w:spacing w:after="0"/>
              <w:rPr>
                <w:sz w:val="17"/>
                <w:szCs w:val="17"/>
                <w:color w:val="auto"/>
              </w:rPr>
            </w:pPr>
          </w:p>
        </w:tc>
        <w:tc>
          <w:tcPr>
            <w:tcW w:w="6740" w:type="dxa"/>
            <w:vAlign w:val="bottom"/>
            <w:tcBorders>
              <w:right w:val="single" w:sz="8" w:color="2B4C9B"/>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We now disclose, for both advanced and emerging economies, our assumed</w:t>
            </w:r>
          </w:p>
        </w:tc>
        <w:tc>
          <w:tcPr>
            <w:tcW w:w="0" w:type="dxa"/>
            <w:vAlign w:val="bottom"/>
          </w:tcPr>
          <w:p>
            <w:pPr>
              <w:spacing w:after="0"/>
              <w:rPr>
                <w:sz w:val="1"/>
                <w:szCs w:val="1"/>
                <w:color w:val="auto"/>
              </w:rPr>
            </w:pPr>
          </w:p>
        </w:tc>
      </w:tr>
      <w:tr>
        <w:trPr>
          <w:trHeight w:val="203"/>
        </w:trPr>
        <w:tc>
          <w:tcPr>
            <w:tcW w:w="2460" w:type="dxa"/>
            <w:vAlign w:val="bottom"/>
            <w:tcBorders>
              <w:left w:val="single" w:sz="8" w:color="2B4C9B"/>
              <w:right w:val="single" w:sz="8" w:color="2B4C9B"/>
            </w:tcBorders>
          </w:tcPr>
          <w:p>
            <w:pPr>
              <w:spacing w:after="0"/>
              <w:rPr>
                <w:sz w:val="17"/>
                <w:szCs w:val="17"/>
                <w:color w:val="auto"/>
              </w:rPr>
            </w:pPr>
          </w:p>
        </w:tc>
        <w:tc>
          <w:tcPr>
            <w:tcW w:w="160" w:type="dxa"/>
            <w:vAlign w:val="bottom"/>
          </w:tcPr>
          <w:p>
            <w:pPr>
              <w:spacing w:after="0"/>
              <w:rPr>
                <w:sz w:val="17"/>
                <w:szCs w:val="17"/>
                <w:color w:val="auto"/>
              </w:rPr>
            </w:pPr>
          </w:p>
        </w:tc>
        <w:tc>
          <w:tcPr>
            <w:tcW w:w="6740" w:type="dxa"/>
            <w:vAlign w:val="bottom"/>
            <w:tcBorders>
              <w:right w:val="single" w:sz="8" w:color="2B4C9B"/>
            </w:tcBorders>
          </w:tcPr>
          <w:p>
            <w:pPr>
              <w:ind w:left="180"/>
              <w:spacing w:after="0" w:line="202" w:lineRule="exact"/>
              <w:rPr>
                <w:sz w:val="20"/>
                <w:szCs w:val="20"/>
                <w:color w:val="auto"/>
              </w:rPr>
            </w:pPr>
            <w:r>
              <w:rPr>
                <w:rFonts w:ascii="Arial" w:cs="Arial" w:eastAsia="Arial" w:hAnsi="Arial"/>
                <w:sz w:val="18"/>
                <w:szCs w:val="18"/>
                <w:color w:val="auto"/>
              </w:rPr>
              <w:t>greenhouse gas emissions pricing used where we operate and invest through</w:t>
            </w:r>
          </w:p>
        </w:tc>
        <w:tc>
          <w:tcPr>
            <w:tcW w:w="0" w:type="dxa"/>
            <w:vAlign w:val="bottom"/>
          </w:tcPr>
          <w:p>
            <w:pPr>
              <w:spacing w:after="0"/>
              <w:rPr>
                <w:sz w:val="1"/>
                <w:szCs w:val="1"/>
                <w:color w:val="auto"/>
              </w:rPr>
            </w:pPr>
          </w:p>
        </w:tc>
      </w:tr>
      <w:tr>
        <w:trPr>
          <w:trHeight w:val="203"/>
        </w:trPr>
        <w:tc>
          <w:tcPr>
            <w:tcW w:w="2460" w:type="dxa"/>
            <w:vAlign w:val="bottom"/>
            <w:tcBorders>
              <w:left w:val="single" w:sz="8" w:color="2B4C9B"/>
              <w:right w:val="single" w:sz="8" w:color="2B4C9B"/>
            </w:tcBorders>
          </w:tcPr>
          <w:p>
            <w:pPr>
              <w:spacing w:after="0"/>
              <w:rPr>
                <w:sz w:val="17"/>
                <w:szCs w:val="17"/>
                <w:color w:val="auto"/>
              </w:rPr>
            </w:pPr>
          </w:p>
        </w:tc>
        <w:tc>
          <w:tcPr>
            <w:tcW w:w="160" w:type="dxa"/>
            <w:vAlign w:val="bottom"/>
          </w:tcPr>
          <w:p>
            <w:pPr>
              <w:spacing w:after="0"/>
              <w:rPr>
                <w:sz w:val="17"/>
                <w:szCs w:val="17"/>
                <w:color w:val="auto"/>
              </w:rPr>
            </w:pPr>
          </w:p>
        </w:tc>
        <w:tc>
          <w:tcPr>
            <w:tcW w:w="6740" w:type="dxa"/>
            <w:vAlign w:val="bottom"/>
            <w:tcBorders>
              <w:right w:val="single" w:sz="8" w:color="2B4C9B"/>
            </w:tcBorders>
          </w:tcPr>
          <w:p>
            <w:pPr>
              <w:ind w:left="180"/>
              <w:spacing w:after="0" w:line="202" w:lineRule="exact"/>
              <w:rPr>
                <w:sz w:val="20"/>
                <w:szCs w:val="20"/>
                <w:color w:val="auto"/>
              </w:rPr>
            </w:pPr>
            <w:r>
              <w:rPr>
                <w:rFonts w:ascii="Arial" w:cs="Arial" w:eastAsia="Arial" w:hAnsi="Arial"/>
                <w:sz w:val="18"/>
                <w:szCs w:val="18"/>
                <w:color w:val="auto"/>
              </w:rPr>
              <w:t>2050. This is done in context with similar carbon pricing from World Bank and</w:t>
            </w:r>
          </w:p>
        </w:tc>
        <w:tc>
          <w:tcPr>
            <w:tcW w:w="0" w:type="dxa"/>
            <w:vAlign w:val="bottom"/>
          </w:tcPr>
          <w:p>
            <w:pPr>
              <w:spacing w:after="0"/>
              <w:rPr>
                <w:sz w:val="1"/>
                <w:szCs w:val="1"/>
                <w:color w:val="auto"/>
              </w:rPr>
            </w:pPr>
          </w:p>
        </w:tc>
      </w:tr>
      <w:tr>
        <w:trPr>
          <w:trHeight w:val="203"/>
        </w:trPr>
        <w:tc>
          <w:tcPr>
            <w:tcW w:w="2460" w:type="dxa"/>
            <w:vAlign w:val="bottom"/>
            <w:tcBorders>
              <w:left w:val="single" w:sz="8" w:color="2B4C9B"/>
              <w:right w:val="single" w:sz="8" w:color="2B4C9B"/>
            </w:tcBorders>
            <w:vMerge w:val="restart"/>
          </w:tcPr>
          <w:p>
            <w:pPr>
              <w:ind w:left="180"/>
              <w:spacing w:after="0"/>
              <w:rPr>
                <w:sz w:val="20"/>
                <w:szCs w:val="20"/>
                <w:color w:val="auto"/>
              </w:rPr>
            </w:pPr>
            <w:r>
              <w:rPr>
                <w:rFonts w:ascii="Arial" w:cs="Arial" w:eastAsia="Arial" w:hAnsi="Arial"/>
                <w:sz w:val="18"/>
                <w:szCs w:val="18"/>
                <w:color w:val="auto"/>
              </w:rPr>
              <w:t>We should provide long-</w:t>
            </w:r>
          </w:p>
        </w:tc>
        <w:tc>
          <w:tcPr>
            <w:tcW w:w="160" w:type="dxa"/>
            <w:vAlign w:val="bottom"/>
          </w:tcPr>
          <w:p>
            <w:pPr>
              <w:spacing w:after="0"/>
              <w:rPr>
                <w:sz w:val="17"/>
                <w:szCs w:val="17"/>
                <w:color w:val="auto"/>
              </w:rPr>
            </w:pPr>
          </w:p>
        </w:tc>
        <w:tc>
          <w:tcPr>
            <w:tcW w:w="6740" w:type="dxa"/>
            <w:vAlign w:val="bottom"/>
            <w:tcBorders>
              <w:right w:val="single" w:sz="8" w:color="2B4C9B"/>
            </w:tcBorders>
          </w:tcPr>
          <w:p>
            <w:pPr>
              <w:ind w:left="180"/>
              <w:spacing w:after="0" w:line="202" w:lineRule="exact"/>
              <w:rPr>
                <w:sz w:val="20"/>
                <w:szCs w:val="20"/>
                <w:color w:val="auto"/>
              </w:rPr>
            </w:pPr>
            <w:r>
              <w:rPr>
                <w:rFonts w:ascii="Arial" w:cs="Arial" w:eastAsia="Arial" w:hAnsi="Arial"/>
                <w:sz w:val="18"/>
                <w:szCs w:val="18"/>
                <w:color w:val="auto"/>
              </w:rPr>
              <w:t>IEA WEO STEPS.</w:t>
            </w:r>
          </w:p>
        </w:tc>
        <w:tc>
          <w:tcPr>
            <w:tcW w:w="0" w:type="dxa"/>
            <w:vAlign w:val="bottom"/>
          </w:tcPr>
          <w:p>
            <w:pPr>
              <w:spacing w:after="0"/>
              <w:rPr>
                <w:sz w:val="1"/>
                <w:szCs w:val="1"/>
                <w:color w:val="auto"/>
              </w:rPr>
            </w:pPr>
          </w:p>
        </w:tc>
      </w:tr>
      <w:tr>
        <w:trPr>
          <w:trHeight w:val="81"/>
        </w:trPr>
        <w:tc>
          <w:tcPr>
            <w:tcW w:w="2460" w:type="dxa"/>
            <w:vAlign w:val="bottom"/>
            <w:tcBorders>
              <w:left w:val="single" w:sz="8" w:color="2B4C9B"/>
              <w:right w:val="single" w:sz="8" w:color="2B4C9B"/>
            </w:tcBorders>
            <w:vMerge w:val="continue"/>
          </w:tcPr>
          <w:p>
            <w:pPr>
              <w:spacing w:after="0"/>
              <w:rPr>
                <w:sz w:val="7"/>
                <w:szCs w:val="7"/>
                <w:color w:val="auto"/>
              </w:rPr>
            </w:pPr>
          </w:p>
        </w:tc>
        <w:tc>
          <w:tcPr>
            <w:tcW w:w="160" w:type="dxa"/>
            <w:vAlign w:val="bottom"/>
          </w:tcPr>
          <w:p>
            <w:pPr>
              <w:spacing w:after="0"/>
              <w:rPr>
                <w:sz w:val="7"/>
                <w:szCs w:val="7"/>
                <w:color w:val="auto"/>
              </w:rPr>
            </w:pPr>
          </w:p>
        </w:tc>
        <w:tc>
          <w:tcPr>
            <w:tcW w:w="6740" w:type="dxa"/>
            <w:vAlign w:val="bottom"/>
            <w:tcBorders>
              <w:right w:val="single" w:sz="8" w:color="2B4C9B"/>
            </w:tcBorders>
            <w:vMerge w:val="restart"/>
          </w:tcPr>
          <w:p>
            <w:pP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We now disclose the carbon pricing assumptions included in the published IEA</w:t>
            </w:r>
          </w:p>
        </w:tc>
        <w:tc>
          <w:tcPr>
            <w:tcW w:w="0" w:type="dxa"/>
            <w:vAlign w:val="bottom"/>
          </w:tcPr>
          <w:p>
            <w:pPr>
              <w:spacing w:after="0"/>
              <w:rPr>
                <w:sz w:val="1"/>
                <w:szCs w:val="1"/>
                <w:color w:val="auto"/>
              </w:rPr>
            </w:pPr>
          </w:p>
        </w:tc>
      </w:tr>
      <w:tr>
        <w:trPr>
          <w:trHeight w:val="135"/>
        </w:trPr>
        <w:tc>
          <w:tcPr>
            <w:tcW w:w="2460" w:type="dxa"/>
            <w:vAlign w:val="bottom"/>
            <w:tcBorders>
              <w:left w:val="single" w:sz="8" w:color="2B4C9B"/>
              <w:right w:val="single" w:sz="8" w:color="2B4C9B"/>
            </w:tcBorders>
            <w:vMerge w:val="restart"/>
          </w:tcPr>
          <w:p>
            <w:pPr>
              <w:ind w:left="180"/>
              <w:spacing w:after="0" w:line="202" w:lineRule="exact"/>
              <w:rPr>
                <w:sz w:val="20"/>
                <w:szCs w:val="20"/>
                <w:color w:val="auto"/>
              </w:rPr>
            </w:pPr>
            <w:r>
              <w:rPr>
                <w:rFonts w:ascii="Arial" w:cs="Arial" w:eastAsia="Arial" w:hAnsi="Arial"/>
                <w:sz w:val="18"/>
                <w:szCs w:val="18"/>
                <w:color w:val="auto"/>
              </w:rPr>
              <w:t>term carbon pricing and</w:t>
            </w:r>
          </w:p>
        </w:tc>
        <w:tc>
          <w:tcPr>
            <w:tcW w:w="160" w:type="dxa"/>
            <w:vAlign w:val="bottom"/>
          </w:tcPr>
          <w:p>
            <w:pPr>
              <w:spacing w:after="0"/>
              <w:rPr>
                <w:sz w:val="11"/>
                <w:szCs w:val="11"/>
                <w:color w:val="auto"/>
              </w:rPr>
            </w:pPr>
          </w:p>
        </w:tc>
        <w:tc>
          <w:tcPr>
            <w:tcW w:w="6740" w:type="dxa"/>
            <w:vAlign w:val="bottom"/>
            <w:tcBorders>
              <w:right w:val="single" w:sz="8" w:color="2B4C9B"/>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460" w:type="dxa"/>
            <w:vAlign w:val="bottom"/>
            <w:tcBorders>
              <w:left w:val="single" w:sz="8" w:color="2B4C9B"/>
              <w:right w:val="single" w:sz="8" w:color="2B4C9B"/>
            </w:tcBorders>
            <w:vMerge w:val="continue"/>
          </w:tcPr>
          <w:p>
            <w:pPr>
              <w:spacing w:after="0"/>
              <w:rPr>
                <w:sz w:val="5"/>
                <w:szCs w:val="5"/>
                <w:color w:val="auto"/>
              </w:rPr>
            </w:pPr>
          </w:p>
        </w:tc>
        <w:tc>
          <w:tcPr>
            <w:tcW w:w="160" w:type="dxa"/>
            <w:vAlign w:val="bottom"/>
          </w:tcPr>
          <w:p>
            <w:pPr>
              <w:spacing w:after="0"/>
              <w:rPr>
                <w:sz w:val="5"/>
                <w:szCs w:val="5"/>
                <w:color w:val="auto"/>
              </w:rPr>
            </w:pPr>
          </w:p>
        </w:tc>
        <w:tc>
          <w:tcPr>
            <w:tcW w:w="6740" w:type="dxa"/>
            <w:vAlign w:val="bottom"/>
            <w:tcBorders>
              <w:right w:val="single" w:sz="8" w:color="2B4C9B"/>
            </w:tcBorders>
            <w:vMerge w:val="restart"/>
          </w:tcPr>
          <w:p>
            <w:pPr>
              <w:ind w:left="180"/>
              <w:spacing w:after="0" w:line="202" w:lineRule="exact"/>
              <w:rPr>
                <w:sz w:val="20"/>
                <w:szCs w:val="20"/>
                <w:color w:val="auto"/>
              </w:rPr>
            </w:pPr>
            <w:r>
              <w:rPr>
                <w:rFonts w:ascii="Arial" w:cs="Arial" w:eastAsia="Arial" w:hAnsi="Arial"/>
                <w:sz w:val="18"/>
                <w:szCs w:val="18"/>
                <w:color w:val="auto"/>
              </w:rPr>
              <w:t>NZE scenario which were used to inform our IEA NZE resiliency analysis.</w:t>
            </w:r>
          </w:p>
        </w:tc>
        <w:tc>
          <w:tcPr>
            <w:tcW w:w="0" w:type="dxa"/>
            <w:vAlign w:val="bottom"/>
          </w:tcPr>
          <w:p>
            <w:pPr>
              <w:spacing w:after="0"/>
              <w:rPr>
                <w:sz w:val="1"/>
                <w:szCs w:val="1"/>
                <w:color w:val="auto"/>
              </w:rPr>
            </w:pPr>
          </w:p>
        </w:tc>
      </w:tr>
      <w:tr>
        <w:trPr>
          <w:trHeight w:val="135"/>
        </w:trPr>
        <w:tc>
          <w:tcPr>
            <w:tcW w:w="2460" w:type="dxa"/>
            <w:vAlign w:val="bottom"/>
            <w:tcBorders>
              <w:left w:val="single" w:sz="8" w:color="2B4C9B"/>
              <w:right w:val="single" w:sz="8" w:color="2B4C9B"/>
            </w:tcBorders>
            <w:vMerge w:val="restart"/>
          </w:tcPr>
          <w:p>
            <w:pPr>
              <w:ind w:left="180"/>
              <w:spacing w:after="0" w:line="202" w:lineRule="exact"/>
              <w:rPr>
                <w:sz w:val="20"/>
                <w:szCs w:val="20"/>
                <w:color w:val="auto"/>
              </w:rPr>
            </w:pPr>
            <w:r>
              <w:rPr>
                <w:rFonts w:ascii="Arial" w:cs="Arial" w:eastAsia="Arial" w:hAnsi="Arial"/>
                <w:sz w:val="18"/>
                <w:szCs w:val="18"/>
                <w:color w:val="auto"/>
              </w:rPr>
              <w:t>commodity pricing</w:t>
            </w:r>
          </w:p>
        </w:tc>
        <w:tc>
          <w:tcPr>
            <w:tcW w:w="160" w:type="dxa"/>
            <w:vAlign w:val="bottom"/>
          </w:tcPr>
          <w:p>
            <w:pPr>
              <w:spacing w:after="0"/>
              <w:rPr>
                <w:sz w:val="11"/>
                <w:szCs w:val="11"/>
                <w:color w:val="auto"/>
              </w:rPr>
            </w:pPr>
          </w:p>
        </w:tc>
        <w:tc>
          <w:tcPr>
            <w:tcW w:w="6740" w:type="dxa"/>
            <w:vAlign w:val="bottom"/>
            <w:tcBorders>
              <w:right w:val="single" w:sz="8" w:color="2B4C9B"/>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460" w:type="dxa"/>
            <w:vAlign w:val="bottom"/>
            <w:tcBorders>
              <w:left w:val="single" w:sz="8" w:color="2B4C9B"/>
              <w:right w:val="single" w:sz="8" w:color="2B4C9B"/>
            </w:tcBorders>
            <w:vMerge w:val="continue"/>
          </w:tcPr>
          <w:p>
            <w:pPr>
              <w:spacing w:after="0"/>
              <w:rPr>
                <w:sz w:val="5"/>
                <w:szCs w:val="5"/>
                <w:color w:val="auto"/>
              </w:rPr>
            </w:pPr>
          </w:p>
        </w:tc>
        <w:tc>
          <w:tcPr>
            <w:tcW w:w="160" w:type="dxa"/>
            <w:vAlign w:val="bottom"/>
          </w:tcPr>
          <w:p>
            <w:pPr>
              <w:spacing w:after="0"/>
              <w:rPr>
                <w:sz w:val="5"/>
                <w:szCs w:val="5"/>
                <w:color w:val="auto"/>
              </w:rPr>
            </w:pPr>
          </w:p>
        </w:tc>
        <w:tc>
          <w:tcPr>
            <w:tcW w:w="6740" w:type="dxa"/>
            <w:vAlign w:val="bottom"/>
            <w:tcBorders>
              <w:right w:val="single" w:sz="8" w:color="2B4C9B"/>
            </w:tcBorders>
            <w:vMerge w:val="restart"/>
          </w:tcPr>
          <w:p>
            <w:pP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Further, we now publish commodity pricing projections for Brent oil and</w:t>
            </w:r>
          </w:p>
        </w:tc>
        <w:tc>
          <w:tcPr>
            <w:tcW w:w="0" w:type="dxa"/>
            <w:vAlign w:val="bottom"/>
          </w:tcPr>
          <w:p>
            <w:pPr>
              <w:spacing w:after="0"/>
              <w:rPr>
                <w:sz w:val="1"/>
                <w:szCs w:val="1"/>
                <w:color w:val="auto"/>
              </w:rPr>
            </w:pPr>
          </w:p>
        </w:tc>
      </w:tr>
      <w:tr>
        <w:trPr>
          <w:trHeight w:val="148"/>
        </w:trPr>
        <w:tc>
          <w:tcPr>
            <w:tcW w:w="2460" w:type="dxa"/>
            <w:vAlign w:val="bottom"/>
            <w:tcBorders>
              <w:left w:val="single" w:sz="8" w:color="2B4C9B"/>
              <w:right w:val="single" w:sz="8" w:color="2B4C9B"/>
            </w:tcBorders>
            <w:vMerge w:val="restart"/>
          </w:tcPr>
          <w:p>
            <w:pPr>
              <w:ind w:left="180"/>
              <w:spacing w:after="0" w:line="202" w:lineRule="exact"/>
              <w:rPr>
                <w:sz w:val="20"/>
                <w:szCs w:val="20"/>
                <w:color w:val="auto"/>
              </w:rPr>
            </w:pPr>
            <w:r>
              <w:rPr>
                <w:rFonts w:ascii="Arial" w:cs="Arial" w:eastAsia="Arial" w:hAnsi="Arial"/>
                <w:sz w:val="18"/>
                <w:szCs w:val="18"/>
                <w:color w:val="auto"/>
              </w:rPr>
              <w:t>assumptions for both the</w:t>
            </w:r>
          </w:p>
        </w:tc>
        <w:tc>
          <w:tcPr>
            <w:tcW w:w="160" w:type="dxa"/>
            <w:vAlign w:val="bottom"/>
          </w:tcPr>
          <w:p>
            <w:pPr>
              <w:spacing w:after="0"/>
              <w:rPr>
                <w:sz w:val="12"/>
                <w:szCs w:val="12"/>
                <w:color w:val="auto"/>
              </w:rPr>
            </w:pPr>
          </w:p>
        </w:tc>
        <w:tc>
          <w:tcPr>
            <w:tcW w:w="6740" w:type="dxa"/>
            <w:vAlign w:val="bottom"/>
            <w:tcBorders>
              <w:right w:val="single" w:sz="8" w:color="2B4C9B"/>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460" w:type="dxa"/>
            <w:vAlign w:val="bottom"/>
            <w:tcBorders>
              <w:left w:val="single" w:sz="8" w:color="2B4C9B"/>
              <w:right w:val="single" w:sz="8" w:color="2B4C9B"/>
            </w:tcBorders>
            <w:vMerge w:val="continue"/>
          </w:tcPr>
          <w:p>
            <w:pPr>
              <w:spacing w:after="0"/>
              <w:rPr>
                <w:sz w:val="4"/>
                <w:szCs w:val="4"/>
                <w:color w:val="auto"/>
              </w:rPr>
            </w:pPr>
          </w:p>
        </w:tc>
        <w:tc>
          <w:tcPr>
            <w:tcW w:w="160" w:type="dxa"/>
            <w:vAlign w:val="bottom"/>
          </w:tcPr>
          <w:p>
            <w:pPr>
              <w:spacing w:after="0"/>
              <w:rPr>
                <w:sz w:val="4"/>
                <w:szCs w:val="4"/>
                <w:color w:val="auto"/>
              </w:rPr>
            </w:pPr>
          </w:p>
        </w:tc>
        <w:tc>
          <w:tcPr>
            <w:tcW w:w="6740" w:type="dxa"/>
            <w:vAlign w:val="bottom"/>
            <w:tcBorders>
              <w:right w:val="single" w:sz="8" w:color="2B4C9B"/>
            </w:tcBorders>
            <w:vMerge w:val="restart"/>
          </w:tcPr>
          <w:p>
            <w:pPr>
              <w:ind w:left="180"/>
              <w:spacing w:after="0"/>
              <w:rPr>
                <w:sz w:val="20"/>
                <w:szCs w:val="20"/>
                <w:color w:val="auto"/>
              </w:rPr>
            </w:pPr>
            <w:r>
              <w:rPr>
                <w:rFonts w:ascii="Arial" w:cs="Arial" w:eastAsia="Arial" w:hAnsi="Arial"/>
                <w:sz w:val="18"/>
                <w:szCs w:val="18"/>
                <w:color w:val="auto"/>
              </w:rPr>
              <w:t>Henry Hub natural gas under the IEA NZE and a range of third-party analyses,</w:t>
            </w:r>
          </w:p>
        </w:tc>
        <w:tc>
          <w:tcPr>
            <w:tcW w:w="0" w:type="dxa"/>
            <w:vAlign w:val="bottom"/>
          </w:tcPr>
          <w:p>
            <w:pPr>
              <w:spacing w:after="0"/>
              <w:rPr>
                <w:sz w:val="1"/>
                <w:szCs w:val="1"/>
                <w:color w:val="auto"/>
              </w:rPr>
            </w:pPr>
          </w:p>
        </w:tc>
      </w:tr>
      <w:tr>
        <w:trPr>
          <w:trHeight w:val="181"/>
        </w:trPr>
        <w:tc>
          <w:tcPr>
            <w:tcW w:w="2460" w:type="dxa"/>
            <w:vAlign w:val="bottom"/>
            <w:tcBorders>
              <w:left w:val="single" w:sz="8" w:color="2B4C9B"/>
              <w:right w:val="single" w:sz="8" w:color="2B4C9B"/>
            </w:tcBorders>
          </w:tcPr>
          <w:p>
            <w:pPr>
              <w:ind w:left="180"/>
              <w:spacing w:after="0" w:line="181" w:lineRule="exact"/>
              <w:rPr>
                <w:sz w:val="20"/>
                <w:szCs w:val="20"/>
                <w:color w:val="auto"/>
              </w:rPr>
            </w:pPr>
            <w:r>
              <w:rPr>
                <w:rFonts w:ascii="Arial" w:cs="Arial" w:eastAsia="Arial" w:hAnsi="Arial"/>
                <w:sz w:val="18"/>
                <w:szCs w:val="18"/>
                <w:color w:val="auto"/>
              </w:rPr>
              <w:t>IEA NZE scenario and for</w:t>
            </w:r>
          </w:p>
        </w:tc>
        <w:tc>
          <w:tcPr>
            <w:tcW w:w="160" w:type="dxa"/>
            <w:vAlign w:val="bottom"/>
          </w:tcPr>
          <w:p>
            <w:pPr>
              <w:spacing w:after="0"/>
              <w:rPr>
                <w:sz w:val="15"/>
                <w:szCs w:val="15"/>
                <w:color w:val="auto"/>
              </w:rPr>
            </w:pPr>
          </w:p>
        </w:tc>
        <w:tc>
          <w:tcPr>
            <w:tcW w:w="6740" w:type="dxa"/>
            <w:vAlign w:val="bottom"/>
            <w:tcBorders>
              <w:right w:val="single" w:sz="8" w:color="2B4C9B"/>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60" w:type="dxa"/>
            <w:vAlign w:val="bottom"/>
            <w:tcBorders>
              <w:left w:val="single" w:sz="8" w:color="2B4C9B"/>
              <w:right w:val="single" w:sz="8" w:color="2B4C9B"/>
            </w:tcBorders>
          </w:tcPr>
          <w:p>
            <w:pPr>
              <w:ind w:left="180"/>
              <w:spacing w:after="0" w:line="202" w:lineRule="exact"/>
              <w:rPr>
                <w:sz w:val="20"/>
                <w:szCs w:val="20"/>
                <w:color w:val="auto"/>
              </w:rPr>
            </w:pPr>
            <w:r>
              <w:rPr>
                <w:rFonts w:ascii="Arial" w:cs="Arial" w:eastAsia="Arial" w:hAnsi="Arial"/>
                <w:sz w:val="18"/>
                <w:szCs w:val="18"/>
                <w:color w:val="auto"/>
              </w:rPr>
              <w:t>our assumed greenhouse</w:t>
            </w:r>
          </w:p>
        </w:tc>
        <w:tc>
          <w:tcPr>
            <w:tcW w:w="160" w:type="dxa"/>
            <w:vAlign w:val="bottom"/>
          </w:tcPr>
          <w:p>
            <w:pPr>
              <w:spacing w:after="0"/>
              <w:rPr>
                <w:sz w:val="17"/>
                <w:szCs w:val="17"/>
                <w:color w:val="auto"/>
              </w:rPr>
            </w:pPr>
          </w:p>
        </w:tc>
        <w:tc>
          <w:tcPr>
            <w:tcW w:w="6740" w:type="dxa"/>
            <w:vAlign w:val="bottom"/>
            <w:tcBorders>
              <w:right w:val="single" w:sz="8" w:color="2B4C9B"/>
            </w:tcBorders>
          </w:tcPr>
          <w:p>
            <w:pPr>
              <w:ind w:left="180"/>
              <w:spacing w:after="0" w:line="202" w:lineRule="exact"/>
              <w:rPr>
                <w:sz w:val="20"/>
                <w:szCs w:val="20"/>
                <w:color w:val="auto"/>
              </w:rPr>
            </w:pPr>
            <w:r>
              <w:rPr>
                <w:rFonts w:ascii="Arial" w:cs="Arial" w:eastAsia="Arial" w:hAnsi="Arial"/>
                <w:sz w:val="18"/>
                <w:szCs w:val="18"/>
                <w:color w:val="auto"/>
              </w:rPr>
              <w:t>including FACTS Global Energy Group, Wood Mackenzie, IHS Markit, Rystad</w:t>
            </w:r>
          </w:p>
        </w:tc>
        <w:tc>
          <w:tcPr>
            <w:tcW w:w="0" w:type="dxa"/>
            <w:vAlign w:val="bottom"/>
          </w:tcPr>
          <w:p>
            <w:pPr>
              <w:spacing w:after="0"/>
              <w:rPr>
                <w:sz w:val="1"/>
                <w:szCs w:val="1"/>
                <w:color w:val="auto"/>
              </w:rPr>
            </w:pPr>
          </w:p>
        </w:tc>
      </w:tr>
      <w:tr>
        <w:trPr>
          <w:trHeight w:val="203"/>
        </w:trPr>
        <w:tc>
          <w:tcPr>
            <w:tcW w:w="2460" w:type="dxa"/>
            <w:vAlign w:val="bottom"/>
            <w:tcBorders>
              <w:left w:val="single" w:sz="8" w:color="2B4C9B"/>
              <w:right w:val="single" w:sz="8" w:color="2B4C9B"/>
            </w:tcBorders>
          </w:tcPr>
          <w:p>
            <w:pPr>
              <w:ind w:left="180"/>
              <w:spacing w:after="0" w:line="202" w:lineRule="exact"/>
              <w:rPr>
                <w:sz w:val="20"/>
                <w:szCs w:val="20"/>
                <w:color w:val="auto"/>
              </w:rPr>
            </w:pPr>
            <w:r>
              <w:rPr>
                <w:rFonts w:ascii="Arial" w:cs="Arial" w:eastAsia="Arial" w:hAnsi="Arial"/>
                <w:sz w:val="18"/>
                <w:szCs w:val="18"/>
                <w:color w:val="auto"/>
              </w:rPr>
              <w:t>gas pricing in places where</w:t>
            </w:r>
          </w:p>
        </w:tc>
        <w:tc>
          <w:tcPr>
            <w:tcW w:w="160" w:type="dxa"/>
            <w:vAlign w:val="bottom"/>
          </w:tcPr>
          <w:p>
            <w:pPr>
              <w:spacing w:after="0"/>
              <w:rPr>
                <w:sz w:val="17"/>
                <w:szCs w:val="17"/>
                <w:color w:val="auto"/>
              </w:rPr>
            </w:pPr>
          </w:p>
        </w:tc>
        <w:tc>
          <w:tcPr>
            <w:tcW w:w="6740" w:type="dxa"/>
            <w:vAlign w:val="bottom"/>
            <w:tcBorders>
              <w:right w:val="single" w:sz="8" w:color="2B4C9B"/>
            </w:tcBorders>
          </w:tcPr>
          <w:p>
            <w:pPr>
              <w:ind w:left="180"/>
              <w:spacing w:after="0" w:line="202" w:lineRule="exact"/>
              <w:rPr>
                <w:sz w:val="20"/>
                <w:szCs w:val="20"/>
                <w:color w:val="auto"/>
              </w:rPr>
            </w:pPr>
            <w:r>
              <w:rPr>
                <w:rFonts w:ascii="Arial" w:cs="Arial" w:eastAsia="Arial" w:hAnsi="Arial"/>
                <w:sz w:val="18"/>
                <w:szCs w:val="18"/>
                <w:color w:val="auto"/>
              </w:rPr>
              <w:t>Energy, and S&amp;P Global Commodity Insights. Additionally, we state that, for the</w:t>
            </w:r>
          </w:p>
        </w:tc>
        <w:tc>
          <w:tcPr>
            <w:tcW w:w="0" w:type="dxa"/>
            <w:vAlign w:val="bottom"/>
          </w:tcPr>
          <w:p>
            <w:pPr>
              <w:spacing w:after="0"/>
              <w:rPr>
                <w:sz w:val="1"/>
                <w:szCs w:val="1"/>
                <w:color w:val="auto"/>
              </w:rPr>
            </w:pPr>
          </w:p>
        </w:tc>
      </w:tr>
      <w:tr>
        <w:trPr>
          <w:trHeight w:val="203"/>
        </w:trPr>
        <w:tc>
          <w:tcPr>
            <w:tcW w:w="2460" w:type="dxa"/>
            <w:vAlign w:val="bottom"/>
            <w:tcBorders>
              <w:left w:val="single" w:sz="8" w:color="2B4C9B"/>
              <w:right w:val="single" w:sz="8" w:color="2B4C9B"/>
            </w:tcBorders>
          </w:tcPr>
          <w:p>
            <w:pPr>
              <w:ind w:left="180"/>
              <w:spacing w:after="0" w:line="202" w:lineRule="exact"/>
              <w:rPr>
                <w:sz w:val="20"/>
                <w:szCs w:val="20"/>
                <w:color w:val="auto"/>
              </w:rPr>
            </w:pPr>
            <w:r>
              <w:rPr>
                <w:rFonts w:ascii="Arial" w:cs="Arial" w:eastAsia="Arial" w:hAnsi="Arial"/>
                <w:sz w:val="18"/>
                <w:szCs w:val="18"/>
                <w:color w:val="auto"/>
              </w:rPr>
              <w:t>we operate and invest.</w:t>
            </w:r>
          </w:p>
        </w:tc>
        <w:tc>
          <w:tcPr>
            <w:tcW w:w="160" w:type="dxa"/>
            <w:vAlign w:val="bottom"/>
          </w:tcPr>
          <w:p>
            <w:pPr>
              <w:spacing w:after="0"/>
              <w:rPr>
                <w:sz w:val="17"/>
                <w:szCs w:val="17"/>
                <w:color w:val="auto"/>
              </w:rPr>
            </w:pPr>
          </w:p>
        </w:tc>
        <w:tc>
          <w:tcPr>
            <w:tcW w:w="6740" w:type="dxa"/>
            <w:vAlign w:val="bottom"/>
            <w:tcBorders>
              <w:right w:val="single" w:sz="8" w:color="2B4C9B"/>
            </w:tcBorders>
          </w:tcPr>
          <w:p>
            <w:pPr>
              <w:ind w:left="180"/>
              <w:spacing w:after="0" w:line="202" w:lineRule="exact"/>
              <w:rPr>
                <w:sz w:val="20"/>
                <w:szCs w:val="20"/>
                <w:color w:val="auto"/>
              </w:rPr>
            </w:pPr>
            <w:r>
              <w:rPr>
                <w:rFonts w:ascii="Arial" w:cs="Arial" w:eastAsia="Arial" w:hAnsi="Arial"/>
                <w:sz w:val="18"/>
                <w:szCs w:val="18"/>
                <w:color w:val="auto"/>
              </w:rPr>
              <w:t>mid- to longer-term, our prices, which are based on the fundamentals projected in</w:t>
            </w:r>
          </w:p>
        </w:tc>
        <w:tc>
          <w:tcPr>
            <w:tcW w:w="0" w:type="dxa"/>
            <w:vAlign w:val="bottom"/>
          </w:tcPr>
          <w:p>
            <w:pPr>
              <w:spacing w:after="0"/>
              <w:rPr>
                <w:sz w:val="1"/>
                <w:szCs w:val="1"/>
                <w:color w:val="auto"/>
              </w:rPr>
            </w:pPr>
          </w:p>
        </w:tc>
      </w:tr>
      <w:tr>
        <w:trPr>
          <w:trHeight w:val="170"/>
        </w:trPr>
        <w:tc>
          <w:tcPr>
            <w:tcW w:w="2460" w:type="dxa"/>
            <w:vAlign w:val="bottom"/>
            <w:tcBorders>
              <w:left w:val="single" w:sz="8" w:color="2B4C9B"/>
              <w:right w:val="single" w:sz="8" w:color="2B4C9B"/>
            </w:tcBorders>
          </w:tcPr>
          <w:p>
            <w:pPr>
              <w:spacing w:after="0"/>
              <w:rPr>
                <w:sz w:val="14"/>
                <w:szCs w:val="14"/>
                <w:color w:val="auto"/>
              </w:rPr>
            </w:pPr>
          </w:p>
        </w:tc>
        <w:tc>
          <w:tcPr>
            <w:tcW w:w="160" w:type="dxa"/>
            <w:vAlign w:val="bottom"/>
          </w:tcPr>
          <w:p>
            <w:pPr>
              <w:spacing w:after="0"/>
              <w:rPr>
                <w:sz w:val="14"/>
                <w:szCs w:val="14"/>
                <w:color w:val="auto"/>
              </w:rPr>
            </w:pPr>
          </w:p>
        </w:tc>
        <w:tc>
          <w:tcPr>
            <w:tcW w:w="6740" w:type="dxa"/>
            <w:vAlign w:val="bottom"/>
            <w:tcBorders>
              <w:right w:val="single" w:sz="8" w:color="2B4C9B"/>
            </w:tcBorders>
          </w:tcPr>
          <w:p>
            <w:pPr>
              <w:ind w:left="180"/>
              <w:spacing w:after="0" w:line="170" w:lineRule="exact"/>
              <w:rPr>
                <w:sz w:val="20"/>
                <w:szCs w:val="20"/>
                <w:color w:val="auto"/>
              </w:rPr>
            </w:pPr>
            <w:r>
              <w:rPr>
                <w:rFonts w:ascii="Arial" w:cs="Arial" w:eastAsia="Arial" w:hAnsi="Arial"/>
                <w:sz w:val="18"/>
                <w:szCs w:val="18"/>
                <w:color w:val="auto"/>
              </w:rPr>
              <w:t>our Outlook for Energy, are in the range of these third-party projections published</w:t>
            </w:r>
          </w:p>
        </w:tc>
        <w:tc>
          <w:tcPr>
            <w:tcW w:w="0" w:type="dxa"/>
            <w:vAlign w:val="bottom"/>
          </w:tcPr>
          <w:p>
            <w:pPr>
              <w:spacing w:after="0"/>
              <w:rPr>
                <w:sz w:val="1"/>
                <w:szCs w:val="1"/>
                <w:color w:val="auto"/>
              </w:rPr>
            </w:pPr>
          </w:p>
        </w:tc>
      </w:tr>
      <w:tr>
        <w:trPr>
          <w:trHeight w:val="203"/>
        </w:trPr>
        <w:tc>
          <w:tcPr>
            <w:tcW w:w="2460" w:type="dxa"/>
            <w:vAlign w:val="bottom"/>
            <w:tcBorders>
              <w:left w:val="single" w:sz="8" w:color="2B4C9B"/>
              <w:right w:val="single" w:sz="8" w:color="2B4C9B"/>
            </w:tcBorders>
          </w:tcPr>
          <w:p>
            <w:pPr>
              <w:spacing w:after="0"/>
              <w:rPr>
                <w:sz w:val="17"/>
                <w:szCs w:val="17"/>
                <w:color w:val="auto"/>
              </w:rPr>
            </w:pPr>
          </w:p>
        </w:tc>
        <w:tc>
          <w:tcPr>
            <w:tcW w:w="160" w:type="dxa"/>
            <w:vAlign w:val="bottom"/>
          </w:tcPr>
          <w:p>
            <w:pPr>
              <w:spacing w:after="0"/>
              <w:rPr>
                <w:sz w:val="17"/>
                <w:szCs w:val="17"/>
                <w:color w:val="auto"/>
              </w:rPr>
            </w:pPr>
          </w:p>
        </w:tc>
        <w:tc>
          <w:tcPr>
            <w:tcW w:w="6740" w:type="dxa"/>
            <w:vAlign w:val="bottom"/>
            <w:tcBorders>
              <w:right w:val="single" w:sz="8" w:color="2B4C9B"/>
            </w:tcBorders>
          </w:tcPr>
          <w:p>
            <w:pPr>
              <w:ind w:left="180"/>
              <w:spacing w:after="0" w:line="202" w:lineRule="exact"/>
              <w:rPr>
                <w:sz w:val="20"/>
                <w:szCs w:val="20"/>
                <w:color w:val="auto"/>
              </w:rPr>
            </w:pPr>
            <w:r>
              <w:rPr>
                <w:rFonts w:ascii="Arial" w:cs="Arial" w:eastAsia="Arial" w:hAnsi="Arial"/>
                <w:sz w:val="18"/>
                <w:szCs w:val="18"/>
                <w:color w:val="auto"/>
              </w:rPr>
              <w:t>by reputable organizations with significant industry expertise.</w:t>
            </w:r>
          </w:p>
        </w:tc>
        <w:tc>
          <w:tcPr>
            <w:tcW w:w="0" w:type="dxa"/>
            <w:vAlign w:val="bottom"/>
          </w:tcPr>
          <w:p>
            <w:pPr>
              <w:spacing w:after="0"/>
              <w:rPr>
                <w:sz w:val="1"/>
                <w:szCs w:val="1"/>
                <w:color w:val="auto"/>
              </w:rPr>
            </w:pPr>
          </w:p>
        </w:tc>
      </w:tr>
      <w:tr>
        <w:trPr>
          <w:trHeight w:val="239"/>
        </w:trPr>
        <w:tc>
          <w:tcPr>
            <w:tcW w:w="2460" w:type="dxa"/>
            <w:vAlign w:val="bottom"/>
            <w:tcBorders>
              <w:left w:val="single" w:sz="8" w:color="2B4C9B"/>
              <w:right w:val="single" w:sz="8" w:color="2B4C9B"/>
            </w:tcBorders>
          </w:tcPr>
          <w:p>
            <w:pPr>
              <w:spacing w:after="0"/>
              <w:rPr>
                <w:sz w:val="20"/>
                <w:szCs w:val="20"/>
                <w:color w:val="auto"/>
              </w:rPr>
            </w:pPr>
          </w:p>
        </w:tc>
        <w:tc>
          <w:tcPr>
            <w:tcW w:w="160" w:type="dxa"/>
            <w:vAlign w:val="bottom"/>
          </w:tcPr>
          <w:p>
            <w:pPr>
              <w:spacing w:after="0"/>
              <w:rPr>
                <w:sz w:val="20"/>
                <w:szCs w:val="20"/>
                <w:color w:val="auto"/>
              </w:rPr>
            </w:pPr>
          </w:p>
        </w:tc>
        <w:tc>
          <w:tcPr>
            <w:tcW w:w="6740" w:type="dxa"/>
            <w:vAlign w:val="bottom"/>
            <w:tcBorders>
              <w:right w:val="single" w:sz="8" w:color="2B4C9B"/>
            </w:tcBorders>
          </w:tcPr>
          <w:p>
            <w:pP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See ACS Pages 30, 37, and 41.</w:t>
            </w:r>
          </w:p>
        </w:tc>
        <w:tc>
          <w:tcPr>
            <w:tcW w:w="0" w:type="dxa"/>
            <w:vAlign w:val="bottom"/>
          </w:tcPr>
          <w:p>
            <w:pPr>
              <w:spacing w:after="0"/>
              <w:rPr>
                <w:sz w:val="1"/>
                <w:szCs w:val="1"/>
                <w:color w:val="auto"/>
              </w:rPr>
            </w:pPr>
          </w:p>
        </w:tc>
      </w:tr>
      <w:tr>
        <w:trPr>
          <w:trHeight w:val="144"/>
        </w:trPr>
        <w:tc>
          <w:tcPr>
            <w:tcW w:w="2460" w:type="dxa"/>
            <w:vAlign w:val="bottom"/>
            <w:tcBorders>
              <w:left w:val="single" w:sz="8" w:color="2B4C9B"/>
              <w:bottom w:val="single" w:sz="8" w:color="2B4C9B"/>
              <w:right w:val="single" w:sz="8" w:color="2B4C9B"/>
            </w:tcBorders>
          </w:tcPr>
          <w:p>
            <w:pPr>
              <w:spacing w:after="0"/>
              <w:rPr>
                <w:sz w:val="12"/>
                <w:szCs w:val="12"/>
                <w:color w:val="auto"/>
              </w:rPr>
            </w:pPr>
          </w:p>
        </w:tc>
        <w:tc>
          <w:tcPr>
            <w:tcW w:w="160" w:type="dxa"/>
            <w:vAlign w:val="bottom"/>
            <w:tcBorders>
              <w:bottom w:val="single" w:sz="8" w:color="2B4C9B"/>
            </w:tcBorders>
          </w:tcPr>
          <w:p>
            <w:pPr>
              <w:spacing w:after="0"/>
              <w:rPr>
                <w:sz w:val="12"/>
                <w:szCs w:val="12"/>
                <w:color w:val="auto"/>
              </w:rPr>
            </w:pPr>
          </w:p>
        </w:tc>
        <w:tc>
          <w:tcPr>
            <w:tcW w:w="6740" w:type="dxa"/>
            <w:vAlign w:val="bottom"/>
            <w:tcBorders>
              <w:bottom w:val="single" w:sz="8" w:color="2B4C9B"/>
              <w:right w:val="single" w:sz="8" w:color="2B4C9B"/>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full ACS is available at corporate.exxonmobil.com/climate-solutions/advancing-climate-solutions-progress-report.</w:t>
      </w:r>
    </w:p>
    <w:p>
      <w:pPr>
        <w:spacing w:after="0" w:line="212" w:lineRule="exact"/>
        <w:rPr>
          <w:sz w:val="20"/>
          <w:szCs w:val="20"/>
          <w:color w:val="auto"/>
        </w:rPr>
      </w:pPr>
    </w:p>
    <w:p>
      <w:pPr>
        <w:ind w:left="760" w:right="20"/>
        <w:spacing w:after="0"/>
        <w:rPr>
          <w:sz w:val="20"/>
          <w:szCs w:val="20"/>
          <w:color w:val="auto"/>
        </w:rPr>
      </w:pPr>
      <w:r>
        <w:rPr>
          <w:rFonts w:ascii="Arial" w:cs="Arial" w:eastAsia="Arial" w:hAnsi="Arial"/>
          <w:sz w:val="18"/>
          <w:szCs w:val="18"/>
          <w:color w:val="auto"/>
        </w:rPr>
        <w:t>Also included in the ACS, in response to shareholder feedback, is greater detail regarding our methane emissions measurement and reduction efforts. Through 2022, we have achieved more than 50 percent reduction of methane emissions intensity from operated assets, and reduced operated absolute methane emissions by 50 percent, since 2016. Our methane reporting framework has enabled the development of consistent and comparable data, which along with growing field observations, has guided our mitigation efforts. Our ACS also describes how we continue to expand the volume of natural gas production that is independently certified for methane emissions management by the non-profit organization, MiQ.</w:t>
      </w:r>
    </w:p>
    <w:p>
      <w:pPr>
        <w:spacing w:after="0" w:line="185" w:lineRule="exact"/>
        <w:rPr>
          <w:sz w:val="20"/>
          <w:szCs w:val="20"/>
          <w:color w:val="auto"/>
        </w:rPr>
      </w:pPr>
    </w:p>
    <w:p>
      <w:pPr>
        <w:ind w:left="760" w:right="360"/>
        <w:spacing w:after="0" w:line="253" w:lineRule="auto"/>
        <w:rPr>
          <w:sz w:val="20"/>
          <w:szCs w:val="20"/>
          <w:color w:val="auto"/>
        </w:rPr>
      </w:pPr>
      <w:r>
        <w:rPr>
          <w:rFonts w:ascii="Arial" w:cs="Arial" w:eastAsia="Arial" w:hAnsi="Arial"/>
          <w:sz w:val="18"/>
          <w:szCs w:val="18"/>
          <w:color w:val="auto"/>
        </w:rPr>
        <w:t>Our ongoing response to shareholder perspectives is an important aspect of the continuous improvement of our governance. With the oversight and participation of our Board, we will continue an active outreach program to gather feedback that helps shape the information we publicly share.</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ExxonMobil’s consistent responsiveness to shareholder perspectives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163195</wp:posOffset>
            </wp:positionV>
            <wp:extent cx="5692140" cy="16287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692140"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140" w:right="140" w:hanging="376"/>
        <w:spacing w:after="0" w:line="247"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 exxonmobil.com/news/newsroom/news-releases for May 23, 2018 release of 2020 emissions reduction plans; December 14, 2020 release of 2025 emissions reduction plans; December 1, 2021 release of 2030 emissions reduction plans; December 6, 2021 release of net zero by 2030 emissions plan for Permian Basin unconventional operations; and January 18, 2022 release of Scope 1 and Scope 2 net zero ambition for operated assets by 2050.</w:t>
      </w:r>
    </w:p>
    <w:p>
      <w:pPr>
        <w:spacing w:after="0" w:line="105"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60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380"/>
          </w:cols>
          <w:pgMar w:left="320" w:top="482" w:right="11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Shareholder Engagement in 2022</w:t>
      </w:r>
    </w:p>
    <w:p>
      <w:pPr>
        <w:spacing w:after="0" w:line="104" w:lineRule="exact"/>
        <w:rPr>
          <w:sz w:val="20"/>
          <w:szCs w:val="20"/>
          <w:color w:val="auto"/>
        </w:rPr>
      </w:pPr>
    </w:p>
    <w:p>
      <w:pPr>
        <w:ind w:left="760" w:right="180"/>
        <w:spacing w:after="0" w:line="253" w:lineRule="auto"/>
        <w:rPr>
          <w:sz w:val="20"/>
          <w:szCs w:val="20"/>
          <w:color w:val="auto"/>
        </w:rPr>
      </w:pPr>
      <w:r>
        <w:rPr>
          <w:rFonts w:ascii="Arial" w:cs="Arial" w:eastAsia="Arial" w:hAnsi="Arial"/>
          <w:sz w:val="18"/>
          <w:szCs w:val="18"/>
          <w:color w:val="auto"/>
        </w:rPr>
        <w:t>The Board and management believe ongoing engagement with our shareholders is vitally important and understand the importance of understanding shareholders’ perspectives, keeping shareholders informed about the business, and addressing shareholders’ areas of interest. The Board and management welcome and value input from all shareholders.</w:t>
      </w:r>
    </w:p>
    <w:p>
      <w:pPr>
        <w:spacing w:after="0" w:line="195" w:lineRule="exact"/>
        <w:rPr>
          <w:sz w:val="20"/>
          <w:szCs w:val="20"/>
          <w:color w:val="auto"/>
        </w:rPr>
      </w:pPr>
    </w:p>
    <w:tbl>
      <w:tblPr>
        <w:tblLayout w:type="fixed"/>
        <w:tblInd w:w="770" w:type="dxa"/>
        <w:tblCellMar>
          <w:top w:w="0" w:type="dxa"/>
          <w:left w:w="0" w:type="dxa"/>
          <w:bottom w:w="0" w:type="dxa"/>
          <w:right w:w="0" w:type="dxa"/>
        </w:tblCellMar>
      </w:tblPr>
      <w:tr>
        <w:trPr>
          <w:trHeight w:val="296"/>
        </w:trPr>
        <w:tc>
          <w:tcPr>
            <w:tcW w:w="3240" w:type="dxa"/>
            <w:vAlign w:val="bottom"/>
            <w:tcBorders>
              <w:top w:val="single" w:sz="8" w:color="2B4C9B"/>
              <w:left w:val="single" w:sz="8" w:color="2B4C9B"/>
              <w:right w:val="single" w:sz="8" w:color="2B4C9B"/>
            </w:tcBorders>
            <w:gridSpan w:val="2"/>
          </w:tcPr>
          <w:p>
            <w:pPr>
              <w:ind w:left="260"/>
              <w:spacing w:after="0"/>
              <w:rPr>
                <w:sz w:val="20"/>
                <w:szCs w:val="20"/>
                <w:color w:val="auto"/>
              </w:rPr>
            </w:pPr>
            <w:r>
              <w:rPr>
                <w:rFonts w:ascii="Arial" w:cs="Arial" w:eastAsia="Arial" w:hAnsi="Arial"/>
                <w:sz w:val="18"/>
                <w:szCs w:val="18"/>
                <w:b w:val="1"/>
                <w:bCs w:val="1"/>
                <w:color w:val="2B4C9B"/>
              </w:rPr>
              <w:t>Engaged with:</w:t>
            </w:r>
          </w:p>
        </w:tc>
        <w:tc>
          <w:tcPr>
            <w:tcW w:w="100" w:type="dxa"/>
            <w:vAlign w:val="bottom"/>
            <w:tcBorders>
              <w:top w:val="single" w:sz="8" w:color="2B4C9B"/>
            </w:tcBorders>
          </w:tcPr>
          <w:p>
            <w:pPr>
              <w:spacing w:after="0"/>
              <w:rPr>
                <w:sz w:val="24"/>
                <w:szCs w:val="24"/>
                <w:color w:val="auto"/>
              </w:rPr>
            </w:pPr>
          </w:p>
        </w:tc>
        <w:tc>
          <w:tcPr>
            <w:tcW w:w="3200" w:type="dxa"/>
            <w:vAlign w:val="bottom"/>
            <w:tcBorders>
              <w:top w:val="single" w:sz="8" w:color="2B4C9B"/>
              <w:right w:val="single" w:sz="8" w:color="2B4C9B"/>
            </w:tcBorders>
            <w:gridSpan w:val="4"/>
          </w:tcPr>
          <w:p>
            <w:pPr>
              <w:ind w:left="80"/>
              <w:spacing w:after="0"/>
              <w:rPr>
                <w:sz w:val="20"/>
                <w:szCs w:val="20"/>
                <w:color w:val="auto"/>
              </w:rPr>
            </w:pPr>
            <w:r>
              <w:rPr>
                <w:rFonts w:ascii="Arial" w:cs="Arial" w:eastAsia="Arial" w:hAnsi="Arial"/>
                <w:sz w:val="18"/>
                <w:szCs w:val="18"/>
                <w:b w:val="1"/>
                <w:bCs w:val="1"/>
                <w:color w:val="2B4C9B"/>
              </w:rPr>
              <w:t>Engaged through:</w:t>
            </w:r>
          </w:p>
        </w:tc>
        <w:tc>
          <w:tcPr>
            <w:tcW w:w="180" w:type="dxa"/>
            <w:vAlign w:val="bottom"/>
            <w:tcBorders>
              <w:top w:val="single" w:sz="8" w:color="2B4C9B"/>
            </w:tcBorders>
          </w:tcPr>
          <w:p>
            <w:pPr>
              <w:spacing w:after="0"/>
              <w:rPr>
                <w:sz w:val="24"/>
                <w:szCs w:val="24"/>
                <w:color w:val="auto"/>
              </w:rPr>
            </w:pPr>
          </w:p>
        </w:tc>
        <w:tc>
          <w:tcPr>
            <w:tcW w:w="3020" w:type="dxa"/>
            <w:vAlign w:val="bottom"/>
            <w:tcBorders>
              <w:top w:val="single" w:sz="8" w:color="2B4C9B"/>
              <w:right w:val="single" w:sz="8" w:color="2B4C9B"/>
            </w:tcBorders>
            <w:gridSpan w:val="2"/>
          </w:tcPr>
          <w:p>
            <w:pPr>
              <w:spacing w:after="0"/>
              <w:rPr>
                <w:sz w:val="20"/>
                <w:szCs w:val="20"/>
                <w:color w:val="auto"/>
              </w:rPr>
            </w:pPr>
            <w:r>
              <w:rPr>
                <w:rFonts w:ascii="Arial" w:cs="Arial" w:eastAsia="Arial" w:hAnsi="Arial"/>
                <w:sz w:val="18"/>
                <w:szCs w:val="18"/>
                <w:b w:val="1"/>
                <w:bCs w:val="1"/>
                <w:color w:val="2B4C9B"/>
              </w:rPr>
              <w:t>Engagements include:</w:t>
            </w:r>
          </w:p>
        </w:tc>
        <w:tc>
          <w:tcPr>
            <w:tcW w:w="0" w:type="dxa"/>
            <w:vAlign w:val="bottom"/>
          </w:tcPr>
          <w:p>
            <w:pPr>
              <w:spacing w:after="0"/>
              <w:rPr>
                <w:sz w:val="1"/>
                <w:szCs w:val="1"/>
                <w:color w:val="auto"/>
              </w:rPr>
            </w:pPr>
          </w:p>
        </w:tc>
      </w:tr>
      <w:tr>
        <w:trPr>
          <w:trHeight w:val="415"/>
        </w:trPr>
        <w:tc>
          <w:tcPr>
            <w:tcW w:w="600" w:type="dxa"/>
            <w:vAlign w:val="bottom"/>
            <w:tcBorders>
              <w:left w:val="single" w:sz="8" w:color="2B4C9B"/>
            </w:tcBorders>
          </w:tcPr>
          <w:p>
            <w:pPr>
              <w:ind w:left="44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p>
        </w:tc>
        <w:tc>
          <w:tcPr>
            <w:tcW w:w="2640" w:type="dxa"/>
            <w:vAlign w:val="bottom"/>
            <w:tcBorders>
              <w:right w:val="single" w:sz="8" w:color="2B4C9B"/>
            </w:tcBorders>
          </w:tcPr>
          <w:p>
            <w:pPr>
              <w:ind w:left="80"/>
              <w:spacing w:after="0"/>
              <w:rPr>
                <w:sz w:val="20"/>
                <w:szCs w:val="20"/>
                <w:color w:val="auto"/>
              </w:rPr>
            </w:pPr>
            <w:r>
              <w:rPr>
                <w:rFonts w:ascii="Arial" w:cs="Arial" w:eastAsia="Arial" w:hAnsi="Arial"/>
                <w:sz w:val="18"/>
                <w:szCs w:val="18"/>
                <w:color w:val="auto"/>
              </w:rPr>
              <w:t>   Institutional Investors</w:t>
            </w:r>
          </w:p>
        </w:tc>
        <w:tc>
          <w:tcPr>
            <w:tcW w:w="100" w:type="dxa"/>
            <w:vAlign w:val="bottom"/>
          </w:tcPr>
          <w:p>
            <w:pPr>
              <w:spacing w:after="0"/>
              <w:rPr>
                <w:sz w:val="24"/>
                <w:szCs w:val="24"/>
                <w:color w:val="auto"/>
              </w:rPr>
            </w:pPr>
          </w:p>
        </w:tc>
        <w:tc>
          <w:tcPr>
            <w:tcW w:w="3200" w:type="dxa"/>
            <w:vAlign w:val="bottom"/>
            <w:tcBorders>
              <w:right w:val="single" w:sz="8" w:color="2B4C9B"/>
            </w:tcBorders>
            <w:gridSpan w:val="4"/>
          </w:tcPr>
          <w:p>
            <w:pPr>
              <w:ind w:left="26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 Individual and Group Investor</w:t>
            </w:r>
          </w:p>
        </w:tc>
        <w:tc>
          <w:tcPr>
            <w:tcW w:w="180" w:type="dxa"/>
            <w:vAlign w:val="bottom"/>
          </w:tcPr>
          <w:p>
            <w:pPr>
              <w:spacing w:after="0"/>
              <w:rPr>
                <w:sz w:val="24"/>
                <w:szCs w:val="24"/>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p>
        </w:tc>
        <w:tc>
          <w:tcPr>
            <w:tcW w:w="2620" w:type="dxa"/>
            <w:vAlign w:val="bottom"/>
            <w:tcBorders>
              <w:right w:val="single" w:sz="8" w:color="2B4C9B"/>
            </w:tcBorders>
          </w:tcPr>
          <w:p>
            <w:pPr>
              <w:ind w:left="20"/>
              <w:spacing w:after="0"/>
              <w:rPr>
                <w:sz w:val="20"/>
                <w:szCs w:val="20"/>
                <w:color w:val="auto"/>
              </w:rPr>
            </w:pPr>
            <w:r>
              <w:rPr>
                <w:rFonts w:ascii="Arial" w:cs="Arial" w:eastAsia="Arial" w:hAnsi="Arial"/>
                <w:sz w:val="18"/>
                <w:szCs w:val="18"/>
                <w:color w:val="auto"/>
              </w:rPr>
              <w:t>   Non-employee Directors</w:t>
            </w:r>
          </w:p>
        </w:tc>
        <w:tc>
          <w:tcPr>
            <w:tcW w:w="0" w:type="dxa"/>
            <w:vAlign w:val="bottom"/>
          </w:tcPr>
          <w:p>
            <w:pPr>
              <w:spacing w:after="0"/>
              <w:rPr>
                <w:sz w:val="1"/>
                <w:szCs w:val="1"/>
                <w:color w:val="auto"/>
              </w:rPr>
            </w:pPr>
          </w:p>
        </w:tc>
      </w:tr>
      <w:tr>
        <w:trPr>
          <w:trHeight w:val="203"/>
        </w:trPr>
        <w:tc>
          <w:tcPr>
            <w:tcW w:w="600" w:type="dxa"/>
            <w:vAlign w:val="bottom"/>
            <w:tcBorders>
              <w:left w:val="single" w:sz="8" w:color="2B4C9B"/>
            </w:tcBorders>
          </w:tcPr>
          <w:p>
            <w:pPr>
              <w:ind w:left="440"/>
              <w:spacing w:after="0" w:line="202" w:lineRule="exact"/>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p>
        </w:tc>
        <w:tc>
          <w:tcPr>
            <w:tcW w:w="2640" w:type="dxa"/>
            <w:vAlign w:val="bottom"/>
            <w:tcBorders>
              <w:right w:val="single" w:sz="8" w:color="2B4C9B"/>
            </w:tcBorders>
          </w:tcPr>
          <w:p>
            <w:pPr>
              <w:ind w:left="80"/>
              <w:spacing w:after="0" w:line="202" w:lineRule="exact"/>
              <w:rPr>
                <w:sz w:val="20"/>
                <w:szCs w:val="20"/>
                <w:color w:val="auto"/>
              </w:rPr>
            </w:pPr>
            <w:r>
              <w:rPr>
                <w:rFonts w:ascii="Arial" w:cs="Arial" w:eastAsia="Arial" w:hAnsi="Arial"/>
                <w:sz w:val="18"/>
                <w:szCs w:val="18"/>
                <w:color w:val="auto"/>
              </w:rPr>
              <w:t>   Retail Shareholders</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gridSpan w:val="2"/>
          </w:tcPr>
          <w:p>
            <w:pPr>
              <w:ind w:left="140"/>
              <w:spacing w:after="0" w:line="202" w:lineRule="exact"/>
              <w:rPr>
                <w:sz w:val="20"/>
                <w:szCs w:val="20"/>
                <w:color w:val="auto"/>
              </w:rPr>
            </w:pPr>
            <w:r>
              <w:rPr>
                <w:rFonts w:ascii="Arial" w:cs="Arial" w:eastAsia="Arial" w:hAnsi="Arial"/>
                <w:sz w:val="18"/>
                <w:szCs w:val="18"/>
                <w:color w:val="auto"/>
                <w:w w:val="98"/>
              </w:rPr>
              <w:t>Meetings</w:t>
            </w:r>
          </w:p>
        </w:tc>
        <w:tc>
          <w:tcPr>
            <w:tcW w:w="1840" w:type="dxa"/>
            <w:vAlign w:val="bottom"/>
            <w:tcBorders>
              <w:right w:val="single" w:sz="8" w:color="2B4C9B"/>
            </w:tcBorders>
          </w:tcPr>
          <w:p>
            <w:pPr>
              <w:spacing w:after="0"/>
              <w:rPr>
                <w:sz w:val="17"/>
                <w:szCs w:val="17"/>
                <w:color w:val="auto"/>
              </w:rPr>
            </w:pPr>
          </w:p>
        </w:tc>
        <w:tc>
          <w:tcPr>
            <w:tcW w:w="180" w:type="dxa"/>
            <w:vAlign w:val="bottom"/>
          </w:tcPr>
          <w:p>
            <w:pPr>
              <w:spacing w:after="0"/>
              <w:rPr>
                <w:sz w:val="17"/>
                <w:szCs w:val="17"/>
                <w:color w:val="auto"/>
              </w:rPr>
            </w:pPr>
          </w:p>
        </w:tc>
        <w:tc>
          <w:tcPr>
            <w:tcW w:w="3020" w:type="dxa"/>
            <w:vAlign w:val="bottom"/>
            <w:tcBorders>
              <w:right w:val="single" w:sz="8" w:color="2B4C9B"/>
            </w:tcBorders>
            <w:gridSpan w:val="2"/>
          </w:tcPr>
          <w:p>
            <w:pPr>
              <w:ind w:left="160"/>
              <w:spacing w:after="0" w:line="202" w:lineRule="exact"/>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 Chairman / CEO /</w:t>
            </w:r>
          </w:p>
        </w:tc>
        <w:tc>
          <w:tcPr>
            <w:tcW w:w="0" w:type="dxa"/>
            <w:vAlign w:val="bottom"/>
          </w:tcPr>
          <w:p>
            <w:pPr>
              <w:spacing w:after="0"/>
              <w:rPr>
                <w:sz w:val="1"/>
                <w:szCs w:val="1"/>
                <w:color w:val="auto"/>
              </w:rPr>
            </w:pPr>
          </w:p>
        </w:tc>
      </w:tr>
      <w:tr>
        <w:trPr>
          <w:trHeight w:val="216"/>
        </w:trPr>
        <w:tc>
          <w:tcPr>
            <w:tcW w:w="600" w:type="dxa"/>
            <w:vAlign w:val="bottom"/>
            <w:tcBorders>
              <w:left w:val="single" w:sz="8" w:color="2B4C9B"/>
            </w:tcBorders>
          </w:tcPr>
          <w:p>
            <w:pPr>
              <w:ind w:left="44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p>
        </w:tc>
        <w:tc>
          <w:tcPr>
            <w:tcW w:w="2640" w:type="dxa"/>
            <w:vAlign w:val="bottom"/>
            <w:tcBorders>
              <w:right w:val="single" w:sz="8" w:color="2B4C9B"/>
            </w:tcBorders>
          </w:tcPr>
          <w:p>
            <w:pPr>
              <w:ind w:left="80"/>
              <w:spacing w:after="0"/>
              <w:rPr>
                <w:sz w:val="20"/>
                <w:szCs w:val="20"/>
                <w:color w:val="auto"/>
              </w:rPr>
            </w:pPr>
            <w:r>
              <w:rPr>
                <w:rFonts w:ascii="Arial" w:cs="Arial" w:eastAsia="Arial" w:hAnsi="Arial"/>
                <w:sz w:val="18"/>
                <w:szCs w:val="18"/>
                <w:color w:val="auto"/>
              </w:rPr>
              <w:t>   Pension Funds</w:t>
            </w:r>
          </w:p>
        </w:tc>
        <w:tc>
          <w:tcPr>
            <w:tcW w:w="100" w:type="dxa"/>
            <w:vAlign w:val="bottom"/>
          </w:tcPr>
          <w:p>
            <w:pPr>
              <w:spacing w:after="0"/>
              <w:rPr>
                <w:sz w:val="18"/>
                <w:szCs w:val="18"/>
                <w:color w:val="auto"/>
              </w:rPr>
            </w:pPr>
          </w:p>
        </w:tc>
        <w:tc>
          <w:tcPr>
            <w:tcW w:w="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p>
        </w:tc>
        <w:tc>
          <w:tcPr>
            <w:tcW w:w="2720" w:type="dxa"/>
            <w:vAlign w:val="bottom"/>
            <w:tcBorders>
              <w:right w:val="single" w:sz="8" w:color="2B4C9B"/>
            </w:tcBorders>
            <w:gridSpan w:val="3"/>
          </w:tcPr>
          <w:p>
            <w:pPr>
              <w:ind w:left="20"/>
              <w:spacing w:after="0"/>
              <w:rPr>
                <w:sz w:val="20"/>
                <w:szCs w:val="20"/>
                <w:color w:val="auto"/>
              </w:rPr>
            </w:pPr>
            <w:r>
              <w:rPr>
                <w:rFonts w:ascii="Arial" w:cs="Arial" w:eastAsia="Arial" w:hAnsi="Arial"/>
                <w:sz w:val="18"/>
                <w:szCs w:val="18"/>
                <w:color w:val="auto"/>
              </w:rPr>
              <w:t>   Investor Day</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20" w:type="dxa"/>
            <w:vAlign w:val="bottom"/>
            <w:tcBorders>
              <w:right w:val="single" w:sz="8" w:color="2B4C9B"/>
            </w:tcBorders>
          </w:tcPr>
          <w:p>
            <w:pPr>
              <w:ind w:left="120"/>
              <w:spacing w:after="0"/>
              <w:rPr>
                <w:sz w:val="20"/>
                <w:szCs w:val="20"/>
                <w:color w:val="auto"/>
              </w:rPr>
            </w:pPr>
            <w:r>
              <w:rPr>
                <w:rFonts w:ascii="Arial" w:cs="Arial" w:eastAsia="Arial" w:hAnsi="Arial"/>
                <w:sz w:val="18"/>
                <w:szCs w:val="18"/>
                <w:color w:val="auto"/>
              </w:rPr>
              <w:t>Management Committee</w:t>
            </w:r>
          </w:p>
        </w:tc>
        <w:tc>
          <w:tcPr>
            <w:tcW w:w="0" w:type="dxa"/>
            <w:vAlign w:val="bottom"/>
          </w:tcPr>
          <w:p>
            <w:pPr>
              <w:spacing w:after="0"/>
              <w:rPr>
                <w:sz w:val="1"/>
                <w:szCs w:val="1"/>
                <w:color w:val="auto"/>
              </w:rPr>
            </w:pPr>
          </w:p>
        </w:tc>
      </w:tr>
      <w:tr>
        <w:trPr>
          <w:trHeight w:val="216"/>
        </w:trPr>
        <w:tc>
          <w:tcPr>
            <w:tcW w:w="600" w:type="dxa"/>
            <w:vAlign w:val="bottom"/>
            <w:tcBorders>
              <w:left w:val="single" w:sz="8" w:color="2B4C9B"/>
            </w:tcBorders>
          </w:tcPr>
          <w:p>
            <w:pPr>
              <w:ind w:left="44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p>
        </w:tc>
        <w:tc>
          <w:tcPr>
            <w:tcW w:w="2640" w:type="dxa"/>
            <w:vAlign w:val="bottom"/>
            <w:tcBorders>
              <w:right w:val="single" w:sz="8" w:color="2B4C9B"/>
            </w:tcBorders>
          </w:tcPr>
          <w:p>
            <w:pPr>
              <w:ind w:left="80"/>
              <w:spacing w:after="0"/>
              <w:rPr>
                <w:sz w:val="20"/>
                <w:szCs w:val="20"/>
                <w:color w:val="auto"/>
              </w:rPr>
            </w:pPr>
            <w:r>
              <w:rPr>
                <w:rFonts w:ascii="Arial" w:cs="Arial" w:eastAsia="Arial" w:hAnsi="Arial"/>
                <w:sz w:val="18"/>
                <w:szCs w:val="18"/>
                <w:color w:val="auto"/>
              </w:rPr>
              <w:t>   Religious Organizations</w:t>
            </w:r>
          </w:p>
        </w:tc>
        <w:tc>
          <w:tcPr>
            <w:tcW w:w="100" w:type="dxa"/>
            <w:vAlign w:val="bottom"/>
          </w:tcPr>
          <w:p>
            <w:pPr>
              <w:spacing w:after="0"/>
              <w:rPr>
                <w:sz w:val="18"/>
                <w:szCs w:val="18"/>
                <w:color w:val="auto"/>
              </w:rPr>
            </w:pPr>
          </w:p>
        </w:tc>
        <w:tc>
          <w:tcPr>
            <w:tcW w:w="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p>
        </w:tc>
        <w:tc>
          <w:tcPr>
            <w:tcW w:w="2720" w:type="dxa"/>
            <w:vAlign w:val="bottom"/>
            <w:tcBorders>
              <w:right w:val="single" w:sz="8" w:color="2B4C9B"/>
            </w:tcBorders>
            <w:gridSpan w:val="3"/>
          </w:tcPr>
          <w:p>
            <w:pPr>
              <w:ind w:left="20"/>
              <w:spacing w:after="0"/>
              <w:rPr>
                <w:sz w:val="20"/>
                <w:szCs w:val="20"/>
                <w:color w:val="auto"/>
              </w:rPr>
            </w:pPr>
            <w:r>
              <w:rPr>
                <w:rFonts w:ascii="Arial" w:cs="Arial" w:eastAsia="Arial" w:hAnsi="Arial"/>
                <w:sz w:val="18"/>
                <w:szCs w:val="18"/>
                <w:color w:val="auto"/>
              </w:rPr>
              <w:t>   Quarterly Earnings Calls</w:t>
            </w:r>
          </w:p>
        </w:tc>
        <w:tc>
          <w:tcPr>
            <w:tcW w:w="18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p>
        </w:tc>
        <w:tc>
          <w:tcPr>
            <w:tcW w:w="2620" w:type="dxa"/>
            <w:vAlign w:val="bottom"/>
            <w:tcBorders>
              <w:right w:val="single" w:sz="8" w:color="2B4C9B"/>
            </w:tcBorders>
          </w:tcPr>
          <w:p>
            <w:pPr>
              <w:ind w:left="20"/>
              <w:spacing w:after="0"/>
              <w:rPr>
                <w:sz w:val="20"/>
                <w:szCs w:val="20"/>
                <w:color w:val="auto"/>
              </w:rPr>
            </w:pPr>
            <w:r>
              <w:rPr>
                <w:rFonts w:ascii="Arial" w:cs="Arial" w:eastAsia="Arial" w:hAnsi="Arial"/>
                <w:sz w:val="18"/>
                <w:szCs w:val="18"/>
                <w:color w:val="auto"/>
              </w:rPr>
              <w:t>   Senior Management</w:t>
            </w:r>
          </w:p>
        </w:tc>
        <w:tc>
          <w:tcPr>
            <w:tcW w:w="0" w:type="dxa"/>
            <w:vAlign w:val="bottom"/>
          </w:tcPr>
          <w:p>
            <w:pPr>
              <w:spacing w:after="0"/>
              <w:rPr>
                <w:sz w:val="1"/>
                <w:szCs w:val="1"/>
                <w:color w:val="auto"/>
              </w:rPr>
            </w:pPr>
          </w:p>
        </w:tc>
      </w:tr>
      <w:tr>
        <w:trPr>
          <w:trHeight w:val="216"/>
        </w:trPr>
        <w:tc>
          <w:tcPr>
            <w:tcW w:w="600" w:type="dxa"/>
            <w:vAlign w:val="bottom"/>
            <w:tcBorders>
              <w:left w:val="single" w:sz="8" w:color="2B4C9B"/>
            </w:tcBorders>
          </w:tcPr>
          <w:p>
            <w:pPr>
              <w:ind w:left="44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p>
        </w:tc>
        <w:tc>
          <w:tcPr>
            <w:tcW w:w="2640" w:type="dxa"/>
            <w:vAlign w:val="bottom"/>
            <w:tcBorders>
              <w:right w:val="single" w:sz="8" w:color="2B4C9B"/>
            </w:tcBorders>
          </w:tcPr>
          <w:p>
            <w:pPr>
              <w:ind w:left="80"/>
              <w:spacing w:after="0"/>
              <w:rPr>
                <w:sz w:val="20"/>
                <w:szCs w:val="20"/>
                <w:color w:val="auto"/>
              </w:rPr>
            </w:pPr>
            <w:r>
              <w:rPr>
                <w:rFonts w:ascii="Arial" w:cs="Arial" w:eastAsia="Arial" w:hAnsi="Arial"/>
                <w:sz w:val="18"/>
                <w:szCs w:val="18"/>
                <w:color w:val="auto"/>
              </w:rPr>
              <w:t>   Nongovernmental</w:t>
            </w:r>
          </w:p>
        </w:tc>
        <w:tc>
          <w:tcPr>
            <w:tcW w:w="100" w:type="dxa"/>
            <w:vAlign w:val="bottom"/>
          </w:tcPr>
          <w:p>
            <w:pPr>
              <w:spacing w:after="0"/>
              <w:rPr>
                <w:sz w:val="18"/>
                <w:szCs w:val="18"/>
                <w:color w:val="auto"/>
              </w:rPr>
            </w:pPr>
          </w:p>
        </w:tc>
        <w:tc>
          <w:tcPr>
            <w:tcW w:w="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p>
        </w:tc>
        <w:tc>
          <w:tcPr>
            <w:tcW w:w="2720" w:type="dxa"/>
            <w:vAlign w:val="bottom"/>
            <w:tcBorders>
              <w:right w:val="single" w:sz="8" w:color="2B4C9B"/>
            </w:tcBorders>
            <w:gridSpan w:val="3"/>
          </w:tcPr>
          <w:p>
            <w:pPr>
              <w:ind w:left="20"/>
              <w:spacing w:after="0"/>
              <w:rPr>
                <w:sz w:val="20"/>
                <w:szCs w:val="20"/>
                <w:color w:val="auto"/>
              </w:rPr>
            </w:pPr>
            <w:r>
              <w:rPr>
                <w:rFonts w:ascii="Arial" w:cs="Arial" w:eastAsia="Arial" w:hAnsi="Arial"/>
                <w:sz w:val="18"/>
                <w:szCs w:val="18"/>
                <w:color w:val="auto"/>
              </w:rPr>
              <w:t>   Investor Conferences</w:t>
            </w:r>
          </w:p>
        </w:tc>
        <w:tc>
          <w:tcPr>
            <w:tcW w:w="18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p>
        </w:tc>
        <w:tc>
          <w:tcPr>
            <w:tcW w:w="2620" w:type="dxa"/>
            <w:vAlign w:val="bottom"/>
            <w:tcBorders>
              <w:right w:val="single" w:sz="8" w:color="2B4C9B"/>
            </w:tcBorders>
          </w:tcPr>
          <w:p>
            <w:pPr>
              <w:ind w:left="20"/>
              <w:spacing w:after="0"/>
              <w:rPr>
                <w:sz w:val="20"/>
                <w:szCs w:val="20"/>
                <w:color w:val="auto"/>
              </w:rPr>
            </w:pPr>
            <w:r>
              <w:rPr>
                <w:rFonts w:ascii="Arial" w:cs="Arial" w:eastAsia="Arial" w:hAnsi="Arial"/>
                <w:sz w:val="18"/>
                <w:szCs w:val="18"/>
                <w:color w:val="auto"/>
              </w:rPr>
              <w:t>   Subject Matter Experts</w:t>
            </w:r>
          </w:p>
        </w:tc>
        <w:tc>
          <w:tcPr>
            <w:tcW w:w="0" w:type="dxa"/>
            <w:vAlign w:val="bottom"/>
          </w:tcPr>
          <w:p>
            <w:pPr>
              <w:spacing w:after="0"/>
              <w:rPr>
                <w:sz w:val="1"/>
                <w:szCs w:val="1"/>
                <w:color w:val="auto"/>
              </w:rPr>
            </w:pPr>
          </w:p>
        </w:tc>
      </w:tr>
      <w:tr>
        <w:trPr>
          <w:trHeight w:val="216"/>
        </w:trPr>
        <w:tc>
          <w:tcPr>
            <w:tcW w:w="600" w:type="dxa"/>
            <w:vAlign w:val="bottom"/>
            <w:tcBorders>
              <w:left w:val="single" w:sz="8" w:color="2B4C9B"/>
            </w:tcBorders>
          </w:tcPr>
          <w:p>
            <w:pPr>
              <w:spacing w:after="0"/>
              <w:rPr>
                <w:sz w:val="18"/>
                <w:szCs w:val="18"/>
                <w:color w:val="auto"/>
              </w:rPr>
            </w:pPr>
          </w:p>
        </w:tc>
        <w:tc>
          <w:tcPr>
            <w:tcW w:w="2640" w:type="dxa"/>
            <w:vAlign w:val="bottom"/>
            <w:tcBorders>
              <w:right w:val="single" w:sz="8" w:color="2B4C9B"/>
            </w:tcBorders>
          </w:tcPr>
          <w:p>
            <w:pPr>
              <w:ind w:left="200"/>
              <w:spacing w:after="0"/>
              <w:rPr>
                <w:sz w:val="20"/>
                <w:szCs w:val="20"/>
                <w:color w:val="auto"/>
              </w:rPr>
            </w:pPr>
            <w:r>
              <w:rPr>
                <w:rFonts w:ascii="Arial" w:cs="Arial" w:eastAsia="Arial" w:hAnsi="Arial"/>
                <w:sz w:val="18"/>
                <w:szCs w:val="18"/>
                <w:color w:val="auto"/>
              </w:rPr>
              <w:t>Organizations</w:t>
            </w:r>
          </w:p>
        </w:tc>
        <w:tc>
          <w:tcPr>
            <w:tcW w:w="100" w:type="dxa"/>
            <w:vAlign w:val="bottom"/>
          </w:tcPr>
          <w:p>
            <w:pPr>
              <w:spacing w:after="0"/>
              <w:rPr>
                <w:sz w:val="18"/>
                <w:szCs w:val="18"/>
                <w:color w:val="auto"/>
              </w:rPr>
            </w:pPr>
          </w:p>
        </w:tc>
        <w:tc>
          <w:tcPr>
            <w:tcW w:w="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p>
        </w:tc>
        <w:tc>
          <w:tcPr>
            <w:tcW w:w="2720" w:type="dxa"/>
            <w:vAlign w:val="bottom"/>
            <w:tcBorders>
              <w:right w:val="single" w:sz="8" w:color="2B4C9B"/>
            </w:tcBorders>
            <w:gridSpan w:val="3"/>
          </w:tcPr>
          <w:p>
            <w:pPr>
              <w:ind w:left="20"/>
              <w:spacing w:after="0"/>
              <w:rPr>
                <w:sz w:val="20"/>
                <w:szCs w:val="20"/>
                <w:color w:val="auto"/>
              </w:rPr>
            </w:pPr>
            <w:r>
              <w:rPr>
                <w:rFonts w:ascii="Arial" w:cs="Arial" w:eastAsia="Arial" w:hAnsi="Arial"/>
                <w:sz w:val="18"/>
                <w:szCs w:val="18"/>
                <w:color w:val="auto"/>
              </w:rPr>
              <w:t>   Spotlight Events</w:t>
            </w:r>
          </w:p>
        </w:tc>
        <w:tc>
          <w:tcPr>
            <w:tcW w:w="18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p>
        </w:tc>
        <w:tc>
          <w:tcPr>
            <w:tcW w:w="2620" w:type="dxa"/>
            <w:vAlign w:val="bottom"/>
            <w:tcBorders>
              <w:right w:val="single" w:sz="8" w:color="2B4C9B"/>
            </w:tcBorders>
          </w:tcPr>
          <w:p>
            <w:pPr>
              <w:ind w:left="20"/>
              <w:spacing w:after="0"/>
              <w:rPr>
                <w:sz w:val="20"/>
                <w:szCs w:val="20"/>
                <w:color w:val="auto"/>
              </w:rPr>
            </w:pPr>
            <w:r>
              <w:rPr>
                <w:rFonts w:ascii="Arial" w:cs="Arial" w:eastAsia="Arial" w:hAnsi="Arial"/>
                <w:sz w:val="18"/>
                <w:szCs w:val="18"/>
                <w:color w:val="auto"/>
              </w:rPr>
              <w:t>   Other Employees</w:t>
            </w:r>
          </w:p>
        </w:tc>
        <w:tc>
          <w:tcPr>
            <w:tcW w:w="0" w:type="dxa"/>
            <w:vAlign w:val="bottom"/>
          </w:tcPr>
          <w:p>
            <w:pPr>
              <w:spacing w:after="0"/>
              <w:rPr>
                <w:sz w:val="1"/>
                <w:szCs w:val="1"/>
                <w:color w:val="auto"/>
              </w:rPr>
            </w:pPr>
          </w:p>
        </w:tc>
      </w:tr>
      <w:tr>
        <w:trPr>
          <w:trHeight w:val="161"/>
        </w:trPr>
        <w:tc>
          <w:tcPr>
            <w:tcW w:w="600" w:type="dxa"/>
            <w:vAlign w:val="bottom"/>
            <w:tcBorders>
              <w:left w:val="single" w:sz="8" w:color="2B4C9B"/>
            </w:tcBorders>
          </w:tcPr>
          <w:p>
            <w:pPr>
              <w:ind w:left="440"/>
              <w:spacing w:after="0" w:line="161" w:lineRule="exact"/>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p>
        </w:tc>
        <w:tc>
          <w:tcPr>
            <w:tcW w:w="2640" w:type="dxa"/>
            <w:vAlign w:val="bottom"/>
            <w:tcBorders>
              <w:right w:val="single" w:sz="8" w:color="2B4C9B"/>
            </w:tcBorders>
          </w:tcPr>
          <w:p>
            <w:pPr>
              <w:ind w:left="80"/>
              <w:spacing w:after="0" w:line="161" w:lineRule="exact"/>
              <w:rPr>
                <w:sz w:val="20"/>
                <w:szCs w:val="20"/>
                <w:color w:val="auto"/>
              </w:rPr>
            </w:pPr>
            <w:r>
              <w:rPr>
                <w:rFonts w:ascii="Arial" w:cs="Arial" w:eastAsia="Arial" w:hAnsi="Arial"/>
                <w:sz w:val="18"/>
                <w:szCs w:val="18"/>
                <w:color w:val="auto"/>
              </w:rPr>
              <w:t>   Proxy Advisory Firms</w:t>
            </w:r>
          </w:p>
        </w:tc>
        <w:tc>
          <w:tcPr>
            <w:tcW w:w="100" w:type="dxa"/>
            <w:vAlign w:val="bottom"/>
          </w:tcPr>
          <w:p>
            <w:pPr>
              <w:spacing w:after="0"/>
              <w:rPr>
                <w:sz w:val="13"/>
                <w:szCs w:val="13"/>
                <w:color w:val="auto"/>
              </w:rPr>
            </w:pPr>
          </w:p>
        </w:tc>
        <w:tc>
          <w:tcPr>
            <w:tcW w:w="480" w:type="dxa"/>
            <w:vAlign w:val="bottom"/>
          </w:tcPr>
          <w:p>
            <w:pPr>
              <w:ind w:left="260"/>
              <w:spacing w:after="0" w:line="161" w:lineRule="exact"/>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p>
        </w:tc>
        <w:tc>
          <w:tcPr>
            <w:tcW w:w="2720" w:type="dxa"/>
            <w:vAlign w:val="bottom"/>
            <w:tcBorders>
              <w:right w:val="single" w:sz="8" w:color="2B4C9B"/>
            </w:tcBorders>
            <w:gridSpan w:val="3"/>
          </w:tcPr>
          <w:p>
            <w:pPr>
              <w:ind w:left="20"/>
              <w:spacing w:after="0" w:line="161" w:lineRule="exact"/>
              <w:rPr>
                <w:sz w:val="20"/>
                <w:szCs w:val="20"/>
                <w:color w:val="auto"/>
              </w:rPr>
            </w:pPr>
            <w:r>
              <w:rPr>
                <w:rFonts w:ascii="Arial" w:cs="Arial" w:eastAsia="Arial" w:hAnsi="Arial"/>
                <w:sz w:val="18"/>
                <w:szCs w:val="18"/>
                <w:color w:val="auto"/>
              </w:rPr>
              <w:t>   Annual Shareholder Meeting</w:t>
            </w:r>
          </w:p>
        </w:tc>
        <w:tc>
          <w:tcPr>
            <w:tcW w:w="180" w:type="dxa"/>
            <w:vAlign w:val="bottom"/>
            <w:tcBorders>
              <w:bottom w:val="single" w:sz="8" w:color="2B4C9B"/>
            </w:tcBorders>
          </w:tcPr>
          <w:p>
            <w:pPr>
              <w:spacing w:after="0"/>
              <w:rPr>
                <w:sz w:val="13"/>
                <w:szCs w:val="13"/>
                <w:color w:val="auto"/>
              </w:rPr>
            </w:pPr>
          </w:p>
        </w:tc>
        <w:tc>
          <w:tcPr>
            <w:tcW w:w="400" w:type="dxa"/>
            <w:vAlign w:val="bottom"/>
            <w:tcBorders>
              <w:bottom w:val="single" w:sz="8" w:color="2B4C9B"/>
            </w:tcBorders>
          </w:tcPr>
          <w:p>
            <w:pPr>
              <w:spacing w:after="0"/>
              <w:rPr>
                <w:sz w:val="13"/>
                <w:szCs w:val="13"/>
                <w:color w:val="auto"/>
              </w:rPr>
            </w:pPr>
          </w:p>
        </w:tc>
        <w:tc>
          <w:tcPr>
            <w:tcW w:w="2620" w:type="dxa"/>
            <w:vAlign w:val="bottom"/>
            <w:tcBorders>
              <w:bottom w:val="single" w:sz="8" w:color="2B4C9B"/>
              <w:right w:val="single" w:sz="8" w:color="2B4C9B"/>
            </w:tcBorders>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600" w:type="dxa"/>
            <w:vAlign w:val="bottom"/>
            <w:tcBorders>
              <w:left w:val="single" w:sz="8" w:color="2B4C9B"/>
            </w:tcBorders>
          </w:tcPr>
          <w:p>
            <w:pPr>
              <w:ind w:left="44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p>
        </w:tc>
        <w:tc>
          <w:tcPr>
            <w:tcW w:w="2640" w:type="dxa"/>
            <w:vAlign w:val="bottom"/>
            <w:tcBorders>
              <w:right w:val="single" w:sz="8" w:color="2B4C9B"/>
            </w:tcBorders>
          </w:tcPr>
          <w:p>
            <w:pPr>
              <w:ind w:left="80"/>
              <w:spacing w:after="0"/>
              <w:rPr>
                <w:sz w:val="20"/>
                <w:szCs w:val="20"/>
                <w:color w:val="auto"/>
              </w:rPr>
            </w:pPr>
            <w:r>
              <w:rPr>
                <w:rFonts w:ascii="Arial" w:cs="Arial" w:eastAsia="Arial" w:hAnsi="Arial"/>
                <w:sz w:val="18"/>
                <w:szCs w:val="18"/>
                <w:color w:val="auto"/>
              </w:rPr>
              <w:t>   Environmental, Social, and</w:t>
            </w:r>
          </w:p>
        </w:tc>
        <w:tc>
          <w:tcPr>
            <w:tcW w:w="100" w:type="dxa"/>
            <w:vAlign w:val="bottom"/>
          </w:tcPr>
          <w:p>
            <w:pPr>
              <w:spacing w:after="0"/>
              <w:rPr>
                <w:sz w:val="21"/>
                <w:szCs w:val="21"/>
                <w:color w:val="auto"/>
              </w:rPr>
            </w:pPr>
          </w:p>
        </w:tc>
        <w:tc>
          <w:tcPr>
            <w:tcW w:w="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p>
        </w:tc>
        <w:tc>
          <w:tcPr>
            <w:tcW w:w="2720" w:type="dxa"/>
            <w:vAlign w:val="bottom"/>
            <w:tcBorders>
              <w:right w:val="single" w:sz="8" w:color="2B4C9B"/>
            </w:tcBorders>
            <w:gridSpan w:val="3"/>
          </w:tcPr>
          <w:p>
            <w:pPr>
              <w:ind w:left="20"/>
              <w:spacing w:after="0"/>
              <w:rPr>
                <w:sz w:val="20"/>
                <w:szCs w:val="20"/>
                <w:color w:val="auto"/>
              </w:rPr>
            </w:pPr>
            <w:r>
              <w:rPr>
                <w:rFonts w:ascii="Arial" w:cs="Arial" w:eastAsia="Arial" w:hAnsi="Arial"/>
                <w:sz w:val="18"/>
                <w:szCs w:val="18"/>
                <w:color w:val="auto"/>
              </w:rPr>
              <w:t>   Shareholder Webcasts</w:t>
            </w:r>
          </w:p>
        </w:tc>
        <w:tc>
          <w:tcPr>
            <w:tcW w:w="180" w:type="dxa"/>
            <w:vAlign w:val="bottom"/>
          </w:tcPr>
          <w:p>
            <w:pPr>
              <w:spacing w:after="0"/>
              <w:rPr>
                <w:sz w:val="21"/>
                <w:szCs w:val="21"/>
                <w:color w:val="auto"/>
              </w:rPr>
            </w:pPr>
          </w:p>
        </w:tc>
        <w:tc>
          <w:tcPr>
            <w:tcW w:w="3020" w:type="dxa"/>
            <w:vAlign w:val="bottom"/>
            <w:tcBorders>
              <w:right w:val="single" w:sz="8" w:color="2B4C9B"/>
            </w:tcBorders>
            <w:gridSpan w:val="2"/>
          </w:tcPr>
          <w:p>
            <w:pPr>
              <w:spacing w:after="0"/>
              <w:rPr>
                <w:sz w:val="20"/>
                <w:szCs w:val="20"/>
                <w:color w:val="auto"/>
              </w:rPr>
            </w:pPr>
            <w:r>
              <w:rPr>
                <w:rFonts w:ascii="Arial" w:cs="Arial" w:eastAsia="Arial" w:hAnsi="Arial"/>
                <w:sz w:val="18"/>
                <w:szCs w:val="18"/>
                <w:b w:val="1"/>
                <w:bCs w:val="1"/>
                <w:color w:val="2B4C9B"/>
              </w:rPr>
              <w:t>ESG Engagements:</w:t>
            </w:r>
          </w:p>
        </w:tc>
        <w:tc>
          <w:tcPr>
            <w:tcW w:w="0" w:type="dxa"/>
            <w:vAlign w:val="bottom"/>
          </w:tcPr>
          <w:p>
            <w:pPr>
              <w:spacing w:after="0"/>
              <w:rPr>
                <w:sz w:val="1"/>
                <w:szCs w:val="1"/>
                <w:color w:val="auto"/>
              </w:rPr>
            </w:pPr>
          </w:p>
        </w:tc>
      </w:tr>
      <w:tr>
        <w:trPr>
          <w:trHeight w:val="203"/>
        </w:trPr>
        <w:tc>
          <w:tcPr>
            <w:tcW w:w="600" w:type="dxa"/>
            <w:vAlign w:val="bottom"/>
            <w:tcBorders>
              <w:left w:val="single" w:sz="8" w:color="2B4C9B"/>
            </w:tcBorders>
          </w:tcPr>
          <w:p>
            <w:pPr>
              <w:spacing w:after="0"/>
              <w:rPr>
                <w:sz w:val="17"/>
                <w:szCs w:val="17"/>
                <w:color w:val="auto"/>
              </w:rPr>
            </w:pPr>
          </w:p>
        </w:tc>
        <w:tc>
          <w:tcPr>
            <w:tcW w:w="2640" w:type="dxa"/>
            <w:vAlign w:val="bottom"/>
            <w:tcBorders>
              <w:right w:val="single" w:sz="8" w:color="2B4C9B"/>
            </w:tcBorders>
          </w:tcPr>
          <w:p>
            <w:pPr>
              <w:ind w:left="200"/>
              <w:spacing w:after="0" w:line="202" w:lineRule="exact"/>
              <w:rPr>
                <w:sz w:val="20"/>
                <w:szCs w:val="20"/>
                <w:color w:val="auto"/>
              </w:rPr>
            </w:pPr>
            <w:r>
              <w:rPr>
                <w:rFonts w:ascii="Arial" w:cs="Arial" w:eastAsia="Arial" w:hAnsi="Arial"/>
                <w:sz w:val="18"/>
                <w:szCs w:val="18"/>
                <w:color w:val="auto"/>
              </w:rPr>
              <w:t>Governance (ESG) Rating</w:t>
            </w:r>
          </w:p>
        </w:tc>
        <w:tc>
          <w:tcPr>
            <w:tcW w:w="100" w:type="dxa"/>
            <w:vAlign w:val="bottom"/>
          </w:tcPr>
          <w:p>
            <w:pPr>
              <w:spacing w:after="0"/>
              <w:rPr>
                <w:sz w:val="17"/>
                <w:szCs w:val="17"/>
                <w:color w:val="auto"/>
              </w:rPr>
            </w:pPr>
          </w:p>
        </w:tc>
        <w:tc>
          <w:tcPr>
            <w:tcW w:w="480" w:type="dxa"/>
            <w:vAlign w:val="bottom"/>
          </w:tcPr>
          <w:p>
            <w:pPr>
              <w:ind w:left="260"/>
              <w:spacing w:after="0" w:line="202" w:lineRule="exact"/>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p>
        </w:tc>
        <w:tc>
          <w:tcPr>
            <w:tcW w:w="2720" w:type="dxa"/>
            <w:vAlign w:val="bottom"/>
            <w:tcBorders>
              <w:right w:val="single" w:sz="8" w:color="2B4C9B"/>
            </w:tcBorders>
            <w:gridSpan w:val="3"/>
          </w:tcPr>
          <w:p>
            <w:pPr>
              <w:ind w:left="20"/>
              <w:spacing w:after="0" w:line="202" w:lineRule="exact"/>
              <w:rPr>
                <w:sz w:val="20"/>
                <w:szCs w:val="20"/>
                <w:color w:val="auto"/>
              </w:rPr>
            </w:pPr>
            <w:r>
              <w:rPr>
                <w:rFonts w:ascii="Arial" w:cs="Arial" w:eastAsia="Arial" w:hAnsi="Arial"/>
                <w:sz w:val="18"/>
                <w:szCs w:val="18"/>
                <w:color w:val="auto"/>
              </w:rPr>
              <w:t>   Stakeholder Outreach</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20" w:type="dxa"/>
            <w:vAlign w:val="bottom"/>
            <w:tcBorders>
              <w:right w:val="single" w:sz="8" w:color="2B4C9B"/>
            </w:tcBorders>
            <w:vMerge w:val="restart"/>
          </w:tcPr>
          <w:p>
            <w:pPr>
              <w:ind w:left="220"/>
              <w:spacing w:after="0"/>
              <w:rPr>
                <w:sz w:val="20"/>
                <w:szCs w:val="20"/>
                <w:color w:val="auto"/>
              </w:rPr>
            </w:pPr>
            <w:r>
              <w:rPr>
                <w:rFonts w:ascii="Arial" w:cs="Arial" w:eastAsia="Arial" w:hAnsi="Arial"/>
                <w:sz w:val="25"/>
                <w:szCs w:val="25"/>
                <w:b w:val="1"/>
                <w:bCs w:val="1"/>
                <w:color w:val="auto"/>
              </w:rPr>
              <w:t>88% Increase</w:t>
            </w:r>
          </w:p>
        </w:tc>
        <w:tc>
          <w:tcPr>
            <w:tcW w:w="0" w:type="dxa"/>
            <w:vAlign w:val="bottom"/>
          </w:tcPr>
          <w:p>
            <w:pPr>
              <w:spacing w:after="0"/>
              <w:rPr>
                <w:sz w:val="1"/>
                <w:szCs w:val="1"/>
                <w:color w:val="auto"/>
              </w:rPr>
            </w:pPr>
          </w:p>
        </w:tc>
      </w:tr>
      <w:tr>
        <w:trPr>
          <w:trHeight w:val="189"/>
        </w:trPr>
        <w:tc>
          <w:tcPr>
            <w:tcW w:w="600" w:type="dxa"/>
            <w:vAlign w:val="bottom"/>
            <w:tcBorders>
              <w:left w:val="single" w:sz="8" w:color="2B4C9B"/>
            </w:tcBorders>
          </w:tcPr>
          <w:p>
            <w:pPr>
              <w:spacing w:after="0"/>
              <w:rPr>
                <w:sz w:val="16"/>
                <w:szCs w:val="16"/>
                <w:color w:val="auto"/>
              </w:rPr>
            </w:pPr>
          </w:p>
        </w:tc>
        <w:tc>
          <w:tcPr>
            <w:tcW w:w="2640" w:type="dxa"/>
            <w:vAlign w:val="bottom"/>
            <w:tcBorders>
              <w:right w:val="single" w:sz="8" w:color="2B4C9B"/>
            </w:tcBorders>
          </w:tcPr>
          <w:p>
            <w:pPr>
              <w:ind w:left="200"/>
              <w:spacing w:after="0" w:line="189" w:lineRule="exact"/>
              <w:rPr>
                <w:sz w:val="20"/>
                <w:szCs w:val="20"/>
                <w:color w:val="auto"/>
              </w:rPr>
            </w:pPr>
            <w:r>
              <w:rPr>
                <w:rFonts w:ascii="Arial" w:cs="Arial" w:eastAsia="Arial" w:hAnsi="Arial"/>
                <w:sz w:val="18"/>
                <w:szCs w:val="18"/>
                <w:color w:val="auto"/>
              </w:rPr>
              <w:t>Firms</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40" w:type="dxa"/>
            <w:vAlign w:val="bottom"/>
            <w:tcBorders>
              <w:right w:val="single" w:sz="8" w:color="2B4C9B"/>
            </w:tcBorders>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20" w:type="dxa"/>
            <w:vAlign w:val="bottom"/>
            <w:tcBorders>
              <w:right w:val="single" w:sz="8" w:color="2B4C9B"/>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600" w:type="dxa"/>
            <w:vAlign w:val="bottom"/>
            <w:tcBorders>
              <w:left w:val="single" w:sz="8" w:color="2B4C9B"/>
            </w:tcBorders>
          </w:tcPr>
          <w:p>
            <w:pPr>
              <w:ind w:left="44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p>
        </w:tc>
        <w:tc>
          <w:tcPr>
            <w:tcW w:w="2640" w:type="dxa"/>
            <w:vAlign w:val="bottom"/>
            <w:tcBorders>
              <w:right w:val="single" w:sz="8" w:color="2B4C9B"/>
            </w:tcBorders>
          </w:tcPr>
          <w:p>
            <w:pPr>
              <w:ind w:left="80"/>
              <w:spacing w:after="0"/>
              <w:rPr>
                <w:sz w:val="20"/>
                <w:szCs w:val="20"/>
                <w:color w:val="auto"/>
              </w:rPr>
            </w:pPr>
            <w:r>
              <w:rPr>
                <w:rFonts w:ascii="Arial" w:cs="Arial" w:eastAsia="Arial" w:hAnsi="Arial"/>
                <w:sz w:val="18"/>
                <w:szCs w:val="18"/>
                <w:color w:val="auto"/>
              </w:rPr>
              <w:t>   Industry Thought Leaders</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40" w:type="dxa"/>
            <w:vAlign w:val="bottom"/>
            <w:tcBorders>
              <w:right w:val="single" w:sz="8" w:color="2B4C9B"/>
            </w:tcBorders>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20" w:type="dxa"/>
            <w:vAlign w:val="bottom"/>
            <w:tcBorders>
              <w:right w:val="single" w:sz="8" w:color="2B4C9B"/>
            </w:tcBorders>
          </w:tcPr>
          <w:p>
            <w:pPr>
              <w:ind w:left="600"/>
              <w:spacing w:after="0"/>
              <w:rPr>
                <w:sz w:val="20"/>
                <w:szCs w:val="20"/>
                <w:color w:val="auto"/>
              </w:rPr>
            </w:pPr>
            <w:r>
              <w:rPr>
                <w:rFonts w:ascii="Arial" w:cs="Arial" w:eastAsia="Arial" w:hAnsi="Arial"/>
                <w:sz w:val="18"/>
                <w:szCs w:val="18"/>
                <w:color w:val="auto"/>
              </w:rPr>
              <w:t>since 2017</w:t>
            </w:r>
          </w:p>
        </w:tc>
        <w:tc>
          <w:tcPr>
            <w:tcW w:w="0" w:type="dxa"/>
            <w:vAlign w:val="bottom"/>
          </w:tcPr>
          <w:p>
            <w:pPr>
              <w:spacing w:after="0"/>
              <w:rPr>
                <w:sz w:val="1"/>
                <w:szCs w:val="1"/>
                <w:color w:val="auto"/>
              </w:rPr>
            </w:pPr>
          </w:p>
        </w:tc>
      </w:tr>
      <w:tr>
        <w:trPr>
          <w:trHeight w:val="111"/>
        </w:trPr>
        <w:tc>
          <w:tcPr>
            <w:tcW w:w="3240" w:type="dxa"/>
            <w:vAlign w:val="bottom"/>
            <w:tcBorders>
              <w:left w:val="single" w:sz="8" w:color="2B4C9B"/>
              <w:bottom w:val="single" w:sz="8" w:color="2B4C9B"/>
              <w:right w:val="single" w:sz="8" w:color="2B4C9B"/>
            </w:tcBorders>
            <w:gridSpan w:val="2"/>
          </w:tcPr>
          <w:p>
            <w:pPr>
              <w:spacing w:after="0"/>
              <w:rPr>
                <w:sz w:val="9"/>
                <w:szCs w:val="9"/>
                <w:color w:val="auto"/>
              </w:rPr>
            </w:pPr>
          </w:p>
        </w:tc>
        <w:tc>
          <w:tcPr>
            <w:tcW w:w="580" w:type="dxa"/>
            <w:vAlign w:val="bottom"/>
            <w:tcBorders>
              <w:bottom w:val="single" w:sz="8" w:color="2B4C9B"/>
            </w:tcBorders>
            <w:gridSpan w:val="2"/>
          </w:tcPr>
          <w:p>
            <w:pPr>
              <w:spacing w:after="0"/>
              <w:rPr>
                <w:sz w:val="9"/>
                <w:szCs w:val="9"/>
                <w:color w:val="auto"/>
              </w:rPr>
            </w:pPr>
          </w:p>
        </w:tc>
        <w:tc>
          <w:tcPr>
            <w:tcW w:w="280" w:type="dxa"/>
            <w:vAlign w:val="bottom"/>
            <w:tcBorders>
              <w:bottom w:val="single" w:sz="8" w:color="2B4C9B"/>
            </w:tcBorders>
          </w:tcPr>
          <w:p>
            <w:pPr>
              <w:spacing w:after="0"/>
              <w:rPr>
                <w:sz w:val="9"/>
                <w:szCs w:val="9"/>
                <w:color w:val="auto"/>
              </w:rPr>
            </w:pPr>
          </w:p>
        </w:tc>
        <w:tc>
          <w:tcPr>
            <w:tcW w:w="2440" w:type="dxa"/>
            <w:vAlign w:val="bottom"/>
            <w:tcBorders>
              <w:bottom w:val="single" w:sz="8" w:color="2B4C9B"/>
              <w:right w:val="single" w:sz="8" w:color="2B4C9B"/>
            </w:tcBorders>
            <w:gridSpan w:val="2"/>
          </w:tcPr>
          <w:p>
            <w:pPr>
              <w:spacing w:after="0"/>
              <w:rPr>
                <w:sz w:val="9"/>
                <w:szCs w:val="9"/>
                <w:color w:val="auto"/>
              </w:rPr>
            </w:pPr>
          </w:p>
        </w:tc>
        <w:tc>
          <w:tcPr>
            <w:tcW w:w="180" w:type="dxa"/>
            <w:vAlign w:val="bottom"/>
            <w:tcBorders>
              <w:bottom w:val="single" w:sz="8" w:color="2B4C9B"/>
            </w:tcBorders>
          </w:tcPr>
          <w:p>
            <w:pPr>
              <w:spacing w:after="0"/>
              <w:rPr>
                <w:sz w:val="9"/>
                <w:szCs w:val="9"/>
                <w:color w:val="auto"/>
              </w:rPr>
            </w:pPr>
          </w:p>
        </w:tc>
        <w:tc>
          <w:tcPr>
            <w:tcW w:w="400" w:type="dxa"/>
            <w:vAlign w:val="bottom"/>
            <w:tcBorders>
              <w:bottom w:val="single" w:sz="8" w:color="2B4C9B"/>
            </w:tcBorders>
          </w:tcPr>
          <w:p>
            <w:pPr>
              <w:spacing w:after="0"/>
              <w:rPr>
                <w:sz w:val="9"/>
                <w:szCs w:val="9"/>
                <w:color w:val="auto"/>
              </w:rPr>
            </w:pPr>
          </w:p>
        </w:tc>
        <w:tc>
          <w:tcPr>
            <w:tcW w:w="2620" w:type="dxa"/>
            <w:vAlign w:val="bottom"/>
            <w:tcBorders>
              <w:bottom w:val="single" w:sz="8" w:color="2B4C9B"/>
              <w:right w:val="single" w:sz="8" w:color="2B4C9B"/>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820" w:type="dxa"/>
            <w:vAlign w:val="bottom"/>
            <w:tcBorders>
              <w:left w:val="single" w:sz="8" w:color="2B4C9B"/>
            </w:tcBorders>
            <w:gridSpan w:val="4"/>
          </w:tcPr>
          <w:p>
            <w:pPr>
              <w:ind w:left="260"/>
              <w:spacing w:after="0"/>
              <w:rPr>
                <w:sz w:val="20"/>
                <w:szCs w:val="20"/>
                <w:color w:val="auto"/>
              </w:rPr>
            </w:pPr>
            <w:r>
              <w:rPr>
                <w:rFonts w:ascii="Arial" w:cs="Arial" w:eastAsia="Arial" w:hAnsi="Arial"/>
                <w:sz w:val="18"/>
                <w:szCs w:val="18"/>
                <w:b w:val="1"/>
                <w:bCs w:val="1"/>
                <w:color w:val="2B4C9B"/>
                <w:w w:val="99"/>
              </w:rPr>
              <w:t>Engaged with shareholders representing:</w:t>
            </w:r>
          </w:p>
        </w:tc>
        <w:tc>
          <w:tcPr>
            <w:tcW w:w="280" w:type="dxa"/>
            <w:vAlign w:val="bottom"/>
            <w:tcBorders>
              <w:right w:val="single" w:sz="8" w:color="2B4C9B"/>
            </w:tcBorders>
          </w:tcPr>
          <w:p>
            <w:pPr>
              <w:spacing w:after="0"/>
              <w:rPr>
                <w:sz w:val="24"/>
                <w:szCs w:val="24"/>
                <w:color w:val="auto"/>
              </w:rPr>
            </w:pPr>
          </w:p>
        </w:tc>
        <w:tc>
          <w:tcPr>
            <w:tcW w:w="2620" w:type="dxa"/>
            <w:vAlign w:val="bottom"/>
            <w:gridSpan w:val="3"/>
          </w:tcPr>
          <w:p>
            <w:pPr>
              <w:ind w:left="180"/>
              <w:spacing w:after="0"/>
              <w:rPr>
                <w:sz w:val="20"/>
                <w:szCs w:val="20"/>
                <w:color w:val="auto"/>
              </w:rPr>
            </w:pPr>
            <w:r>
              <w:rPr>
                <w:rFonts w:ascii="Arial" w:cs="Arial" w:eastAsia="Arial" w:hAnsi="Arial"/>
                <w:sz w:val="18"/>
                <w:szCs w:val="18"/>
                <w:b w:val="1"/>
                <w:bCs w:val="1"/>
                <w:color w:val="2B4C9B"/>
                <w:w w:val="99"/>
              </w:rPr>
              <w:t>Information shared through:</w:t>
            </w:r>
          </w:p>
        </w:tc>
        <w:tc>
          <w:tcPr>
            <w:tcW w:w="400" w:type="dxa"/>
            <w:vAlign w:val="bottom"/>
          </w:tcPr>
          <w:p>
            <w:pPr>
              <w:spacing w:after="0"/>
              <w:rPr>
                <w:sz w:val="24"/>
                <w:szCs w:val="24"/>
                <w:color w:val="auto"/>
              </w:rPr>
            </w:pPr>
          </w:p>
        </w:tc>
        <w:tc>
          <w:tcPr>
            <w:tcW w:w="2620" w:type="dxa"/>
            <w:vAlign w:val="bottom"/>
            <w:tcBorders>
              <w:right w:val="single" w:sz="8" w:color="2B4C9B"/>
            </w:tcBorders>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600" w:type="dxa"/>
            <w:vAlign w:val="bottom"/>
            <w:tcBorders>
              <w:left w:val="single" w:sz="8" w:color="2B4C9B"/>
            </w:tcBorders>
          </w:tcPr>
          <w:p>
            <w:pPr>
              <w:spacing w:after="0"/>
              <w:rPr>
                <w:sz w:val="24"/>
                <w:szCs w:val="24"/>
                <w:color w:val="auto"/>
              </w:rPr>
            </w:pPr>
          </w:p>
        </w:tc>
        <w:tc>
          <w:tcPr>
            <w:tcW w:w="2740" w:type="dxa"/>
            <w:vAlign w:val="bottom"/>
            <w:gridSpan w:val="2"/>
          </w:tcPr>
          <w:p>
            <w:pPr>
              <w:jc w:val="center"/>
              <w:ind w:left="227"/>
              <w:spacing w:after="0"/>
              <w:rPr>
                <w:sz w:val="20"/>
                <w:szCs w:val="20"/>
                <w:color w:val="auto"/>
              </w:rPr>
            </w:pPr>
            <w:r>
              <w:rPr>
                <w:rFonts w:ascii="Arial" w:cs="Arial" w:eastAsia="Arial" w:hAnsi="Arial"/>
                <w:sz w:val="25"/>
                <w:szCs w:val="25"/>
                <w:b w:val="1"/>
                <w:bCs w:val="1"/>
                <w:color w:val="auto"/>
              </w:rPr>
              <w:t>~ 1.7 billion shares</w:t>
            </w:r>
          </w:p>
        </w:tc>
        <w:tc>
          <w:tcPr>
            <w:tcW w:w="480" w:type="dxa"/>
            <w:vAlign w:val="bottom"/>
          </w:tcPr>
          <w:p>
            <w:pPr>
              <w:spacing w:after="0"/>
              <w:rPr>
                <w:sz w:val="24"/>
                <w:szCs w:val="24"/>
                <w:color w:val="auto"/>
              </w:rPr>
            </w:pPr>
          </w:p>
        </w:tc>
        <w:tc>
          <w:tcPr>
            <w:tcW w:w="280" w:type="dxa"/>
            <w:vAlign w:val="bottom"/>
            <w:tcBorders>
              <w:right w:val="single" w:sz="8" w:color="2B4C9B"/>
            </w:tcBorders>
          </w:tcPr>
          <w:p>
            <w:pPr>
              <w:spacing w:after="0"/>
              <w:rPr>
                <w:sz w:val="24"/>
                <w:szCs w:val="24"/>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p>
        </w:tc>
        <w:tc>
          <w:tcPr>
            <w:tcW w:w="2020" w:type="dxa"/>
            <w:vAlign w:val="bottom"/>
            <w:gridSpan w:val="2"/>
          </w:tcPr>
          <w:p>
            <w:pPr>
              <w:spacing w:after="0"/>
              <w:rPr>
                <w:sz w:val="20"/>
                <w:szCs w:val="20"/>
                <w:color w:val="auto"/>
              </w:rPr>
            </w:pPr>
            <w:r>
              <w:rPr>
                <w:rFonts w:ascii="Arial" w:cs="Arial" w:eastAsia="Arial" w:hAnsi="Arial"/>
                <w:sz w:val="18"/>
                <w:szCs w:val="18"/>
                <w:color w:val="auto"/>
              </w:rPr>
              <w:t>   SEC Filings</w:t>
            </w:r>
          </w:p>
        </w:tc>
        <w:tc>
          <w:tcPr>
            <w:tcW w:w="4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70"/>
              </w:rPr>
              <w:t>•</w:t>
            </w:r>
            <w:r>
              <w:rPr>
                <w:rFonts w:ascii="Arial" w:cs="Arial" w:eastAsia="Arial" w:hAnsi="Arial"/>
                <w:sz w:val="18"/>
                <w:szCs w:val="18"/>
                <w:color w:val="auto"/>
                <w:w w:val="70"/>
              </w:rPr>
              <w:t xml:space="preserve"> </w:t>
            </w:r>
          </w:p>
        </w:tc>
        <w:tc>
          <w:tcPr>
            <w:tcW w:w="2620" w:type="dxa"/>
            <w:vAlign w:val="bottom"/>
            <w:tcBorders>
              <w:right w:val="single" w:sz="8" w:color="2B4C9B"/>
            </w:tcBorders>
          </w:tcPr>
          <w:p>
            <w:pPr>
              <w:ind w:left="140"/>
              <w:spacing w:after="0"/>
              <w:rPr>
                <w:sz w:val="20"/>
                <w:szCs w:val="20"/>
                <w:color w:val="auto"/>
              </w:rPr>
            </w:pPr>
            <w:r>
              <w:rPr>
                <w:rFonts w:ascii="Arial" w:cs="Arial" w:eastAsia="Arial" w:hAnsi="Arial"/>
                <w:sz w:val="18"/>
                <w:szCs w:val="18"/>
                <w:color w:val="auto"/>
                <w:w w:val="98"/>
              </w:rPr>
              <w:t>   Advancing Climate Solutions</w:t>
            </w:r>
          </w:p>
        </w:tc>
        <w:tc>
          <w:tcPr>
            <w:tcW w:w="0" w:type="dxa"/>
            <w:vAlign w:val="bottom"/>
          </w:tcPr>
          <w:p>
            <w:pPr>
              <w:spacing w:after="0"/>
              <w:rPr>
                <w:sz w:val="1"/>
                <w:szCs w:val="1"/>
                <w:color w:val="auto"/>
              </w:rPr>
            </w:pPr>
          </w:p>
        </w:tc>
      </w:tr>
      <w:tr>
        <w:trPr>
          <w:trHeight w:val="170"/>
        </w:trPr>
        <w:tc>
          <w:tcPr>
            <w:tcW w:w="4100" w:type="dxa"/>
            <w:vAlign w:val="bottom"/>
            <w:tcBorders>
              <w:left w:val="single" w:sz="8" w:color="2B4C9B"/>
              <w:right w:val="single" w:sz="8" w:color="2B4C9B"/>
            </w:tcBorders>
            <w:gridSpan w:val="5"/>
            <w:vMerge w:val="restart"/>
          </w:tcPr>
          <w:p>
            <w:pPr>
              <w:jc w:val="center"/>
              <w:ind w:left="47"/>
              <w:spacing w:after="0"/>
              <w:rPr>
                <w:sz w:val="20"/>
                <w:szCs w:val="20"/>
                <w:color w:val="auto"/>
              </w:rPr>
            </w:pPr>
            <w:r>
              <w:rPr>
                <w:rFonts w:ascii="Arial" w:cs="Arial" w:eastAsia="Arial" w:hAnsi="Arial"/>
                <w:sz w:val="22"/>
                <w:szCs w:val="22"/>
                <w:b w:val="1"/>
                <w:bCs w:val="1"/>
                <w:color w:val="2B4C9B"/>
                <w:w w:val="97"/>
              </w:rPr>
              <w:t>~ 42% of total outstanding shares</w:t>
            </w:r>
          </w:p>
        </w:tc>
        <w:tc>
          <w:tcPr>
            <w:tcW w:w="600" w:type="dxa"/>
            <w:vAlign w:val="bottom"/>
          </w:tcPr>
          <w:p>
            <w:pPr>
              <w:ind w:left="360"/>
              <w:spacing w:after="0" w:line="170" w:lineRule="exact"/>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p>
        </w:tc>
        <w:tc>
          <w:tcPr>
            <w:tcW w:w="2020" w:type="dxa"/>
            <w:vAlign w:val="bottom"/>
            <w:gridSpan w:val="2"/>
          </w:tcPr>
          <w:p>
            <w:pPr>
              <w:spacing w:after="0" w:line="170" w:lineRule="exact"/>
              <w:rPr>
                <w:sz w:val="20"/>
                <w:szCs w:val="20"/>
                <w:color w:val="auto"/>
              </w:rPr>
            </w:pPr>
            <w:r>
              <w:rPr>
                <w:rFonts w:ascii="Arial" w:cs="Arial" w:eastAsia="Arial" w:hAnsi="Arial"/>
                <w:sz w:val="18"/>
                <w:szCs w:val="18"/>
                <w:color w:val="auto"/>
              </w:rPr>
              <w:t>   Press Releases</w:t>
            </w:r>
          </w:p>
        </w:tc>
        <w:tc>
          <w:tcPr>
            <w:tcW w:w="400" w:type="dxa"/>
            <w:vAlign w:val="bottom"/>
          </w:tcPr>
          <w:p>
            <w:pPr>
              <w:spacing w:after="0"/>
              <w:rPr>
                <w:sz w:val="14"/>
                <w:szCs w:val="14"/>
                <w:color w:val="auto"/>
              </w:rPr>
            </w:pPr>
          </w:p>
        </w:tc>
        <w:tc>
          <w:tcPr>
            <w:tcW w:w="2620" w:type="dxa"/>
            <w:vAlign w:val="bottom"/>
            <w:tcBorders>
              <w:right w:val="single" w:sz="8" w:color="2B4C9B"/>
            </w:tcBorders>
          </w:tcPr>
          <w:p>
            <w:pPr>
              <w:ind w:left="260"/>
              <w:spacing w:after="0" w:line="170" w:lineRule="exact"/>
              <w:rPr>
                <w:sz w:val="20"/>
                <w:szCs w:val="20"/>
                <w:color w:val="auto"/>
              </w:rPr>
            </w:pPr>
            <w:r>
              <w:rPr>
                <w:rFonts w:ascii="Arial" w:cs="Arial" w:eastAsia="Arial" w:hAnsi="Arial"/>
                <w:sz w:val="18"/>
                <w:szCs w:val="18"/>
                <w:color w:val="auto"/>
              </w:rPr>
              <w:t>report</w:t>
            </w:r>
          </w:p>
        </w:tc>
        <w:tc>
          <w:tcPr>
            <w:tcW w:w="0" w:type="dxa"/>
            <w:vAlign w:val="bottom"/>
          </w:tcPr>
          <w:p>
            <w:pPr>
              <w:spacing w:after="0"/>
              <w:rPr>
                <w:sz w:val="1"/>
                <w:szCs w:val="1"/>
                <w:color w:val="auto"/>
              </w:rPr>
            </w:pPr>
          </w:p>
        </w:tc>
      </w:tr>
      <w:tr>
        <w:trPr>
          <w:trHeight w:val="203"/>
        </w:trPr>
        <w:tc>
          <w:tcPr>
            <w:tcW w:w="4100" w:type="dxa"/>
            <w:vAlign w:val="bottom"/>
            <w:tcBorders>
              <w:left w:val="single" w:sz="8" w:color="2B4C9B"/>
              <w:right w:val="single" w:sz="8" w:color="2B4C9B"/>
            </w:tcBorders>
            <w:gridSpan w:val="5"/>
            <w:vMerge w:val="continue"/>
          </w:tcPr>
          <w:p>
            <w:pPr>
              <w:spacing w:after="0"/>
              <w:rPr>
                <w:sz w:val="17"/>
                <w:szCs w:val="17"/>
                <w:color w:val="auto"/>
              </w:rPr>
            </w:pPr>
          </w:p>
        </w:tc>
        <w:tc>
          <w:tcPr>
            <w:tcW w:w="600" w:type="dxa"/>
            <w:vAlign w:val="bottom"/>
          </w:tcPr>
          <w:p>
            <w:pPr>
              <w:ind w:left="360"/>
              <w:spacing w:after="0" w:line="202" w:lineRule="exact"/>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p>
        </w:tc>
        <w:tc>
          <w:tcPr>
            <w:tcW w:w="2020" w:type="dxa"/>
            <w:vAlign w:val="bottom"/>
            <w:gridSpan w:val="2"/>
          </w:tcPr>
          <w:p>
            <w:pPr>
              <w:spacing w:after="0" w:line="202" w:lineRule="exact"/>
              <w:rPr>
                <w:sz w:val="20"/>
                <w:szCs w:val="20"/>
                <w:color w:val="auto"/>
              </w:rPr>
            </w:pPr>
            <w:r>
              <w:rPr>
                <w:rFonts w:ascii="Arial" w:cs="Arial" w:eastAsia="Arial" w:hAnsi="Arial"/>
                <w:sz w:val="18"/>
                <w:szCs w:val="18"/>
                <w:color w:val="auto"/>
              </w:rPr>
              <w:t>   Annual Report</w:t>
            </w:r>
          </w:p>
        </w:tc>
        <w:tc>
          <w:tcPr>
            <w:tcW w:w="40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w w:val="70"/>
              </w:rPr>
              <w:t>•</w:t>
            </w:r>
            <w:r>
              <w:rPr>
                <w:rFonts w:ascii="Arial" w:cs="Arial" w:eastAsia="Arial" w:hAnsi="Arial"/>
                <w:sz w:val="18"/>
                <w:szCs w:val="18"/>
                <w:color w:val="auto"/>
                <w:w w:val="70"/>
              </w:rPr>
              <w:t xml:space="preserve"> </w:t>
            </w:r>
          </w:p>
        </w:tc>
        <w:tc>
          <w:tcPr>
            <w:tcW w:w="2620" w:type="dxa"/>
            <w:vAlign w:val="bottom"/>
            <w:tcBorders>
              <w:right w:val="single" w:sz="8" w:color="2B4C9B"/>
            </w:tcBorders>
          </w:tcPr>
          <w:p>
            <w:pPr>
              <w:ind w:left="140"/>
              <w:spacing w:after="0" w:line="202" w:lineRule="exact"/>
              <w:rPr>
                <w:sz w:val="20"/>
                <w:szCs w:val="20"/>
                <w:color w:val="auto"/>
              </w:rPr>
            </w:pPr>
            <w:r>
              <w:rPr>
                <w:rFonts w:ascii="Arial" w:cs="Arial" w:eastAsia="Arial" w:hAnsi="Arial"/>
                <w:sz w:val="18"/>
                <w:szCs w:val="18"/>
                <w:color w:val="auto"/>
              </w:rPr>
              <w:t>   Sustainability Report</w:t>
            </w:r>
          </w:p>
        </w:tc>
        <w:tc>
          <w:tcPr>
            <w:tcW w:w="0" w:type="dxa"/>
            <w:vAlign w:val="bottom"/>
          </w:tcPr>
          <w:p>
            <w:pPr>
              <w:spacing w:after="0"/>
              <w:rPr>
                <w:sz w:val="1"/>
                <w:szCs w:val="1"/>
                <w:color w:val="auto"/>
              </w:rPr>
            </w:pPr>
          </w:p>
        </w:tc>
      </w:tr>
      <w:tr>
        <w:trPr>
          <w:trHeight w:val="208"/>
        </w:trPr>
        <w:tc>
          <w:tcPr>
            <w:tcW w:w="600" w:type="dxa"/>
            <w:vAlign w:val="bottom"/>
            <w:tcBorders>
              <w:left w:val="single" w:sz="8" w:color="2B4C9B"/>
            </w:tcBorders>
          </w:tcPr>
          <w:p>
            <w:pPr>
              <w:spacing w:after="0"/>
              <w:rPr>
                <w:sz w:val="18"/>
                <w:szCs w:val="18"/>
                <w:color w:val="auto"/>
              </w:rPr>
            </w:pPr>
          </w:p>
        </w:tc>
        <w:tc>
          <w:tcPr>
            <w:tcW w:w="2740" w:type="dxa"/>
            <w:vAlign w:val="bottom"/>
            <w:gridSpan w:val="2"/>
          </w:tcPr>
          <w:p>
            <w:pPr>
              <w:jc w:val="center"/>
              <w:ind w:left="227"/>
              <w:spacing w:after="0"/>
              <w:rPr>
                <w:sz w:val="20"/>
                <w:szCs w:val="20"/>
                <w:color w:val="auto"/>
              </w:rPr>
            </w:pPr>
            <w:r>
              <w:rPr>
                <w:rFonts w:ascii="Arial" w:cs="Arial" w:eastAsia="Arial" w:hAnsi="Arial"/>
                <w:sz w:val="18"/>
                <w:szCs w:val="18"/>
                <w:color w:val="auto"/>
                <w:w w:val="99"/>
              </w:rPr>
              <w:t>and</w:t>
            </w:r>
          </w:p>
        </w:tc>
        <w:tc>
          <w:tcPr>
            <w:tcW w:w="480" w:type="dxa"/>
            <w:vAlign w:val="bottom"/>
          </w:tcPr>
          <w:p>
            <w:pPr>
              <w:spacing w:after="0"/>
              <w:rPr>
                <w:sz w:val="18"/>
                <w:szCs w:val="18"/>
                <w:color w:val="auto"/>
              </w:rPr>
            </w:pPr>
          </w:p>
        </w:tc>
        <w:tc>
          <w:tcPr>
            <w:tcW w:w="280" w:type="dxa"/>
            <w:vAlign w:val="bottom"/>
            <w:tcBorders>
              <w:right w:val="single" w:sz="8" w:color="2B4C9B"/>
            </w:tcBorders>
          </w:tcPr>
          <w:p>
            <w:pPr>
              <w:spacing w:after="0"/>
              <w:rPr>
                <w:sz w:val="18"/>
                <w:szCs w:val="18"/>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p>
        </w:tc>
        <w:tc>
          <w:tcPr>
            <w:tcW w:w="2020" w:type="dxa"/>
            <w:vAlign w:val="bottom"/>
            <w:gridSpan w:val="2"/>
          </w:tcPr>
          <w:p>
            <w:pPr>
              <w:spacing w:after="0"/>
              <w:rPr>
                <w:sz w:val="20"/>
                <w:szCs w:val="20"/>
                <w:color w:val="auto"/>
              </w:rPr>
            </w:pPr>
            <w:r>
              <w:rPr>
                <w:rFonts w:ascii="Arial" w:cs="Arial" w:eastAsia="Arial" w:hAnsi="Arial"/>
                <w:sz w:val="18"/>
                <w:szCs w:val="18"/>
                <w:color w:val="auto"/>
              </w:rPr>
              <w:t>   Company Website</w:t>
            </w:r>
          </w:p>
        </w:tc>
        <w:tc>
          <w:tcPr>
            <w:tcW w:w="4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70"/>
              </w:rPr>
              <w:t>•</w:t>
            </w:r>
            <w:r>
              <w:rPr>
                <w:rFonts w:ascii="Arial" w:cs="Arial" w:eastAsia="Arial" w:hAnsi="Arial"/>
                <w:sz w:val="18"/>
                <w:szCs w:val="18"/>
                <w:color w:val="auto"/>
                <w:w w:val="70"/>
              </w:rPr>
              <w:t xml:space="preserve"> </w:t>
            </w:r>
          </w:p>
        </w:tc>
        <w:tc>
          <w:tcPr>
            <w:tcW w:w="2620" w:type="dxa"/>
            <w:vAlign w:val="bottom"/>
            <w:tcBorders>
              <w:right w:val="single" w:sz="8" w:color="2B4C9B"/>
            </w:tcBorders>
          </w:tcPr>
          <w:p>
            <w:pPr>
              <w:ind w:left="140"/>
              <w:spacing w:after="0"/>
              <w:rPr>
                <w:sz w:val="20"/>
                <w:szCs w:val="20"/>
                <w:color w:val="auto"/>
              </w:rPr>
            </w:pPr>
            <w:r>
              <w:rPr>
                <w:rFonts w:ascii="Arial" w:cs="Arial" w:eastAsia="Arial" w:hAnsi="Arial"/>
                <w:sz w:val="18"/>
                <w:szCs w:val="18"/>
                <w:color w:val="auto"/>
              </w:rPr>
              <w:t>   Perspectives Blog</w:t>
            </w:r>
          </w:p>
        </w:tc>
        <w:tc>
          <w:tcPr>
            <w:tcW w:w="0" w:type="dxa"/>
            <w:vAlign w:val="bottom"/>
          </w:tcPr>
          <w:p>
            <w:pPr>
              <w:spacing w:after="0"/>
              <w:rPr>
                <w:sz w:val="1"/>
                <w:szCs w:val="1"/>
                <w:color w:val="auto"/>
              </w:rPr>
            </w:pPr>
          </w:p>
        </w:tc>
      </w:tr>
      <w:tr>
        <w:trPr>
          <w:trHeight w:val="238"/>
        </w:trPr>
        <w:tc>
          <w:tcPr>
            <w:tcW w:w="4100" w:type="dxa"/>
            <w:vAlign w:val="bottom"/>
            <w:tcBorders>
              <w:left w:val="single" w:sz="8" w:color="2B4C9B"/>
              <w:right w:val="single" w:sz="8" w:color="2B4C9B"/>
            </w:tcBorders>
            <w:gridSpan w:val="5"/>
          </w:tcPr>
          <w:p>
            <w:pPr>
              <w:jc w:val="center"/>
              <w:ind w:left="67"/>
              <w:spacing w:after="0" w:line="238" w:lineRule="exact"/>
              <w:rPr>
                <w:sz w:val="20"/>
                <w:szCs w:val="20"/>
                <w:color w:val="auto"/>
              </w:rPr>
            </w:pPr>
            <w:r>
              <w:rPr>
                <w:rFonts w:ascii="Arial" w:cs="Arial" w:eastAsia="Arial" w:hAnsi="Arial"/>
                <w:sz w:val="22"/>
                <w:szCs w:val="22"/>
                <w:b w:val="1"/>
                <w:bCs w:val="1"/>
                <w:color w:val="2B4C9B"/>
                <w:w w:val="98"/>
              </w:rPr>
              <w:t>~ 69% of institutional shareholdings</w:t>
            </w: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p>
        </w:tc>
        <w:tc>
          <w:tcPr>
            <w:tcW w:w="2020" w:type="dxa"/>
            <w:vAlign w:val="bottom"/>
            <w:gridSpan w:val="2"/>
          </w:tcPr>
          <w:p>
            <w:pPr>
              <w:spacing w:after="0"/>
              <w:rPr>
                <w:sz w:val="20"/>
                <w:szCs w:val="20"/>
                <w:color w:val="auto"/>
              </w:rPr>
            </w:pPr>
            <w:r>
              <w:rPr>
                <w:rFonts w:ascii="Arial" w:cs="Arial" w:eastAsia="Arial" w:hAnsi="Arial"/>
                <w:sz w:val="18"/>
                <w:szCs w:val="18"/>
                <w:color w:val="auto"/>
                <w:w w:val="99"/>
              </w:rPr>
              <w:t>   Energy Factor Website</w:t>
            </w:r>
          </w:p>
        </w:tc>
        <w:tc>
          <w:tcPr>
            <w:tcW w:w="4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70"/>
              </w:rPr>
              <w:t>•</w:t>
            </w:r>
            <w:r>
              <w:rPr>
                <w:rFonts w:ascii="Arial" w:cs="Arial" w:eastAsia="Arial" w:hAnsi="Arial"/>
                <w:sz w:val="18"/>
                <w:szCs w:val="18"/>
                <w:color w:val="auto"/>
                <w:w w:val="70"/>
              </w:rPr>
              <w:t xml:space="preserve"> </w:t>
            </w:r>
          </w:p>
        </w:tc>
        <w:tc>
          <w:tcPr>
            <w:tcW w:w="2620" w:type="dxa"/>
            <w:vAlign w:val="bottom"/>
            <w:tcBorders>
              <w:right w:val="single" w:sz="8" w:color="2B4C9B"/>
            </w:tcBorders>
          </w:tcPr>
          <w:p>
            <w:pPr>
              <w:ind w:left="140"/>
              <w:spacing w:after="0"/>
              <w:rPr>
                <w:sz w:val="20"/>
                <w:szCs w:val="20"/>
                <w:color w:val="auto"/>
              </w:rPr>
            </w:pPr>
            <w:r>
              <w:rPr>
                <w:rFonts w:ascii="Arial" w:cs="Arial" w:eastAsia="Arial" w:hAnsi="Arial"/>
                <w:sz w:val="18"/>
                <w:szCs w:val="18"/>
                <w:color w:val="auto"/>
              </w:rPr>
              <w:t>   Lobbying Report</w:t>
            </w:r>
          </w:p>
        </w:tc>
        <w:tc>
          <w:tcPr>
            <w:tcW w:w="0" w:type="dxa"/>
            <w:vAlign w:val="bottom"/>
          </w:tcPr>
          <w:p>
            <w:pPr>
              <w:spacing w:after="0"/>
              <w:rPr>
                <w:sz w:val="1"/>
                <w:szCs w:val="1"/>
                <w:color w:val="auto"/>
              </w:rPr>
            </w:pPr>
          </w:p>
        </w:tc>
      </w:tr>
      <w:tr>
        <w:trPr>
          <w:trHeight w:val="230"/>
        </w:trPr>
        <w:tc>
          <w:tcPr>
            <w:tcW w:w="600" w:type="dxa"/>
            <w:vAlign w:val="bottom"/>
            <w:tcBorders>
              <w:left w:val="single" w:sz="8" w:color="2B4C9B"/>
            </w:tcBorders>
          </w:tcPr>
          <w:p>
            <w:pPr>
              <w:spacing w:after="0"/>
              <w:rPr>
                <w:sz w:val="19"/>
                <w:szCs w:val="19"/>
                <w:color w:val="auto"/>
              </w:rPr>
            </w:pP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Borders>
              <w:right w:val="single" w:sz="8" w:color="2B4C9B"/>
            </w:tcBorders>
          </w:tcPr>
          <w:p>
            <w:pPr>
              <w:spacing w:after="0"/>
              <w:rPr>
                <w:sz w:val="19"/>
                <w:szCs w:val="19"/>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p>
        </w:tc>
        <w:tc>
          <w:tcPr>
            <w:tcW w:w="2020" w:type="dxa"/>
            <w:vAlign w:val="bottom"/>
            <w:gridSpan w:val="2"/>
          </w:tcPr>
          <w:p>
            <w:pPr>
              <w:spacing w:after="0"/>
              <w:rPr>
                <w:sz w:val="20"/>
                <w:szCs w:val="20"/>
                <w:color w:val="auto"/>
              </w:rPr>
            </w:pPr>
            <w:r>
              <w:rPr>
                <w:rFonts w:ascii="Arial" w:cs="Arial" w:eastAsia="Arial" w:hAnsi="Arial"/>
                <w:sz w:val="18"/>
                <w:szCs w:val="18"/>
                <w:color w:val="auto"/>
              </w:rPr>
              <w:t>   Investing in People</w:t>
            </w:r>
          </w:p>
        </w:tc>
        <w:tc>
          <w:tcPr>
            <w:tcW w:w="4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70"/>
              </w:rPr>
              <w:t>•</w:t>
            </w:r>
            <w:r>
              <w:rPr>
                <w:rFonts w:ascii="Arial" w:cs="Arial" w:eastAsia="Arial" w:hAnsi="Arial"/>
                <w:sz w:val="18"/>
                <w:szCs w:val="18"/>
                <w:color w:val="auto"/>
                <w:w w:val="70"/>
              </w:rPr>
              <w:t xml:space="preserve"> </w:t>
            </w:r>
          </w:p>
        </w:tc>
        <w:tc>
          <w:tcPr>
            <w:tcW w:w="2620" w:type="dxa"/>
            <w:vAlign w:val="bottom"/>
            <w:tcBorders>
              <w:right w:val="single" w:sz="8" w:color="2B4C9B"/>
            </w:tcBorders>
          </w:tcPr>
          <w:p>
            <w:pPr>
              <w:ind w:left="140"/>
              <w:spacing w:after="0"/>
              <w:rPr>
                <w:sz w:val="20"/>
                <w:szCs w:val="20"/>
                <w:color w:val="auto"/>
              </w:rPr>
            </w:pPr>
            <w:r>
              <w:rPr>
                <w:rFonts w:ascii="Arial" w:cs="Arial" w:eastAsia="Arial" w:hAnsi="Arial"/>
                <w:sz w:val="18"/>
                <w:szCs w:val="18"/>
                <w:color w:val="auto"/>
              </w:rPr>
              <w:t>   Climate Lobbying Report</w:t>
            </w:r>
          </w:p>
        </w:tc>
        <w:tc>
          <w:tcPr>
            <w:tcW w:w="0" w:type="dxa"/>
            <w:vAlign w:val="bottom"/>
          </w:tcPr>
          <w:p>
            <w:pPr>
              <w:spacing w:after="0"/>
              <w:rPr>
                <w:sz w:val="1"/>
                <w:szCs w:val="1"/>
                <w:color w:val="auto"/>
              </w:rPr>
            </w:pPr>
          </w:p>
        </w:tc>
      </w:tr>
      <w:tr>
        <w:trPr>
          <w:trHeight w:val="239"/>
        </w:trPr>
        <w:tc>
          <w:tcPr>
            <w:tcW w:w="600" w:type="dxa"/>
            <w:vAlign w:val="bottom"/>
            <w:tcBorders>
              <w:left w:val="single" w:sz="8" w:color="2B4C9B"/>
            </w:tcBorders>
          </w:tcPr>
          <w:p>
            <w:pPr>
              <w:spacing w:after="0"/>
              <w:rPr>
                <w:sz w:val="20"/>
                <w:szCs w:val="20"/>
                <w:color w:val="auto"/>
              </w:rPr>
            </w:pP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Borders>
              <w:right w:val="single" w:sz="8" w:color="2B4C9B"/>
            </w:tcBorders>
          </w:tcPr>
          <w:p>
            <w:pPr>
              <w:spacing w:after="0"/>
              <w:rPr>
                <w:sz w:val="20"/>
                <w:szCs w:val="20"/>
                <w:color w:val="auto"/>
              </w:rPr>
            </w:pPr>
          </w:p>
        </w:tc>
        <w:tc>
          <w:tcPr>
            <w:tcW w:w="600" w:type="dxa"/>
            <w:vAlign w:val="bottom"/>
          </w:tcPr>
          <w:p>
            <w:pPr>
              <w:spacing w:after="0"/>
              <w:rPr>
                <w:sz w:val="20"/>
                <w:szCs w:val="20"/>
                <w:color w:val="auto"/>
              </w:rPr>
            </w:pPr>
          </w:p>
        </w:tc>
        <w:tc>
          <w:tcPr>
            <w:tcW w:w="2020" w:type="dxa"/>
            <w:vAlign w:val="bottom"/>
            <w:gridSpan w:val="2"/>
          </w:tcPr>
          <w:p>
            <w:pPr>
              <w:ind w:left="120"/>
              <w:spacing w:after="0"/>
              <w:rPr>
                <w:sz w:val="20"/>
                <w:szCs w:val="20"/>
                <w:color w:val="auto"/>
              </w:rPr>
            </w:pPr>
            <w:r>
              <w:rPr>
                <w:rFonts w:ascii="Arial" w:cs="Arial" w:eastAsia="Arial" w:hAnsi="Arial"/>
                <w:sz w:val="18"/>
                <w:szCs w:val="18"/>
                <w:color w:val="auto"/>
              </w:rPr>
              <w:t>supplement</w:t>
            </w:r>
          </w:p>
        </w:tc>
        <w:tc>
          <w:tcPr>
            <w:tcW w:w="400" w:type="dxa"/>
            <w:vAlign w:val="bottom"/>
          </w:tcPr>
          <w:p>
            <w:pPr>
              <w:spacing w:after="0"/>
              <w:rPr>
                <w:sz w:val="20"/>
                <w:szCs w:val="20"/>
                <w:color w:val="auto"/>
              </w:rPr>
            </w:pPr>
          </w:p>
        </w:tc>
        <w:tc>
          <w:tcPr>
            <w:tcW w:w="2620" w:type="dxa"/>
            <w:vAlign w:val="bottom"/>
            <w:tcBorders>
              <w:right w:val="single" w:sz="8" w:color="2B4C9B"/>
            </w:tcBorders>
          </w:tcPr>
          <w:p>
            <w:pPr>
              <w:spacing w:after="0"/>
              <w:rPr>
                <w:sz w:val="20"/>
                <w:szCs w:val="20"/>
                <w:color w:val="auto"/>
              </w:rPr>
            </w:pPr>
          </w:p>
        </w:tc>
        <w:tc>
          <w:tcPr>
            <w:tcW w:w="0" w:type="dxa"/>
            <w:vAlign w:val="bottom"/>
          </w:tcPr>
          <w:p>
            <w:pPr>
              <w:spacing w:after="0"/>
              <w:rPr>
                <w:sz w:val="1"/>
                <w:szCs w:val="1"/>
                <w:color w:val="auto"/>
              </w:rPr>
            </w:pPr>
          </w:p>
        </w:tc>
      </w:tr>
      <w:tr>
        <w:trPr>
          <w:trHeight w:val="84"/>
        </w:trPr>
        <w:tc>
          <w:tcPr>
            <w:tcW w:w="600" w:type="dxa"/>
            <w:vAlign w:val="bottom"/>
            <w:tcBorders>
              <w:left w:val="single" w:sz="8" w:color="2B4C9B"/>
              <w:bottom w:val="single" w:sz="8" w:color="2B4C9B"/>
            </w:tcBorders>
          </w:tcPr>
          <w:p>
            <w:pPr>
              <w:spacing w:after="0"/>
              <w:rPr>
                <w:sz w:val="7"/>
                <w:szCs w:val="7"/>
                <w:color w:val="auto"/>
              </w:rPr>
            </w:pPr>
          </w:p>
        </w:tc>
        <w:tc>
          <w:tcPr>
            <w:tcW w:w="2640" w:type="dxa"/>
            <w:vAlign w:val="bottom"/>
            <w:tcBorders>
              <w:bottom w:val="single" w:sz="8" w:color="2B4C9B"/>
            </w:tcBorders>
          </w:tcPr>
          <w:p>
            <w:pPr>
              <w:spacing w:after="0"/>
              <w:rPr>
                <w:sz w:val="7"/>
                <w:szCs w:val="7"/>
                <w:color w:val="auto"/>
              </w:rPr>
            </w:pPr>
          </w:p>
        </w:tc>
        <w:tc>
          <w:tcPr>
            <w:tcW w:w="100" w:type="dxa"/>
            <w:vAlign w:val="bottom"/>
            <w:tcBorders>
              <w:bottom w:val="single" w:sz="8" w:color="2B4C9B"/>
            </w:tcBorders>
          </w:tcPr>
          <w:p>
            <w:pPr>
              <w:spacing w:after="0"/>
              <w:rPr>
                <w:sz w:val="7"/>
                <w:szCs w:val="7"/>
                <w:color w:val="auto"/>
              </w:rPr>
            </w:pPr>
          </w:p>
        </w:tc>
        <w:tc>
          <w:tcPr>
            <w:tcW w:w="480" w:type="dxa"/>
            <w:vAlign w:val="bottom"/>
            <w:tcBorders>
              <w:bottom w:val="single" w:sz="8" w:color="2B4C9B"/>
            </w:tcBorders>
          </w:tcPr>
          <w:p>
            <w:pPr>
              <w:spacing w:after="0"/>
              <w:rPr>
                <w:sz w:val="7"/>
                <w:szCs w:val="7"/>
                <w:color w:val="auto"/>
              </w:rPr>
            </w:pPr>
          </w:p>
        </w:tc>
        <w:tc>
          <w:tcPr>
            <w:tcW w:w="280" w:type="dxa"/>
            <w:vAlign w:val="bottom"/>
            <w:tcBorders>
              <w:bottom w:val="single" w:sz="8" w:color="2B4C9B"/>
              <w:right w:val="single" w:sz="8" w:color="2B4C9B"/>
            </w:tcBorders>
          </w:tcPr>
          <w:p>
            <w:pPr>
              <w:spacing w:after="0"/>
              <w:rPr>
                <w:sz w:val="7"/>
                <w:szCs w:val="7"/>
                <w:color w:val="auto"/>
              </w:rPr>
            </w:pPr>
          </w:p>
        </w:tc>
        <w:tc>
          <w:tcPr>
            <w:tcW w:w="600" w:type="dxa"/>
            <w:vAlign w:val="bottom"/>
            <w:tcBorders>
              <w:bottom w:val="single" w:sz="8" w:color="2B4C9B"/>
            </w:tcBorders>
          </w:tcPr>
          <w:p>
            <w:pPr>
              <w:spacing w:after="0"/>
              <w:rPr>
                <w:sz w:val="7"/>
                <w:szCs w:val="7"/>
                <w:color w:val="auto"/>
              </w:rPr>
            </w:pPr>
          </w:p>
        </w:tc>
        <w:tc>
          <w:tcPr>
            <w:tcW w:w="1840" w:type="dxa"/>
            <w:vAlign w:val="bottom"/>
            <w:tcBorders>
              <w:bottom w:val="single" w:sz="8" w:color="2B4C9B"/>
            </w:tcBorders>
          </w:tcPr>
          <w:p>
            <w:pPr>
              <w:spacing w:after="0"/>
              <w:rPr>
                <w:sz w:val="7"/>
                <w:szCs w:val="7"/>
                <w:color w:val="auto"/>
              </w:rPr>
            </w:pPr>
          </w:p>
        </w:tc>
        <w:tc>
          <w:tcPr>
            <w:tcW w:w="180" w:type="dxa"/>
            <w:vAlign w:val="bottom"/>
            <w:tcBorders>
              <w:bottom w:val="single" w:sz="8" w:color="2B4C9B"/>
            </w:tcBorders>
          </w:tcPr>
          <w:p>
            <w:pPr>
              <w:spacing w:after="0"/>
              <w:rPr>
                <w:sz w:val="7"/>
                <w:szCs w:val="7"/>
                <w:color w:val="auto"/>
              </w:rPr>
            </w:pPr>
          </w:p>
        </w:tc>
        <w:tc>
          <w:tcPr>
            <w:tcW w:w="400" w:type="dxa"/>
            <w:vAlign w:val="bottom"/>
            <w:tcBorders>
              <w:bottom w:val="single" w:sz="8" w:color="2B4C9B"/>
            </w:tcBorders>
          </w:tcPr>
          <w:p>
            <w:pPr>
              <w:spacing w:after="0"/>
              <w:rPr>
                <w:sz w:val="7"/>
                <w:szCs w:val="7"/>
                <w:color w:val="auto"/>
              </w:rPr>
            </w:pPr>
          </w:p>
        </w:tc>
        <w:tc>
          <w:tcPr>
            <w:tcW w:w="2620" w:type="dxa"/>
            <w:vAlign w:val="bottom"/>
            <w:tcBorders>
              <w:bottom w:val="single" w:sz="8" w:color="2B4C9B"/>
              <w:right w:val="single" w:sz="8" w:color="2B4C9B"/>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Insights into the Boardroom</w:t>
      </w:r>
    </w:p>
    <w:p>
      <w:pPr>
        <w:spacing w:after="0" w:line="104" w:lineRule="exact"/>
        <w:rPr>
          <w:sz w:val="20"/>
          <w:szCs w:val="20"/>
          <w:color w:val="auto"/>
        </w:rPr>
      </w:pPr>
    </w:p>
    <w:p>
      <w:pPr>
        <w:ind w:left="760" w:right="180"/>
        <w:spacing w:after="0" w:line="247" w:lineRule="auto"/>
        <w:rPr>
          <w:sz w:val="20"/>
          <w:szCs w:val="20"/>
          <w:color w:val="auto"/>
        </w:rPr>
      </w:pPr>
      <w:r>
        <w:rPr>
          <w:rFonts w:ascii="Arial" w:cs="Arial" w:eastAsia="Arial" w:hAnsi="Arial"/>
          <w:sz w:val="18"/>
          <w:szCs w:val="18"/>
          <w:color w:val="auto"/>
        </w:rPr>
        <w:t>ExxonMobil’s diverse, highly qualified Board represents a range of backgrounds, knowledge, and skills relevant to the Company’s business and the Board’s needs. The Company added eight new non-employee directors since 2020 – more than 60 percent of the total current Board. Average tenure for current non-employee directors is 3.5 years. Almost 40 percent of the current Board is female and/or racially/ethnically diverse.</w:t>
      </w:r>
    </w:p>
    <w:p>
      <w:pPr>
        <w:spacing w:after="0" w:line="174" w:lineRule="exact"/>
        <w:rPr>
          <w:sz w:val="20"/>
          <w:szCs w:val="20"/>
          <w:color w:val="auto"/>
        </w:rPr>
      </w:pPr>
    </w:p>
    <w:p>
      <w:pPr>
        <w:ind w:left="760" w:right="80"/>
        <w:spacing w:after="0" w:line="242" w:lineRule="auto"/>
        <w:rPr>
          <w:sz w:val="20"/>
          <w:szCs w:val="20"/>
          <w:color w:val="auto"/>
        </w:rPr>
      </w:pPr>
      <w:r>
        <w:rPr>
          <w:rFonts w:ascii="Arial" w:cs="Arial" w:eastAsia="Arial" w:hAnsi="Arial"/>
          <w:sz w:val="18"/>
          <w:szCs w:val="18"/>
          <w:color w:val="auto"/>
        </w:rPr>
        <w:t>The Board expanded from 11 to 13 directors in 2023 by adding two new independent directors. The new directors provide deep experience as executives of large public, complex, capital-intensive global companies that successfully navigated significant industry transitions. Each new director participates in comprehensive onboarding sessions with senior leaders designed to accelerate the learning curve, with reviews covering a wide range of topics, including overviews of the Company’s major business lines, practices, risk framework, energy outlook, technology, and capital allocation, as well as applicable legal and regulatory requirements, and ethics and other policies.</w:t>
      </w:r>
    </w:p>
    <w:p>
      <w:pPr>
        <w:spacing w:after="0" w:line="179" w:lineRule="exact"/>
        <w:rPr>
          <w:sz w:val="20"/>
          <w:szCs w:val="20"/>
          <w:color w:val="auto"/>
        </w:rPr>
      </w:pPr>
    </w:p>
    <w:p>
      <w:pPr>
        <w:ind w:left="760" w:right="80"/>
        <w:spacing w:after="0" w:line="242" w:lineRule="auto"/>
        <w:rPr>
          <w:sz w:val="20"/>
          <w:szCs w:val="20"/>
          <w:color w:val="auto"/>
        </w:rPr>
      </w:pPr>
      <w:r>
        <w:rPr>
          <w:rFonts w:ascii="Arial" w:cs="Arial" w:eastAsia="Arial" w:hAnsi="Arial"/>
          <w:sz w:val="18"/>
          <w:szCs w:val="18"/>
          <w:color w:val="auto"/>
        </w:rPr>
        <w:t>The ExxonMobil Board is actively engaged and committed to overseeing the Company’s efforts to grow long -term shareholder value by executing its strategy and plans to play a leading role in a thoughtful energy transition. The Board provides oversight for the Company’s key risks and opportunities and regularly reviews a variety of important issues through a process that involves briefings with subject matter experts from inside and outside the Company. Topics include climate change, technology, operating strategies, business and corporate planning, current events, research and development, shareholder engagements, and Company performance.</w:t>
      </w:r>
    </w:p>
    <w:p>
      <w:pPr>
        <w:spacing w:after="0" w:line="91"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32</w:t>
      </w:r>
      <w:r>
        <w:rPr>
          <w:sz w:val="20"/>
          <w:szCs w:val="20"/>
          <w:color w:val="auto"/>
        </w:rPr>
        <w:tab/>
      </w:r>
      <w:r>
        <w:rPr>
          <w:sz w:val="1"/>
          <w:szCs w:val="1"/>
          <w:color w:val="auto"/>
        </w:rPr>
        <w:drawing>
          <wp:inline distT="0" distB="0" distL="0" distR="0">
            <wp:extent cx="737235" cy="146050"/>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2023 Proxy Statement</w:t>
      </w:r>
    </w:p>
    <w:p>
      <w:pPr>
        <w:sectPr>
          <w:pgSz w:w="11900" w:h="16838" w:orient="portrait"/>
          <w:cols w:equalWidth="0" w:num="1">
            <w:col w:w="10500"/>
          </w:cols>
          <w:pgMar w:left="320" w:top="482" w:right="10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760"/>
        <w:spacing w:after="0" w:line="239" w:lineRule="auto"/>
        <w:rPr>
          <w:sz w:val="20"/>
          <w:szCs w:val="20"/>
          <w:color w:val="auto"/>
        </w:rPr>
      </w:pPr>
      <w:r>
        <w:rPr>
          <w:rFonts w:ascii="Arial" w:cs="Arial" w:eastAsia="Arial" w:hAnsi="Arial"/>
          <w:sz w:val="18"/>
          <w:szCs w:val="18"/>
          <w:color w:val="auto"/>
        </w:rPr>
        <w:t>The Board provides oversight and guidance on the Company’s five-year plan. This plan is expected to double earnings and cash flow potential by 2027 versus 2019 and supports investments in high-return, low cost of supply opportunities in the Upstream and Product Solutions businesses; in 2023, ExxonMobil expects to invest $ 23-$25 billion to help increase supply to meet global demand while also delivering $ 9 billion in structural cost savings by year end versus 2019. See Exhibit A for information on future earnings and cash flow potential and structural cost savings. The plan allocates approximately $17 billion from 2022 through 2027 to reduce the Company’s own greenhouse gas emissions and grow its Low Carbon Solutions business, which is focused on accretive third-party, lower-emissions opportunities in carbon capture and storage, hydrogen, and biofuels. The plan also expands the share-repurchase program to up to $50 billion through 2024, including $15 billion of repurchases made in 2022.</w:t>
      </w:r>
    </w:p>
    <w:p>
      <w:pPr>
        <w:spacing w:after="0" w:line="183" w:lineRule="exact"/>
        <w:rPr>
          <w:sz w:val="20"/>
          <w:szCs w:val="20"/>
          <w:color w:val="auto"/>
        </w:rPr>
      </w:pPr>
    </w:p>
    <w:p>
      <w:pPr>
        <w:ind w:left="760" w:right="60"/>
        <w:spacing w:after="0" w:line="242" w:lineRule="auto"/>
        <w:rPr>
          <w:sz w:val="20"/>
          <w:szCs w:val="20"/>
          <w:color w:val="auto"/>
        </w:rPr>
      </w:pPr>
      <w:r>
        <w:rPr>
          <w:rFonts w:ascii="Arial" w:cs="Arial" w:eastAsia="Arial" w:hAnsi="Arial"/>
          <w:sz w:val="18"/>
          <w:szCs w:val="18"/>
          <w:color w:val="auto"/>
        </w:rPr>
        <w:t>Each year, the Board reviews and approves the corporate goals and objectives which form the framework for the organization to deliver on its commitments. Progress is discussed throughout the year in various Board and Committee reviews. Assessment of accomplishments versus these plan goals and objectives forms the basis for pay deliberations. In addition, the CEO reviews with the Board progress on executive development and succession planning for senior-level positions, and organizational health. The Board also reviews the Company’s efforts to support the health and safety of its workforce, as well as the Company’s efforts in investing in globally diverse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142875</wp:posOffset>
            </wp:positionV>
            <wp:extent cx="6180455" cy="16802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180455" cy="1680210"/>
                    </a:xfrm>
                    <a:prstGeom prst="rect">
                      <a:avLst/>
                    </a:prstGeom>
                    <a:noFill/>
                  </pic:spPr>
                </pic:pic>
              </a:graphicData>
            </a:graphic>
          </wp:anchor>
        </w:drawing>
      </w:r>
    </w:p>
    <w:p>
      <w:pPr>
        <w:spacing w:after="0" w:line="267" w:lineRule="exact"/>
        <w:rPr>
          <w:sz w:val="20"/>
          <w:szCs w:val="20"/>
          <w:color w:val="auto"/>
        </w:rPr>
      </w:pPr>
    </w:p>
    <w:p>
      <w:pPr>
        <w:jc w:val="both"/>
        <w:ind w:left="1020" w:right="360"/>
        <w:spacing w:after="0" w:line="253" w:lineRule="auto"/>
        <w:rPr>
          <w:sz w:val="20"/>
          <w:szCs w:val="20"/>
          <w:color w:val="auto"/>
        </w:rPr>
      </w:pPr>
      <w:r>
        <w:rPr>
          <w:rFonts w:ascii="Arial" w:cs="Arial" w:eastAsia="Arial" w:hAnsi="Arial"/>
          <w:sz w:val="18"/>
          <w:szCs w:val="18"/>
          <w:color w:val="auto"/>
        </w:rPr>
        <w:t>The Nominating and Governance Committee has established and oversees procedures for shareholders and other interested persons to send written or electronic communications to individual directors, including the Lead Director, Board committees, or the non-employee directors as a group.</w:t>
      </w:r>
    </w:p>
    <w:p>
      <w:pPr>
        <w:spacing w:after="0" w:line="74" w:lineRule="exact"/>
        <w:rPr>
          <w:sz w:val="20"/>
          <w:szCs w:val="20"/>
          <w:color w:val="auto"/>
        </w:rPr>
      </w:pPr>
    </w:p>
    <w:p>
      <w:pPr>
        <w:ind w:left="1380" w:right="640" w:hanging="359"/>
        <w:spacing w:after="0" w:line="285" w:lineRule="auto"/>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Written Communications:</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Written correspondence should be addressed to the director or directors at the</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address given under Contact Information on page 7.</w:t>
      </w:r>
    </w:p>
    <w:p>
      <w:pPr>
        <w:spacing w:after="0" w:line="47" w:lineRule="exact"/>
        <w:rPr>
          <w:sz w:val="20"/>
          <w:szCs w:val="20"/>
          <w:color w:val="auto"/>
        </w:rPr>
      </w:pPr>
    </w:p>
    <w:p>
      <w:pPr>
        <w:ind w:left="1380" w:right="100" w:hanging="359"/>
        <w:spacing w:after="0" w:line="260" w:lineRule="auto"/>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Electronic Communications:</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You may send a message to individual non-employee directors, Board</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 xml:space="preserve">committees, or the non-employee directors as a group by using the form provided for that purpose on our website at </w:t>
      </w:r>
      <w:r>
        <w:rPr>
          <w:rFonts w:ascii="Arial" w:cs="Arial" w:eastAsia="Arial" w:hAnsi="Arial"/>
          <w:sz w:val="18"/>
          <w:szCs w:val="18"/>
          <w:i w:val="1"/>
          <w:iCs w:val="1"/>
          <w:color w:val="auto"/>
        </w:rPr>
        <w:t>exxonmobil.com/directors</w:t>
      </w:r>
      <w:r>
        <w:rPr>
          <w:rFonts w:ascii="Arial" w:cs="Arial" w:eastAsia="Arial" w:hAnsi="Arial"/>
          <w:sz w:val="18"/>
          <w:szCs w:val="18"/>
          <w:color w:val="auto"/>
        </w:rPr>
        <w:t>.</w:t>
      </w:r>
    </w:p>
    <w:p>
      <w:pPr>
        <w:spacing w:after="0" w:line="68" w:lineRule="exact"/>
        <w:rPr>
          <w:sz w:val="20"/>
          <w:szCs w:val="20"/>
          <w:color w:val="auto"/>
        </w:rPr>
      </w:pPr>
    </w:p>
    <w:p>
      <w:pPr>
        <w:ind w:left="1020" w:right="140"/>
        <w:spacing w:after="0" w:line="271" w:lineRule="auto"/>
        <w:rPr>
          <w:sz w:val="20"/>
          <w:szCs w:val="20"/>
          <w:color w:val="auto"/>
        </w:rPr>
      </w:pPr>
      <w:r>
        <w:rPr>
          <w:rFonts w:ascii="Arial" w:cs="Arial" w:eastAsia="Arial" w:hAnsi="Arial"/>
          <w:sz w:val="18"/>
          <w:szCs w:val="18"/>
          <w:color w:val="auto"/>
        </w:rPr>
        <w:t>All communications are recorded by an ExxonMobil Assistant Secretary or designated staff member and forwarded to the appropriate director or directors or otherwise handled as the Committee has directed.</w:t>
      </w:r>
    </w:p>
    <w:p>
      <w:pPr>
        <w:spacing w:after="0" w:line="30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Code of Ethics and Business Conduct</w:t>
      </w:r>
    </w:p>
    <w:p>
      <w:pPr>
        <w:spacing w:after="0" w:line="104" w:lineRule="exact"/>
        <w:rPr>
          <w:sz w:val="20"/>
          <w:szCs w:val="20"/>
          <w:color w:val="auto"/>
        </w:rPr>
      </w:pPr>
    </w:p>
    <w:p>
      <w:pPr>
        <w:ind w:left="760" w:right="180"/>
        <w:spacing w:after="0" w:line="238" w:lineRule="auto"/>
        <w:rPr>
          <w:sz w:val="20"/>
          <w:szCs w:val="20"/>
          <w:color w:val="auto"/>
        </w:rPr>
      </w:pPr>
      <w:r>
        <w:rPr>
          <w:rFonts w:ascii="Arial" w:cs="Arial" w:eastAsia="Arial" w:hAnsi="Arial"/>
          <w:sz w:val="18"/>
          <w:szCs w:val="18"/>
          <w:color w:val="auto"/>
        </w:rPr>
        <w:t xml:space="preserve">The Board maintains policies and procedures (referred to in this proxy statement as the Code) that represent both the code of ethics for the principal executive officer, principal financial officer, and principal accounting officer under SEC rules, and the code of business conduct and ethics for directors, officers, and employees under NYSE listing standards. The Code applies to all directors, officers, and employees and is at the core of the Company’s foundational policies. The Code includes a Conflicts of Interest Policy under which directors, officers, and employees are expected to avoid any actual or apparent conflict between their own personal interests and the interests of the Corporation. The Code also includes an Ethics Policy under which directors, officers, and employees are expected to observe the highest ethical standards of integrity in the conduct of the Company’s business. Each year, directors, officers, and employees are required to certify that they have read the Code and remain in compliance with its requirements. The Code is posted on the ExxonMobil website at </w:t>
      </w:r>
      <w:r>
        <w:rPr>
          <w:rFonts w:ascii="Arial" w:cs="Arial" w:eastAsia="Arial" w:hAnsi="Arial"/>
          <w:sz w:val="18"/>
          <w:szCs w:val="18"/>
          <w:i w:val="1"/>
          <w:iCs w:val="1"/>
          <w:color w:val="auto"/>
        </w:rPr>
        <w:t>exxonmobil.com/code</w:t>
      </w:r>
      <w:r>
        <w:rPr>
          <w:rFonts w:ascii="Arial" w:cs="Arial" w:eastAsia="Arial" w:hAnsi="Arial"/>
          <w:sz w:val="18"/>
          <w:szCs w:val="18"/>
          <w:color w:val="auto"/>
        </w:rPr>
        <w:t xml:space="preserve">. The Code is also included as an exhibit to our </w:t>
      </w:r>
      <w:r>
        <w:rPr>
          <w:rFonts w:ascii="Arial" w:cs="Arial" w:eastAsia="Arial" w:hAnsi="Arial"/>
          <w:sz w:val="18"/>
          <w:szCs w:val="18"/>
          <w:i w:val="1"/>
          <w:iCs w:val="1"/>
          <w:color w:val="auto"/>
        </w:rPr>
        <w:t>Annual Report on Form</w:t>
      </w:r>
      <w:r>
        <w:rPr>
          <w:rFonts w:ascii="Arial" w:cs="Arial" w:eastAsia="Arial" w:hAnsi="Arial"/>
          <w:sz w:val="18"/>
          <w:szCs w:val="18"/>
          <w:color w:val="auto"/>
        </w:rPr>
        <w:t xml:space="preserve"> </w:t>
      </w:r>
      <w:r>
        <w:rPr>
          <w:rFonts w:ascii="Arial" w:cs="Arial" w:eastAsia="Arial" w:hAnsi="Arial"/>
          <w:sz w:val="18"/>
          <w:szCs w:val="18"/>
          <w:i w:val="1"/>
          <w:iCs w:val="1"/>
          <w:color w:val="auto"/>
        </w:rPr>
        <w:t>10-K</w:t>
      </w:r>
      <w:r>
        <w:rPr>
          <w:rFonts w:ascii="Arial" w:cs="Arial" w:eastAsia="Arial" w:hAnsi="Arial"/>
          <w:sz w:val="18"/>
          <w:szCs w:val="18"/>
          <w:color w:val="auto"/>
        </w:rPr>
        <w:t>. Any amendment of the Code will be posted promptly on ExxonMobil’s website.</w:t>
      </w:r>
    </w:p>
    <w:p>
      <w:pPr>
        <w:spacing w:after="0" w:line="186" w:lineRule="exact"/>
        <w:rPr>
          <w:sz w:val="20"/>
          <w:szCs w:val="20"/>
          <w:color w:val="auto"/>
        </w:rPr>
      </w:pPr>
    </w:p>
    <w:p>
      <w:pPr>
        <w:ind w:left="760" w:right="340"/>
        <w:spacing w:after="0" w:line="253" w:lineRule="auto"/>
        <w:rPr>
          <w:sz w:val="20"/>
          <w:szCs w:val="20"/>
          <w:color w:val="auto"/>
        </w:rPr>
      </w:pPr>
      <w:r>
        <w:rPr>
          <w:rFonts w:ascii="Arial" w:cs="Arial" w:eastAsia="Arial" w:hAnsi="Arial"/>
          <w:sz w:val="18"/>
          <w:szCs w:val="18"/>
          <w:color w:val="auto"/>
        </w:rPr>
        <w:t>The Corporation maintains procedures for administering and reviewing potential issues under the Code, including procedures that allow employees to make complaints without identifying themselves unless otherwise required by law. The Corporation also conducts periodic mandatory business practice training sessions.</w:t>
      </w:r>
    </w:p>
    <w:p>
      <w:pPr>
        <w:spacing w:after="0" w:line="169" w:lineRule="exact"/>
        <w:rPr>
          <w:sz w:val="20"/>
          <w:szCs w:val="20"/>
          <w:color w:val="auto"/>
        </w:rPr>
      </w:pPr>
    </w:p>
    <w:p>
      <w:pPr>
        <w:ind w:left="760" w:right="300"/>
        <w:spacing w:after="0" w:line="253" w:lineRule="auto"/>
        <w:rPr>
          <w:sz w:val="20"/>
          <w:szCs w:val="20"/>
          <w:color w:val="auto"/>
        </w:rPr>
      </w:pPr>
      <w:r>
        <w:rPr>
          <w:rFonts w:ascii="Arial" w:cs="Arial" w:eastAsia="Arial" w:hAnsi="Arial"/>
          <w:sz w:val="18"/>
          <w:szCs w:val="18"/>
          <w:color w:val="auto"/>
        </w:rPr>
        <w:t>The Nominating and Governance Committee will initially review any suspected violation of the Code involving an executive officer or director and will report its findings to the Board. The Board does not envision that any waiver of the Code will be granted. Should such a waiver occur, it will be promptly disclosed on ExxonMobil’s website.</w:t>
      </w:r>
    </w:p>
    <w:p>
      <w:pPr>
        <w:spacing w:after="0" w:line="100"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60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480"/>
          </w:cols>
          <w:pgMar w:left="320" w:top="482" w:right="10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Board Meetings and Annual Meeting Attendance</w:t>
      </w:r>
    </w:p>
    <w:p>
      <w:pPr>
        <w:spacing w:after="0" w:line="104" w:lineRule="exact"/>
        <w:rPr>
          <w:sz w:val="20"/>
          <w:szCs w:val="20"/>
          <w:color w:val="auto"/>
        </w:rPr>
      </w:pPr>
    </w:p>
    <w:p>
      <w:pPr>
        <w:ind w:left="760"/>
        <w:spacing w:after="0" w:line="244" w:lineRule="auto"/>
        <w:rPr>
          <w:sz w:val="20"/>
          <w:szCs w:val="20"/>
          <w:color w:val="auto"/>
        </w:rPr>
      </w:pPr>
      <w:r>
        <w:rPr>
          <w:rFonts w:ascii="Arial" w:cs="Arial" w:eastAsia="Arial" w:hAnsi="Arial"/>
          <w:sz w:val="18"/>
          <w:szCs w:val="18"/>
          <w:color w:val="auto"/>
        </w:rPr>
        <w:t>The Board met nine times in 2022. ExxonMobil’s incumbent directors, on average, attended approximately 98 percent of Board and committee meetings during 2022. No director attended fewer than 75 percent of such meetings. ExxonMobil’s non-employee directors held seven executive sessions in 2022, chaired by the independent Lead Director. As specified in our Corporate Governance Guidelines, it is ExxonMobil’s policy that directors should make every effort to attend the annual meeting of shareholders. All directors attended the 2022 annual meeting of shareholders on May 25, 2022.</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Board Committees</w:t>
      </w:r>
    </w:p>
    <w:p>
      <w:pPr>
        <w:spacing w:after="0" w:line="104" w:lineRule="exact"/>
        <w:rPr>
          <w:sz w:val="20"/>
          <w:szCs w:val="20"/>
          <w:color w:val="auto"/>
        </w:rPr>
      </w:pPr>
    </w:p>
    <w:p>
      <w:pPr>
        <w:ind w:left="760" w:right="200"/>
        <w:spacing w:after="0" w:line="247" w:lineRule="auto"/>
        <w:rPr>
          <w:sz w:val="20"/>
          <w:szCs w:val="20"/>
          <w:color w:val="auto"/>
        </w:rPr>
      </w:pPr>
      <w:r>
        <w:rPr>
          <w:rFonts w:ascii="Arial" w:cs="Arial" w:eastAsia="Arial" w:hAnsi="Arial"/>
          <w:sz w:val="18"/>
          <w:szCs w:val="18"/>
          <w:color w:val="auto"/>
        </w:rPr>
        <w:t xml:space="preserve">The Board appoints committees to help carry out its duties. Board committees work on key issues in greater detail than would be possible at full Board meetings. Only non-employee directors may serve on the Audit, Compensation, Nominating and Governance, and Environment, Safety and Public Policy Committees. Each committee has a written charter. The charters are posted on the Corporate Governance section of our website at </w:t>
      </w:r>
      <w:r>
        <w:rPr>
          <w:rFonts w:ascii="Arial" w:cs="Arial" w:eastAsia="Arial" w:hAnsi="Arial"/>
          <w:sz w:val="18"/>
          <w:szCs w:val="18"/>
          <w:i w:val="1"/>
          <w:iCs w:val="1"/>
          <w:color w:val="auto"/>
        </w:rPr>
        <w:t>exxonmobil.com/governance</w:t>
      </w:r>
      <w:r>
        <w:rPr>
          <w:rFonts w:ascii="Arial" w:cs="Arial" w:eastAsia="Arial" w:hAnsi="Arial"/>
          <w:sz w:val="18"/>
          <w:szCs w:val="18"/>
          <w:color w:val="auto"/>
        </w:rPr>
        <w:t>.</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tables below show the current membership and the number of meetings each committee held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103505</wp:posOffset>
            </wp:positionV>
            <wp:extent cx="5932170" cy="25285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932170" cy="2528570"/>
                    </a:xfrm>
                    <a:prstGeom prst="rect">
                      <a:avLst/>
                    </a:prstGeom>
                    <a:noFill/>
                  </pic:spPr>
                </pic:pic>
              </a:graphicData>
            </a:graphic>
          </wp:anchor>
        </w:drawing>
      </w:r>
    </w:p>
    <w:p>
      <w:pPr>
        <w:spacing w:after="0" w:line="161"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tcPr>
          <w:p>
            <w:pPr>
              <w:jc w:val="center"/>
              <w:ind w:right="8"/>
              <w:spacing w:after="0"/>
              <w:rPr>
                <w:sz w:val="20"/>
                <w:szCs w:val="20"/>
                <w:color w:val="auto"/>
              </w:rPr>
            </w:pPr>
            <w:r>
              <w:rPr>
                <w:rFonts w:ascii="Arial" w:cs="Arial" w:eastAsia="Arial" w:hAnsi="Arial"/>
                <w:sz w:val="14"/>
                <w:szCs w:val="14"/>
                <w:b w:val="1"/>
                <w:bCs w:val="1"/>
                <w:color w:val="auto"/>
              </w:rPr>
              <w:t>Nominating and</w:t>
            </w:r>
          </w:p>
        </w:tc>
        <w:tc>
          <w:tcPr>
            <w:tcW w:w="94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Environment, Safety</w:t>
            </w:r>
          </w:p>
        </w:tc>
        <w:tc>
          <w:tcPr>
            <w:tcW w:w="960" w:type="dxa"/>
            <w:vAlign w:val="bottom"/>
          </w:tcPr>
          <w:p>
            <w:pPr>
              <w:spacing w:after="0"/>
              <w:rPr>
                <w:sz w:val="14"/>
                <w:szCs w:val="14"/>
                <w:color w:val="auto"/>
              </w:rPr>
            </w:pPr>
          </w:p>
        </w:tc>
      </w:tr>
      <w:tr>
        <w:trPr>
          <w:trHeight w:val="185"/>
        </w:trPr>
        <w:tc>
          <w:tcPr>
            <w:tcW w:w="1100" w:type="dxa"/>
            <w:vAlign w:val="bottom"/>
          </w:tcPr>
          <w:p>
            <w:pPr>
              <w:spacing w:after="0"/>
              <w:rPr>
                <w:sz w:val="20"/>
                <w:szCs w:val="20"/>
                <w:color w:val="auto"/>
              </w:rPr>
            </w:pPr>
            <w:r>
              <w:rPr>
                <w:rFonts w:ascii="Arial" w:cs="Arial" w:eastAsia="Arial" w:hAnsi="Arial"/>
                <w:sz w:val="14"/>
                <w:szCs w:val="14"/>
                <w:b w:val="1"/>
                <w:bCs w:val="1"/>
                <w:color w:val="auto"/>
              </w:rPr>
              <w:t>Director</w:t>
            </w:r>
          </w:p>
        </w:tc>
        <w:tc>
          <w:tcPr>
            <w:tcW w:w="1220" w:type="dxa"/>
            <w:vAlign w:val="bottom"/>
          </w:tcPr>
          <w:p>
            <w:pPr>
              <w:ind w:left="560"/>
              <w:spacing w:after="0"/>
              <w:rPr>
                <w:sz w:val="20"/>
                <w:szCs w:val="20"/>
                <w:color w:val="auto"/>
              </w:rPr>
            </w:pPr>
            <w:r>
              <w:rPr>
                <w:rFonts w:ascii="Arial" w:cs="Arial" w:eastAsia="Arial" w:hAnsi="Arial"/>
                <w:sz w:val="14"/>
                <w:szCs w:val="14"/>
                <w:b w:val="1"/>
                <w:bCs w:val="1"/>
                <w:color w:val="auto"/>
              </w:rPr>
              <w:t>Audit</w:t>
            </w:r>
          </w:p>
        </w:tc>
        <w:tc>
          <w:tcPr>
            <w:tcW w:w="1400" w:type="dxa"/>
            <w:vAlign w:val="bottom"/>
          </w:tcPr>
          <w:p>
            <w:pPr>
              <w:ind w:left="280"/>
              <w:spacing w:after="0"/>
              <w:rPr>
                <w:sz w:val="20"/>
                <w:szCs w:val="20"/>
                <w:color w:val="auto"/>
              </w:rPr>
            </w:pPr>
            <w:r>
              <w:rPr>
                <w:rFonts w:ascii="Arial" w:cs="Arial" w:eastAsia="Arial" w:hAnsi="Arial"/>
                <w:sz w:val="14"/>
                <w:szCs w:val="14"/>
                <w:b w:val="1"/>
                <w:bCs w:val="1"/>
                <w:color w:val="auto"/>
              </w:rPr>
              <w:t>Compensation</w:t>
            </w:r>
          </w:p>
        </w:tc>
        <w:tc>
          <w:tcPr>
            <w:tcW w:w="1420" w:type="dxa"/>
            <w:vAlign w:val="bottom"/>
          </w:tcPr>
          <w:p>
            <w:pPr>
              <w:jc w:val="center"/>
              <w:ind w:right="8"/>
              <w:spacing w:after="0"/>
              <w:rPr>
                <w:sz w:val="20"/>
                <w:szCs w:val="20"/>
                <w:color w:val="auto"/>
              </w:rPr>
            </w:pPr>
            <w:r>
              <w:rPr>
                <w:rFonts w:ascii="Arial" w:cs="Arial" w:eastAsia="Arial" w:hAnsi="Arial"/>
                <w:sz w:val="14"/>
                <w:szCs w:val="14"/>
                <w:b w:val="1"/>
                <w:bCs w:val="1"/>
                <w:color w:val="auto"/>
              </w:rPr>
              <w:t>Governance</w:t>
            </w:r>
          </w:p>
        </w:tc>
        <w:tc>
          <w:tcPr>
            <w:tcW w:w="940" w:type="dxa"/>
            <w:vAlign w:val="bottom"/>
          </w:tcPr>
          <w:p>
            <w:pPr>
              <w:ind w:left="200"/>
              <w:spacing w:after="0"/>
              <w:rPr>
                <w:sz w:val="20"/>
                <w:szCs w:val="20"/>
                <w:color w:val="auto"/>
              </w:rPr>
            </w:pPr>
            <w:r>
              <w:rPr>
                <w:rFonts w:ascii="Arial" w:cs="Arial" w:eastAsia="Arial" w:hAnsi="Arial"/>
                <w:sz w:val="14"/>
                <w:szCs w:val="14"/>
                <w:b w:val="1"/>
                <w:bCs w:val="1"/>
                <w:color w:val="auto"/>
              </w:rPr>
              <w:t>Finance</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and Public Policy</w:t>
            </w:r>
          </w:p>
        </w:tc>
        <w:tc>
          <w:tcPr>
            <w:tcW w:w="960" w:type="dxa"/>
            <w:vAlign w:val="bottom"/>
          </w:tcPr>
          <w:p>
            <w:pPr>
              <w:ind w:left="160"/>
              <w:spacing w:after="0" w:line="185" w:lineRule="exact"/>
              <w:rPr>
                <w:sz w:val="20"/>
                <w:szCs w:val="20"/>
                <w:color w:val="auto"/>
              </w:rPr>
            </w:pPr>
            <w:r>
              <w:rPr>
                <w:rFonts w:ascii="Arial" w:cs="Arial" w:eastAsia="Arial" w:hAnsi="Arial"/>
                <w:sz w:val="14"/>
                <w:szCs w:val="14"/>
                <w:b w:val="1"/>
                <w:bCs w:val="1"/>
                <w:color w:val="auto"/>
                <w:w w:val="94"/>
              </w:rPr>
              <w:t>Executive</w:t>
            </w:r>
            <w:r>
              <w:rPr>
                <w:rFonts w:ascii="Arial" w:cs="Arial" w:eastAsia="Arial" w:hAnsi="Arial"/>
                <w:sz w:val="21"/>
                <w:szCs w:val="21"/>
                <w:b w:val="1"/>
                <w:bCs w:val="1"/>
                <w:color w:val="auto"/>
                <w:w w:val="94"/>
                <w:vertAlign w:val="superscript"/>
              </w:rPr>
              <w:t>(1)</w:t>
            </w:r>
          </w:p>
        </w:tc>
      </w:tr>
    </w:tbl>
    <w:p>
      <w:pPr>
        <w:spacing w:after="0" w:line="1" w:lineRule="exact"/>
        <w:rPr>
          <w:sz w:val="20"/>
          <w:szCs w:val="20"/>
          <w:color w:val="auto"/>
        </w:rPr>
      </w:pPr>
    </w:p>
    <w:tbl>
      <w:tblPr>
        <w:tblLayout w:type="fixed"/>
        <w:tblInd w:w="760" w:type="dxa"/>
        <w:tblCellMar>
          <w:top w:w="0" w:type="dxa"/>
          <w:left w:w="0" w:type="dxa"/>
          <w:bottom w:w="0" w:type="dxa"/>
          <w:right w:w="0" w:type="dxa"/>
        </w:tblCellMar>
      </w:tblPr>
      <w:tr>
        <w:trPr>
          <w:trHeight w:val="183"/>
        </w:trPr>
        <w:tc>
          <w:tcPr>
            <w:tcW w:w="1760" w:type="dxa"/>
            <w:vAlign w:val="bottom"/>
            <w:tcBorders>
              <w:top w:val="single" w:sz="8" w:color="auto"/>
            </w:tcBorders>
            <w:vMerge w:val="restart"/>
            <w:shd w:val="clear" w:color="auto" w:fill="D4DBEB"/>
          </w:tcPr>
          <w:p>
            <w:pPr>
              <w:ind w:left="160"/>
              <w:spacing w:after="0"/>
              <w:rPr>
                <w:sz w:val="20"/>
                <w:szCs w:val="20"/>
                <w:color w:val="auto"/>
              </w:rPr>
            </w:pPr>
            <w:r>
              <w:rPr>
                <w:rFonts w:ascii="Arial" w:cs="Arial" w:eastAsia="Arial" w:hAnsi="Arial"/>
                <w:sz w:val="16"/>
                <w:szCs w:val="16"/>
                <w:color w:val="auto"/>
              </w:rPr>
              <w:t>M.J. Angelakis</w:t>
            </w:r>
          </w:p>
        </w:tc>
        <w:tc>
          <w:tcPr>
            <w:tcW w:w="360" w:type="dxa"/>
            <w:vAlign w:val="bottom"/>
            <w:tcBorders>
              <w:top w:val="single" w:sz="8" w:color="auto"/>
            </w:tcBorders>
            <w:shd w:val="clear" w:color="auto" w:fill="D4DBEB"/>
          </w:tcPr>
          <w:p>
            <w:pPr>
              <w:jc w:val="right"/>
              <w:spacing w:after="0" w:line="183" w:lineRule="exact"/>
              <w:rPr>
                <w:sz w:val="20"/>
                <w:szCs w:val="20"/>
                <w:color w:val="auto"/>
              </w:rPr>
            </w:pPr>
            <w:r>
              <w:rPr>
                <w:rFonts w:ascii="Times New Roman" w:cs="Times New Roman" w:eastAsia="Times New Roman" w:hAnsi="Times New Roman"/>
                <w:sz w:val="21"/>
                <w:szCs w:val="21"/>
                <w:color w:val="auto"/>
              </w:rPr>
              <w:t>·</w:t>
            </w:r>
          </w:p>
        </w:tc>
        <w:tc>
          <w:tcPr>
            <w:tcW w:w="1780" w:type="dxa"/>
            <w:vAlign w:val="bottom"/>
            <w:tcBorders>
              <w:top w:val="single" w:sz="8" w:color="auto"/>
            </w:tcBorders>
            <w:shd w:val="clear" w:color="auto" w:fill="D4DBEB"/>
          </w:tcPr>
          <w:p>
            <w:pPr>
              <w:spacing w:after="0"/>
              <w:rPr>
                <w:sz w:val="15"/>
                <w:szCs w:val="15"/>
                <w:color w:val="auto"/>
              </w:rPr>
            </w:pPr>
          </w:p>
        </w:tc>
        <w:tc>
          <w:tcPr>
            <w:tcW w:w="2920" w:type="dxa"/>
            <w:vAlign w:val="bottom"/>
            <w:tcBorders>
              <w:top w:val="single" w:sz="8" w:color="auto"/>
            </w:tcBorders>
            <w:shd w:val="clear" w:color="auto" w:fill="D4DBEB"/>
          </w:tcPr>
          <w:p>
            <w:pPr>
              <w:spacing w:after="0"/>
              <w:rPr>
                <w:sz w:val="15"/>
                <w:szCs w:val="15"/>
                <w:color w:val="auto"/>
              </w:rPr>
            </w:pPr>
          </w:p>
        </w:tc>
        <w:tc>
          <w:tcPr>
            <w:tcW w:w="2520" w:type="dxa"/>
            <w:vAlign w:val="bottom"/>
            <w:tcBorders>
              <w:top w:val="single" w:sz="8" w:color="auto"/>
            </w:tcBorders>
            <w:shd w:val="clear" w:color="auto" w:fill="D4DBEB"/>
          </w:tcPr>
          <w:p>
            <w:pPr>
              <w:jc w:val="right"/>
              <w:ind w:right="589"/>
              <w:spacing w:after="0" w:line="183" w:lineRule="exact"/>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52"/>
        </w:trPr>
        <w:tc>
          <w:tcPr>
            <w:tcW w:w="1760" w:type="dxa"/>
            <w:vAlign w:val="bottom"/>
            <w:vMerge w:val="continue"/>
            <w:shd w:val="clear" w:color="auto" w:fill="D4DBEB"/>
          </w:tcPr>
          <w:p>
            <w:pPr>
              <w:spacing w:after="0"/>
              <w:rPr>
                <w:sz w:val="4"/>
                <w:szCs w:val="4"/>
                <w:color w:val="auto"/>
              </w:rPr>
            </w:pPr>
          </w:p>
        </w:tc>
        <w:tc>
          <w:tcPr>
            <w:tcW w:w="360" w:type="dxa"/>
            <w:vAlign w:val="bottom"/>
            <w:shd w:val="clear" w:color="auto" w:fill="D4DBEB"/>
          </w:tcPr>
          <w:p>
            <w:pPr>
              <w:spacing w:after="0"/>
              <w:rPr>
                <w:sz w:val="4"/>
                <w:szCs w:val="4"/>
                <w:color w:val="auto"/>
              </w:rPr>
            </w:pPr>
          </w:p>
        </w:tc>
        <w:tc>
          <w:tcPr>
            <w:tcW w:w="1780" w:type="dxa"/>
            <w:vAlign w:val="bottom"/>
            <w:shd w:val="clear" w:color="auto" w:fill="D4DBEB"/>
          </w:tcPr>
          <w:p>
            <w:pPr>
              <w:spacing w:after="0"/>
              <w:rPr>
                <w:sz w:val="4"/>
                <w:szCs w:val="4"/>
                <w:color w:val="auto"/>
              </w:rPr>
            </w:pPr>
          </w:p>
        </w:tc>
        <w:tc>
          <w:tcPr>
            <w:tcW w:w="2920" w:type="dxa"/>
            <w:vAlign w:val="bottom"/>
            <w:shd w:val="clear" w:color="auto" w:fill="D4DBEB"/>
          </w:tcPr>
          <w:p>
            <w:pPr>
              <w:spacing w:after="0"/>
              <w:rPr>
                <w:sz w:val="4"/>
                <w:szCs w:val="4"/>
                <w:color w:val="auto"/>
              </w:rPr>
            </w:pPr>
          </w:p>
        </w:tc>
        <w:tc>
          <w:tcPr>
            <w:tcW w:w="2520" w:type="dxa"/>
            <w:vAlign w:val="bottom"/>
            <w:shd w:val="clear" w:color="auto" w:fill="D4DBEB"/>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1760" w:type="dxa"/>
            <w:vAlign w:val="bottom"/>
            <w:shd w:val="clear" w:color="auto" w:fill="D4DBEB"/>
          </w:tcPr>
          <w:p>
            <w:pPr>
              <w:spacing w:after="0"/>
              <w:rPr>
                <w:sz w:val="10"/>
                <w:szCs w:val="10"/>
                <w:color w:val="auto"/>
              </w:rPr>
            </w:pPr>
          </w:p>
        </w:tc>
        <w:tc>
          <w:tcPr>
            <w:tcW w:w="360" w:type="dxa"/>
            <w:vAlign w:val="bottom"/>
            <w:shd w:val="clear" w:color="auto" w:fill="D4DBEB"/>
          </w:tcPr>
          <w:p>
            <w:pPr>
              <w:spacing w:after="0"/>
              <w:rPr>
                <w:sz w:val="10"/>
                <w:szCs w:val="10"/>
                <w:color w:val="auto"/>
              </w:rPr>
            </w:pPr>
          </w:p>
        </w:tc>
        <w:tc>
          <w:tcPr>
            <w:tcW w:w="1780" w:type="dxa"/>
            <w:vAlign w:val="bottom"/>
            <w:shd w:val="clear" w:color="auto" w:fill="D4DBEB"/>
          </w:tcPr>
          <w:p>
            <w:pPr>
              <w:spacing w:after="0"/>
              <w:rPr>
                <w:sz w:val="10"/>
                <w:szCs w:val="10"/>
                <w:color w:val="auto"/>
              </w:rPr>
            </w:pPr>
          </w:p>
        </w:tc>
        <w:tc>
          <w:tcPr>
            <w:tcW w:w="2920" w:type="dxa"/>
            <w:vAlign w:val="bottom"/>
            <w:shd w:val="clear" w:color="auto" w:fill="D4DBEB"/>
          </w:tcPr>
          <w:p>
            <w:pPr>
              <w:spacing w:after="0"/>
              <w:rPr>
                <w:sz w:val="10"/>
                <w:szCs w:val="10"/>
                <w:color w:val="auto"/>
              </w:rPr>
            </w:pPr>
          </w:p>
        </w:tc>
        <w:tc>
          <w:tcPr>
            <w:tcW w:w="2520" w:type="dxa"/>
            <w:vAlign w:val="bottom"/>
            <w:shd w:val="clear" w:color="auto" w:fill="D4DBEB"/>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1760" w:type="dxa"/>
            <w:vAlign w:val="bottom"/>
          </w:tcPr>
          <w:p>
            <w:pPr>
              <w:ind w:left="160"/>
              <w:spacing w:after="0"/>
              <w:rPr>
                <w:sz w:val="20"/>
                <w:szCs w:val="20"/>
                <w:color w:val="auto"/>
              </w:rPr>
            </w:pPr>
            <w:r>
              <w:rPr>
                <w:rFonts w:ascii="Arial" w:cs="Arial" w:eastAsia="Arial" w:hAnsi="Arial"/>
                <w:sz w:val="16"/>
                <w:szCs w:val="16"/>
                <w:color w:val="auto"/>
              </w:rPr>
              <w:t>S.K. Avery</w:t>
            </w:r>
          </w:p>
        </w:tc>
        <w:tc>
          <w:tcPr>
            <w:tcW w:w="3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920" w:type="dxa"/>
            <w:vAlign w:val="bottom"/>
          </w:tcPr>
          <w:p>
            <w:pPr>
              <w:jc w:val="right"/>
              <w:ind w:right="2083"/>
              <w:spacing w:after="0" w:line="269" w:lineRule="exact"/>
              <w:rPr>
                <w:sz w:val="20"/>
                <w:szCs w:val="20"/>
                <w:color w:val="auto"/>
              </w:rPr>
            </w:pPr>
            <w:r>
              <w:rPr>
                <w:rFonts w:ascii="Times New Roman" w:cs="Times New Roman" w:eastAsia="Times New Roman" w:hAnsi="Times New Roman"/>
                <w:sz w:val="31"/>
                <w:szCs w:val="31"/>
                <w:color w:val="auto"/>
              </w:rPr>
              <w:t>·</w:t>
            </w:r>
          </w:p>
        </w:tc>
        <w:tc>
          <w:tcPr>
            <w:tcW w:w="2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60" w:type="dxa"/>
            <w:vAlign w:val="bottom"/>
            <w:shd w:val="clear" w:color="auto" w:fill="D4DBEB"/>
          </w:tcPr>
          <w:p>
            <w:pPr>
              <w:ind w:left="160"/>
              <w:spacing w:after="0"/>
              <w:rPr>
                <w:sz w:val="20"/>
                <w:szCs w:val="20"/>
                <w:color w:val="auto"/>
              </w:rPr>
            </w:pPr>
            <w:r>
              <w:rPr>
                <w:rFonts w:ascii="Arial" w:cs="Arial" w:eastAsia="Arial" w:hAnsi="Arial"/>
                <w:sz w:val="16"/>
                <w:szCs w:val="16"/>
                <w:color w:val="auto"/>
              </w:rPr>
              <w:t>A.F. Braly</w:t>
            </w:r>
          </w:p>
        </w:tc>
        <w:tc>
          <w:tcPr>
            <w:tcW w:w="360" w:type="dxa"/>
            <w:vAlign w:val="bottom"/>
            <w:shd w:val="clear" w:color="auto" w:fill="D4DBEB"/>
          </w:tcPr>
          <w:p>
            <w:pPr>
              <w:spacing w:after="0"/>
              <w:rPr>
                <w:sz w:val="23"/>
                <w:szCs w:val="23"/>
                <w:color w:val="auto"/>
              </w:rPr>
            </w:pPr>
          </w:p>
        </w:tc>
        <w:tc>
          <w:tcPr>
            <w:tcW w:w="1780" w:type="dxa"/>
            <w:vAlign w:val="bottom"/>
            <w:shd w:val="clear" w:color="auto" w:fill="D4DBEB"/>
          </w:tcPr>
          <w:p>
            <w:pPr>
              <w:spacing w:after="0"/>
              <w:rPr>
                <w:sz w:val="23"/>
                <w:szCs w:val="23"/>
                <w:color w:val="auto"/>
              </w:rPr>
            </w:pPr>
          </w:p>
        </w:tc>
        <w:tc>
          <w:tcPr>
            <w:tcW w:w="2920" w:type="dxa"/>
            <w:vAlign w:val="bottom"/>
            <w:shd w:val="clear" w:color="auto" w:fill="D4DBEB"/>
          </w:tcPr>
          <w:p>
            <w:pPr>
              <w:spacing w:after="0"/>
              <w:rPr>
                <w:sz w:val="23"/>
                <w:szCs w:val="23"/>
                <w:color w:val="auto"/>
              </w:rPr>
            </w:pPr>
          </w:p>
        </w:tc>
        <w:tc>
          <w:tcPr>
            <w:tcW w:w="2520" w:type="dxa"/>
            <w:vAlign w:val="bottom"/>
            <w:shd w:val="clear" w:color="auto" w:fill="D4DBEB"/>
          </w:tcPr>
          <w:p>
            <w:pPr>
              <w:jc w:val="right"/>
              <w:ind w:right="2009"/>
              <w:spacing w:after="0" w:line="269" w:lineRule="exact"/>
              <w:rPr>
                <w:sz w:val="20"/>
                <w:szCs w:val="20"/>
                <w:color w:val="auto"/>
              </w:rPr>
            </w:pPr>
            <w:r>
              <w:rPr>
                <w:rFonts w:ascii="Times New Roman" w:cs="Times New Roman" w:eastAsia="Times New Roman" w:hAnsi="Times New Roman"/>
                <w:sz w:val="31"/>
                <w:szCs w:val="31"/>
                <w:color w:val="auto"/>
              </w:rPr>
              <w:t>·</w:t>
            </w:r>
          </w:p>
        </w:tc>
        <w:tc>
          <w:tcPr>
            <w:tcW w:w="0" w:type="dxa"/>
            <w:vAlign w:val="bottom"/>
          </w:tcPr>
          <w:p>
            <w:pPr>
              <w:spacing w:after="0"/>
              <w:rPr>
                <w:sz w:val="1"/>
                <w:szCs w:val="1"/>
                <w:color w:val="auto"/>
              </w:rPr>
            </w:pPr>
          </w:p>
        </w:tc>
      </w:tr>
      <w:tr>
        <w:trPr>
          <w:trHeight w:val="270"/>
        </w:trPr>
        <w:tc>
          <w:tcPr>
            <w:tcW w:w="1760" w:type="dxa"/>
            <w:vAlign w:val="bottom"/>
          </w:tcPr>
          <w:p>
            <w:pPr>
              <w:ind w:left="160"/>
              <w:spacing w:after="0"/>
              <w:rPr>
                <w:sz w:val="20"/>
                <w:szCs w:val="20"/>
                <w:color w:val="auto"/>
              </w:rPr>
            </w:pPr>
            <w:r>
              <w:rPr>
                <w:rFonts w:ascii="Arial" w:cs="Arial" w:eastAsia="Arial" w:hAnsi="Arial"/>
                <w:sz w:val="16"/>
                <w:szCs w:val="16"/>
                <w:color w:val="auto"/>
              </w:rPr>
              <w:t>U.M. Burns</w:t>
            </w:r>
          </w:p>
        </w:tc>
        <w:tc>
          <w:tcPr>
            <w:tcW w:w="3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920" w:type="dxa"/>
            <w:vAlign w:val="bottom"/>
          </w:tcPr>
          <w:p>
            <w:pPr>
              <w:jc w:val="right"/>
              <w:ind w:right="863"/>
              <w:spacing w:after="0" w:line="269" w:lineRule="exact"/>
              <w:rPr>
                <w:sz w:val="20"/>
                <w:szCs w:val="20"/>
                <w:color w:val="auto"/>
              </w:rPr>
            </w:pPr>
            <w:r>
              <w:rPr>
                <w:rFonts w:ascii="Times New Roman" w:cs="Times New Roman" w:eastAsia="Times New Roman" w:hAnsi="Times New Roman"/>
                <w:sz w:val="31"/>
                <w:szCs w:val="31"/>
                <w:color w:val="auto"/>
              </w:rPr>
              <w:t>·</w:t>
            </w:r>
          </w:p>
        </w:tc>
        <w:tc>
          <w:tcPr>
            <w:tcW w:w="2520" w:type="dxa"/>
            <w:vAlign w:val="bottom"/>
          </w:tcPr>
          <w:p>
            <w:pPr>
              <w:jc w:val="right"/>
              <w:ind w:right="589"/>
              <w:spacing w:after="0" w:line="269" w:lineRule="exact"/>
              <w:rPr>
                <w:sz w:val="20"/>
                <w:szCs w:val="20"/>
                <w:color w:val="auto"/>
              </w:rPr>
            </w:pPr>
            <w:r>
              <w:rPr>
                <w:rFonts w:ascii="Times New Roman" w:cs="Times New Roman" w:eastAsia="Times New Roman" w:hAnsi="Times New Roman"/>
                <w:sz w:val="31"/>
                <w:szCs w:val="31"/>
                <w:color w:val="auto"/>
              </w:rPr>
              <w:t>·</w:t>
            </w:r>
          </w:p>
        </w:tc>
        <w:tc>
          <w:tcPr>
            <w:tcW w:w="0" w:type="dxa"/>
            <w:vAlign w:val="bottom"/>
          </w:tcPr>
          <w:p>
            <w:pPr>
              <w:spacing w:after="0"/>
              <w:rPr>
                <w:sz w:val="1"/>
                <w:szCs w:val="1"/>
                <w:color w:val="auto"/>
              </w:rPr>
            </w:pPr>
          </w:p>
        </w:tc>
      </w:tr>
      <w:tr>
        <w:trPr>
          <w:trHeight w:val="270"/>
        </w:trPr>
        <w:tc>
          <w:tcPr>
            <w:tcW w:w="1760" w:type="dxa"/>
            <w:vAlign w:val="bottom"/>
            <w:shd w:val="clear" w:color="auto" w:fill="D4DBEB"/>
          </w:tcPr>
          <w:p>
            <w:pPr>
              <w:ind w:left="160"/>
              <w:spacing w:after="0"/>
              <w:rPr>
                <w:sz w:val="20"/>
                <w:szCs w:val="20"/>
                <w:color w:val="auto"/>
              </w:rPr>
            </w:pPr>
            <w:r>
              <w:rPr>
                <w:rFonts w:ascii="Arial" w:cs="Arial" w:eastAsia="Arial" w:hAnsi="Arial"/>
                <w:sz w:val="16"/>
                <w:szCs w:val="16"/>
                <w:color w:val="auto"/>
              </w:rPr>
              <w:t>G.J. Goff</w:t>
            </w:r>
          </w:p>
        </w:tc>
        <w:tc>
          <w:tcPr>
            <w:tcW w:w="360" w:type="dxa"/>
            <w:vAlign w:val="bottom"/>
            <w:shd w:val="clear" w:color="auto" w:fill="D4DBEB"/>
          </w:tcPr>
          <w:p>
            <w:pPr>
              <w:jc w:val="right"/>
              <w:spacing w:after="0" w:line="269" w:lineRule="exact"/>
              <w:rPr>
                <w:sz w:val="20"/>
                <w:szCs w:val="20"/>
                <w:color w:val="auto"/>
              </w:rPr>
            </w:pPr>
            <w:r>
              <w:rPr>
                <w:rFonts w:ascii="Times New Roman" w:cs="Times New Roman" w:eastAsia="Times New Roman" w:hAnsi="Times New Roman"/>
                <w:sz w:val="31"/>
                <w:szCs w:val="31"/>
                <w:color w:val="auto"/>
              </w:rPr>
              <w:t>·</w:t>
            </w:r>
          </w:p>
        </w:tc>
        <w:tc>
          <w:tcPr>
            <w:tcW w:w="1780" w:type="dxa"/>
            <w:vAlign w:val="bottom"/>
            <w:shd w:val="clear" w:color="auto" w:fill="D4DBEB"/>
          </w:tcPr>
          <w:p>
            <w:pPr>
              <w:spacing w:after="0"/>
              <w:rPr>
                <w:sz w:val="23"/>
                <w:szCs w:val="23"/>
                <w:color w:val="auto"/>
              </w:rPr>
            </w:pPr>
          </w:p>
        </w:tc>
        <w:tc>
          <w:tcPr>
            <w:tcW w:w="2920" w:type="dxa"/>
            <w:vAlign w:val="bottom"/>
            <w:shd w:val="clear" w:color="auto" w:fill="D4DBEB"/>
          </w:tcPr>
          <w:p>
            <w:pPr>
              <w:jc w:val="right"/>
              <w:ind w:right="863"/>
              <w:spacing w:after="0" w:line="269" w:lineRule="exact"/>
              <w:rPr>
                <w:sz w:val="20"/>
                <w:szCs w:val="20"/>
                <w:color w:val="auto"/>
              </w:rPr>
            </w:pPr>
            <w:r>
              <w:rPr>
                <w:rFonts w:ascii="Times New Roman" w:cs="Times New Roman" w:eastAsia="Times New Roman" w:hAnsi="Times New Roman"/>
                <w:sz w:val="31"/>
                <w:szCs w:val="31"/>
                <w:color w:val="auto"/>
              </w:rPr>
              <w:t>·</w:t>
            </w:r>
          </w:p>
        </w:tc>
        <w:tc>
          <w:tcPr>
            <w:tcW w:w="2520" w:type="dxa"/>
            <w:vAlign w:val="bottom"/>
            <w:shd w:val="clear" w:color="auto" w:fill="D4DBEB"/>
          </w:tcPr>
          <w:p>
            <w:pPr>
              <w:jc w:val="right"/>
              <w:ind w:right="589"/>
              <w:spacing w:after="0" w:line="269" w:lineRule="exact"/>
              <w:rPr>
                <w:sz w:val="20"/>
                <w:szCs w:val="20"/>
                <w:color w:val="auto"/>
              </w:rPr>
            </w:pPr>
            <w:r>
              <w:rPr>
                <w:rFonts w:ascii="Times New Roman" w:cs="Times New Roman" w:eastAsia="Times New Roman" w:hAnsi="Times New Roman"/>
                <w:sz w:val="31"/>
                <w:szCs w:val="31"/>
                <w:color w:val="auto"/>
              </w:rPr>
              <w:t>·</w:t>
            </w:r>
          </w:p>
        </w:tc>
        <w:tc>
          <w:tcPr>
            <w:tcW w:w="0" w:type="dxa"/>
            <w:vAlign w:val="bottom"/>
          </w:tcPr>
          <w:p>
            <w:pPr>
              <w:spacing w:after="0"/>
              <w:rPr>
                <w:sz w:val="1"/>
                <w:szCs w:val="1"/>
                <w:color w:val="auto"/>
              </w:rPr>
            </w:pPr>
          </w:p>
        </w:tc>
      </w:tr>
      <w:tr>
        <w:trPr>
          <w:trHeight w:val="270"/>
        </w:trPr>
        <w:tc>
          <w:tcPr>
            <w:tcW w:w="1760" w:type="dxa"/>
            <w:vAlign w:val="bottom"/>
          </w:tcPr>
          <w:p>
            <w:pPr>
              <w:ind w:left="160"/>
              <w:spacing w:after="0"/>
              <w:rPr>
                <w:sz w:val="20"/>
                <w:szCs w:val="20"/>
                <w:color w:val="auto"/>
              </w:rPr>
            </w:pPr>
            <w:r>
              <w:rPr>
                <w:rFonts w:ascii="Arial" w:cs="Arial" w:eastAsia="Arial" w:hAnsi="Arial"/>
                <w:sz w:val="16"/>
                <w:szCs w:val="16"/>
                <w:color w:val="auto"/>
              </w:rPr>
              <w:t>J.D. Harris II</w:t>
            </w:r>
          </w:p>
        </w:tc>
        <w:tc>
          <w:tcPr>
            <w:tcW w:w="360" w:type="dxa"/>
            <w:vAlign w:val="bottom"/>
          </w:tcPr>
          <w:p>
            <w:pPr>
              <w:jc w:val="right"/>
              <w:spacing w:after="0" w:line="269" w:lineRule="exact"/>
              <w:rPr>
                <w:sz w:val="20"/>
                <w:szCs w:val="20"/>
                <w:color w:val="auto"/>
              </w:rPr>
            </w:pPr>
            <w:r>
              <w:rPr>
                <w:rFonts w:ascii="Times New Roman" w:cs="Times New Roman" w:eastAsia="Times New Roman" w:hAnsi="Times New Roman"/>
                <w:sz w:val="31"/>
                <w:szCs w:val="31"/>
                <w:color w:val="auto"/>
              </w:rPr>
              <w:t>·</w:t>
            </w:r>
          </w:p>
        </w:tc>
        <w:tc>
          <w:tcPr>
            <w:tcW w:w="1780" w:type="dxa"/>
            <w:vAlign w:val="bottom"/>
          </w:tcPr>
          <w:p>
            <w:pPr>
              <w:jc w:val="right"/>
              <w:ind w:right="464"/>
              <w:spacing w:after="0" w:line="269" w:lineRule="exact"/>
              <w:rPr>
                <w:sz w:val="20"/>
                <w:szCs w:val="20"/>
                <w:color w:val="auto"/>
              </w:rPr>
            </w:pPr>
            <w:r>
              <w:rPr>
                <w:rFonts w:ascii="Times New Roman" w:cs="Times New Roman" w:eastAsia="Times New Roman" w:hAnsi="Times New Roman"/>
                <w:sz w:val="31"/>
                <w:szCs w:val="31"/>
                <w:color w:val="auto"/>
              </w:rPr>
              <w:t>·</w:t>
            </w:r>
          </w:p>
        </w:tc>
        <w:tc>
          <w:tcPr>
            <w:tcW w:w="292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60" w:type="dxa"/>
            <w:vAlign w:val="bottom"/>
            <w:shd w:val="clear" w:color="auto" w:fill="D4DBEB"/>
          </w:tcPr>
          <w:p>
            <w:pPr>
              <w:ind w:left="160"/>
              <w:spacing w:after="0"/>
              <w:rPr>
                <w:sz w:val="20"/>
                <w:szCs w:val="20"/>
                <w:color w:val="auto"/>
              </w:rPr>
            </w:pPr>
            <w:r>
              <w:rPr>
                <w:rFonts w:ascii="Arial" w:cs="Arial" w:eastAsia="Arial" w:hAnsi="Arial"/>
                <w:sz w:val="16"/>
                <w:szCs w:val="16"/>
                <w:color w:val="auto"/>
              </w:rPr>
              <w:t>K.H. Hietala</w:t>
            </w:r>
          </w:p>
        </w:tc>
        <w:tc>
          <w:tcPr>
            <w:tcW w:w="360" w:type="dxa"/>
            <w:vAlign w:val="bottom"/>
            <w:shd w:val="clear" w:color="auto" w:fill="D4DBEB"/>
          </w:tcPr>
          <w:p>
            <w:pPr>
              <w:jc w:val="right"/>
              <w:spacing w:after="0" w:line="269" w:lineRule="exact"/>
              <w:rPr>
                <w:sz w:val="20"/>
                <w:szCs w:val="20"/>
                <w:color w:val="auto"/>
              </w:rPr>
            </w:pPr>
            <w:r>
              <w:rPr>
                <w:rFonts w:ascii="Times New Roman" w:cs="Times New Roman" w:eastAsia="Times New Roman" w:hAnsi="Times New Roman"/>
                <w:sz w:val="31"/>
                <w:szCs w:val="31"/>
                <w:color w:val="auto"/>
              </w:rPr>
              <w:t>·</w:t>
            </w:r>
          </w:p>
        </w:tc>
        <w:tc>
          <w:tcPr>
            <w:tcW w:w="1780" w:type="dxa"/>
            <w:vAlign w:val="bottom"/>
            <w:shd w:val="clear" w:color="auto" w:fill="D4DBEB"/>
          </w:tcPr>
          <w:p>
            <w:pPr>
              <w:spacing w:after="0"/>
              <w:rPr>
                <w:sz w:val="23"/>
                <w:szCs w:val="23"/>
                <w:color w:val="auto"/>
              </w:rPr>
            </w:pPr>
          </w:p>
        </w:tc>
        <w:tc>
          <w:tcPr>
            <w:tcW w:w="2920" w:type="dxa"/>
            <w:vAlign w:val="bottom"/>
            <w:shd w:val="clear" w:color="auto" w:fill="D4DBEB"/>
          </w:tcPr>
          <w:p>
            <w:pPr>
              <w:jc w:val="right"/>
              <w:ind w:right="863"/>
              <w:spacing w:after="0" w:line="269" w:lineRule="exact"/>
              <w:rPr>
                <w:sz w:val="20"/>
                <w:szCs w:val="20"/>
                <w:color w:val="auto"/>
              </w:rPr>
            </w:pPr>
            <w:r>
              <w:rPr>
                <w:rFonts w:ascii="Times New Roman" w:cs="Times New Roman" w:eastAsia="Times New Roman" w:hAnsi="Times New Roman"/>
                <w:sz w:val="31"/>
                <w:szCs w:val="31"/>
                <w:color w:val="auto"/>
              </w:rPr>
              <w:t>·</w:t>
            </w:r>
          </w:p>
        </w:tc>
        <w:tc>
          <w:tcPr>
            <w:tcW w:w="2520" w:type="dxa"/>
            <w:vAlign w:val="bottom"/>
            <w:shd w:val="clear" w:color="auto" w:fill="D4DBEB"/>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60" w:type="dxa"/>
            <w:vAlign w:val="bottom"/>
          </w:tcPr>
          <w:p>
            <w:pPr>
              <w:ind w:left="160"/>
              <w:spacing w:after="0"/>
              <w:rPr>
                <w:sz w:val="20"/>
                <w:szCs w:val="20"/>
                <w:color w:val="auto"/>
              </w:rPr>
            </w:pPr>
            <w:r>
              <w:rPr>
                <w:rFonts w:ascii="Arial" w:cs="Arial" w:eastAsia="Arial" w:hAnsi="Arial"/>
                <w:sz w:val="16"/>
                <w:szCs w:val="16"/>
                <w:color w:val="auto"/>
              </w:rPr>
              <w:t>J.L. Hooley</w:t>
            </w:r>
          </w:p>
        </w:tc>
        <w:tc>
          <w:tcPr>
            <w:tcW w:w="360" w:type="dxa"/>
            <w:vAlign w:val="bottom"/>
          </w:tcPr>
          <w:p>
            <w:pPr>
              <w:spacing w:after="0"/>
              <w:rPr>
                <w:sz w:val="23"/>
                <w:szCs w:val="23"/>
                <w:color w:val="auto"/>
              </w:rPr>
            </w:pPr>
          </w:p>
        </w:tc>
        <w:tc>
          <w:tcPr>
            <w:tcW w:w="1780" w:type="dxa"/>
            <w:vAlign w:val="bottom"/>
          </w:tcPr>
          <w:p>
            <w:pPr>
              <w:jc w:val="right"/>
              <w:ind w:right="464"/>
              <w:spacing w:after="0" w:line="269" w:lineRule="exact"/>
              <w:rPr>
                <w:sz w:val="20"/>
                <w:szCs w:val="20"/>
                <w:color w:val="auto"/>
              </w:rPr>
            </w:pPr>
            <w:r>
              <w:rPr>
                <w:rFonts w:ascii="Times New Roman" w:cs="Times New Roman" w:eastAsia="Times New Roman" w:hAnsi="Times New Roman"/>
                <w:sz w:val="31"/>
                <w:szCs w:val="31"/>
                <w:color w:val="auto"/>
              </w:rPr>
              <w:t>·</w:t>
            </w:r>
          </w:p>
        </w:tc>
        <w:tc>
          <w:tcPr>
            <w:tcW w:w="2920" w:type="dxa"/>
            <w:vAlign w:val="bottom"/>
          </w:tcPr>
          <w:p>
            <w:pPr>
              <w:spacing w:after="0"/>
              <w:rPr>
                <w:sz w:val="23"/>
                <w:szCs w:val="23"/>
                <w:color w:val="auto"/>
              </w:rPr>
            </w:pPr>
          </w:p>
        </w:tc>
        <w:tc>
          <w:tcPr>
            <w:tcW w:w="2520" w:type="dxa"/>
            <w:vAlign w:val="bottom"/>
          </w:tcPr>
          <w:p>
            <w:pPr>
              <w:jc w:val="right"/>
              <w:ind w:right="589"/>
              <w:spacing w:after="0" w:line="269" w:lineRule="exact"/>
              <w:rPr>
                <w:sz w:val="20"/>
                <w:szCs w:val="20"/>
                <w:color w:val="auto"/>
              </w:rPr>
            </w:pPr>
            <w:r>
              <w:rPr>
                <w:rFonts w:ascii="Times New Roman" w:cs="Times New Roman" w:eastAsia="Times New Roman" w:hAnsi="Times New Roman"/>
                <w:sz w:val="31"/>
                <w:szCs w:val="31"/>
                <w:color w:val="auto"/>
              </w:rPr>
              <w:t>·</w:t>
            </w:r>
          </w:p>
        </w:tc>
        <w:tc>
          <w:tcPr>
            <w:tcW w:w="0" w:type="dxa"/>
            <w:vAlign w:val="bottom"/>
          </w:tcPr>
          <w:p>
            <w:pPr>
              <w:spacing w:after="0"/>
              <w:rPr>
                <w:sz w:val="1"/>
                <w:szCs w:val="1"/>
                <w:color w:val="auto"/>
              </w:rPr>
            </w:pPr>
          </w:p>
        </w:tc>
      </w:tr>
      <w:tr>
        <w:trPr>
          <w:trHeight w:val="270"/>
        </w:trPr>
        <w:tc>
          <w:tcPr>
            <w:tcW w:w="1760" w:type="dxa"/>
            <w:vAlign w:val="bottom"/>
            <w:shd w:val="clear" w:color="auto" w:fill="D4DBEB"/>
          </w:tcPr>
          <w:p>
            <w:pPr>
              <w:ind w:left="160"/>
              <w:spacing w:after="0"/>
              <w:rPr>
                <w:sz w:val="20"/>
                <w:szCs w:val="20"/>
                <w:color w:val="auto"/>
              </w:rPr>
            </w:pPr>
            <w:r>
              <w:rPr>
                <w:rFonts w:ascii="Arial" w:cs="Arial" w:eastAsia="Arial" w:hAnsi="Arial"/>
                <w:sz w:val="16"/>
                <w:szCs w:val="16"/>
                <w:color w:val="auto"/>
              </w:rPr>
              <w:t>S.A. Kandarian</w:t>
            </w:r>
          </w:p>
        </w:tc>
        <w:tc>
          <w:tcPr>
            <w:tcW w:w="360" w:type="dxa"/>
            <w:vAlign w:val="bottom"/>
            <w:shd w:val="clear" w:color="auto" w:fill="D4DBEB"/>
          </w:tcPr>
          <w:p>
            <w:pPr>
              <w:spacing w:after="0"/>
              <w:rPr>
                <w:sz w:val="23"/>
                <w:szCs w:val="23"/>
                <w:color w:val="auto"/>
              </w:rPr>
            </w:pPr>
          </w:p>
        </w:tc>
        <w:tc>
          <w:tcPr>
            <w:tcW w:w="1780" w:type="dxa"/>
            <w:vAlign w:val="bottom"/>
            <w:shd w:val="clear" w:color="auto" w:fill="D4DBEB"/>
          </w:tcPr>
          <w:p>
            <w:pPr>
              <w:jc w:val="right"/>
              <w:ind w:right="464"/>
              <w:spacing w:after="0" w:line="269" w:lineRule="exact"/>
              <w:rPr>
                <w:sz w:val="20"/>
                <w:szCs w:val="20"/>
                <w:color w:val="auto"/>
              </w:rPr>
            </w:pPr>
            <w:r>
              <w:rPr>
                <w:rFonts w:ascii="Times New Roman" w:cs="Times New Roman" w:eastAsia="Times New Roman" w:hAnsi="Times New Roman"/>
                <w:sz w:val="31"/>
                <w:szCs w:val="31"/>
                <w:color w:val="auto"/>
              </w:rPr>
              <w:t>·</w:t>
            </w:r>
          </w:p>
        </w:tc>
        <w:tc>
          <w:tcPr>
            <w:tcW w:w="2920" w:type="dxa"/>
            <w:vAlign w:val="bottom"/>
            <w:shd w:val="clear" w:color="auto" w:fill="D4DBEB"/>
          </w:tcPr>
          <w:p>
            <w:pPr>
              <w:jc w:val="right"/>
              <w:ind w:right="2083"/>
              <w:spacing w:after="0" w:line="269" w:lineRule="exact"/>
              <w:rPr>
                <w:sz w:val="20"/>
                <w:szCs w:val="20"/>
                <w:color w:val="auto"/>
              </w:rPr>
            </w:pPr>
            <w:r>
              <w:rPr>
                <w:rFonts w:ascii="Times New Roman" w:cs="Times New Roman" w:eastAsia="Times New Roman" w:hAnsi="Times New Roman"/>
                <w:sz w:val="31"/>
                <w:szCs w:val="31"/>
                <w:color w:val="auto"/>
              </w:rPr>
              <w:t>·</w:t>
            </w:r>
          </w:p>
        </w:tc>
        <w:tc>
          <w:tcPr>
            <w:tcW w:w="2520" w:type="dxa"/>
            <w:vAlign w:val="bottom"/>
            <w:shd w:val="clear" w:color="auto" w:fill="D4DBEB"/>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60" w:type="dxa"/>
            <w:vAlign w:val="bottom"/>
          </w:tcPr>
          <w:p>
            <w:pPr>
              <w:ind w:left="160"/>
              <w:spacing w:after="0"/>
              <w:rPr>
                <w:sz w:val="20"/>
                <w:szCs w:val="20"/>
                <w:color w:val="auto"/>
              </w:rPr>
            </w:pPr>
            <w:r>
              <w:rPr>
                <w:rFonts w:ascii="Arial" w:cs="Arial" w:eastAsia="Arial" w:hAnsi="Arial"/>
                <w:sz w:val="16"/>
                <w:szCs w:val="16"/>
                <w:color w:val="auto"/>
              </w:rPr>
              <w:t>A.A. Karsner</w:t>
            </w:r>
          </w:p>
        </w:tc>
        <w:tc>
          <w:tcPr>
            <w:tcW w:w="3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920" w:type="dxa"/>
            <w:vAlign w:val="bottom"/>
          </w:tcPr>
          <w:p>
            <w:pPr>
              <w:jc w:val="right"/>
              <w:ind w:right="2083"/>
              <w:spacing w:after="0" w:line="269" w:lineRule="exact"/>
              <w:rPr>
                <w:sz w:val="20"/>
                <w:szCs w:val="20"/>
                <w:color w:val="auto"/>
              </w:rPr>
            </w:pPr>
            <w:r>
              <w:rPr>
                <w:rFonts w:ascii="Times New Roman" w:cs="Times New Roman" w:eastAsia="Times New Roman" w:hAnsi="Times New Roman"/>
                <w:sz w:val="31"/>
                <w:szCs w:val="31"/>
                <w:color w:val="auto"/>
              </w:rPr>
              <w:t>·</w:t>
            </w:r>
          </w:p>
        </w:tc>
        <w:tc>
          <w:tcPr>
            <w:tcW w:w="2520" w:type="dxa"/>
            <w:vAlign w:val="bottom"/>
          </w:tcPr>
          <w:p>
            <w:pPr>
              <w:jc w:val="right"/>
              <w:ind w:right="2009"/>
              <w:spacing w:after="0" w:line="269" w:lineRule="exact"/>
              <w:rPr>
                <w:sz w:val="20"/>
                <w:szCs w:val="20"/>
                <w:color w:val="auto"/>
              </w:rPr>
            </w:pPr>
            <w:r>
              <w:rPr>
                <w:rFonts w:ascii="Times New Roman" w:cs="Times New Roman" w:eastAsia="Times New Roman" w:hAnsi="Times New Roman"/>
                <w:sz w:val="31"/>
                <w:szCs w:val="31"/>
                <w:color w:val="auto"/>
              </w:rPr>
              <w:t>·</w:t>
            </w:r>
          </w:p>
        </w:tc>
        <w:tc>
          <w:tcPr>
            <w:tcW w:w="0" w:type="dxa"/>
            <w:vAlign w:val="bottom"/>
          </w:tcPr>
          <w:p>
            <w:pPr>
              <w:spacing w:after="0"/>
              <w:rPr>
                <w:sz w:val="1"/>
                <w:szCs w:val="1"/>
                <w:color w:val="auto"/>
              </w:rPr>
            </w:pPr>
          </w:p>
        </w:tc>
      </w:tr>
      <w:tr>
        <w:trPr>
          <w:trHeight w:val="270"/>
        </w:trPr>
        <w:tc>
          <w:tcPr>
            <w:tcW w:w="1760" w:type="dxa"/>
            <w:vAlign w:val="bottom"/>
            <w:shd w:val="clear" w:color="auto" w:fill="D4DBEB"/>
          </w:tcPr>
          <w:p>
            <w:pPr>
              <w:ind w:left="160"/>
              <w:spacing w:after="0"/>
              <w:rPr>
                <w:sz w:val="20"/>
                <w:szCs w:val="20"/>
                <w:color w:val="auto"/>
              </w:rPr>
            </w:pPr>
            <w:r>
              <w:rPr>
                <w:rFonts w:ascii="Arial" w:cs="Arial" w:eastAsia="Arial" w:hAnsi="Arial"/>
                <w:sz w:val="16"/>
                <w:szCs w:val="16"/>
                <w:color w:val="auto"/>
              </w:rPr>
              <w:t>L.W. Kellner</w:t>
            </w:r>
          </w:p>
        </w:tc>
        <w:tc>
          <w:tcPr>
            <w:tcW w:w="360" w:type="dxa"/>
            <w:vAlign w:val="bottom"/>
            <w:shd w:val="clear" w:color="auto" w:fill="D4DBEB"/>
          </w:tcPr>
          <w:p>
            <w:pPr>
              <w:spacing w:after="0"/>
              <w:rPr>
                <w:sz w:val="23"/>
                <w:szCs w:val="23"/>
                <w:color w:val="auto"/>
              </w:rPr>
            </w:pPr>
          </w:p>
        </w:tc>
        <w:tc>
          <w:tcPr>
            <w:tcW w:w="1780" w:type="dxa"/>
            <w:vAlign w:val="bottom"/>
            <w:shd w:val="clear" w:color="auto" w:fill="D4DBEB"/>
          </w:tcPr>
          <w:p>
            <w:pPr>
              <w:spacing w:after="0"/>
              <w:rPr>
                <w:sz w:val="23"/>
                <w:szCs w:val="23"/>
                <w:color w:val="auto"/>
              </w:rPr>
            </w:pPr>
          </w:p>
        </w:tc>
        <w:tc>
          <w:tcPr>
            <w:tcW w:w="2920" w:type="dxa"/>
            <w:vAlign w:val="bottom"/>
            <w:shd w:val="clear" w:color="auto" w:fill="D4DBEB"/>
          </w:tcPr>
          <w:p>
            <w:pPr>
              <w:jc w:val="right"/>
              <w:ind w:right="2083"/>
              <w:spacing w:after="0" w:line="269" w:lineRule="exact"/>
              <w:rPr>
                <w:sz w:val="20"/>
                <w:szCs w:val="20"/>
                <w:color w:val="auto"/>
              </w:rPr>
            </w:pPr>
            <w:r>
              <w:rPr>
                <w:rFonts w:ascii="Times New Roman" w:cs="Times New Roman" w:eastAsia="Times New Roman" w:hAnsi="Times New Roman"/>
                <w:sz w:val="31"/>
                <w:szCs w:val="31"/>
                <w:color w:val="auto"/>
              </w:rPr>
              <w:t>·</w:t>
            </w:r>
          </w:p>
        </w:tc>
        <w:tc>
          <w:tcPr>
            <w:tcW w:w="2520" w:type="dxa"/>
            <w:vAlign w:val="bottom"/>
            <w:shd w:val="clear" w:color="auto" w:fill="D4DBEB"/>
          </w:tcPr>
          <w:p>
            <w:pPr>
              <w:jc w:val="right"/>
              <w:ind w:right="2009"/>
              <w:spacing w:after="0" w:line="269" w:lineRule="exact"/>
              <w:rPr>
                <w:sz w:val="20"/>
                <w:szCs w:val="20"/>
                <w:color w:val="auto"/>
              </w:rPr>
            </w:pPr>
            <w:r>
              <w:rPr>
                <w:rFonts w:ascii="Times New Roman" w:cs="Times New Roman" w:eastAsia="Times New Roman" w:hAnsi="Times New Roman"/>
                <w:sz w:val="31"/>
                <w:szCs w:val="31"/>
                <w:color w:val="auto"/>
              </w:rPr>
              <w:t>·</w:t>
            </w:r>
          </w:p>
        </w:tc>
        <w:tc>
          <w:tcPr>
            <w:tcW w:w="0" w:type="dxa"/>
            <w:vAlign w:val="bottom"/>
          </w:tcPr>
          <w:p>
            <w:pPr>
              <w:spacing w:after="0"/>
              <w:rPr>
                <w:sz w:val="1"/>
                <w:szCs w:val="1"/>
                <w:color w:val="auto"/>
              </w:rPr>
            </w:pPr>
          </w:p>
        </w:tc>
      </w:tr>
      <w:tr>
        <w:trPr>
          <w:trHeight w:val="270"/>
        </w:trPr>
        <w:tc>
          <w:tcPr>
            <w:tcW w:w="1760" w:type="dxa"/>
            <w:vAlign w:val="bottom"/>
          </w:tcPr>
          <w:p>
            <w:pPr>
              <w:ind w:left="160"/>
              <w:spacing w:after="0"/>
              <w:rPr>
                <w:sz w:val="20"/>
                <w:szCs w:val="20"/>
                <w:color w:val="auto"/>
              </w:rPr>
            </w:pPr>
            <w:r>
              <w:rPr>
                <w:rFonts w:ascii="Arial" w:cs="Arial" w:eastAsia="Arial" w:hAnsi="Arial"/>
                <w:sz w:val="16"/>
                <w:szCs w:val="16"/>
                <w:color w:val="auto"/>
              </w:rPr>
              <w:t>J.W. Ubben</w:t>
            </w:r>
          </w:p>
        </w:tc>
        <w:tc>
          <w:tcPr>
            <w:tcW w:w="3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920" w:type="dxa"/>
            <w:vAlign w:val="bottom"/>
          </w:tcPr>
          <w:p>
            <w:pPr>
              <w:jc w:val="right"/>
              <w:ind w:right="863"/>
              <w:spacing w:after="0" w:line="269" w:lineRule="exact"/>
              <w:rPr>
                <w:sz w:val="20"/>
                <w:szCs w:val="20"/>
                <w:color w:val="auto"/>
              </w:rPr>
            </w:pPr>
            <w:r>
              <w:rPr>
                <w:rFonts w:ascii="Times New Roman" w:cs="Times New Roman" w:eastAsia="Times New Roman" w:hAnsi="Times New Roman"/>
                <w:sz w:val="31"/>
                <w:szCs w:val="31"/>
                <w:color w:val="auto"/>
              </w:rPr>
              <w:t>·</w:t>
            </w:r>
          </w:p>
        </w:tc>
        <w:tc>
          <w:tcPr>
            <w:tcW w:w="2520" w:type="dxa"/>
            <w:vAlign w:val="bottom"/>
          </w:tcPr>
          <w:p>
            <w:pPr>
              <w:jc w:val="right"/>
              <w:ind w:right="2009"/>
              <w:spacing w:after="0" w:line="269" w:lineRule="exact"/>
              <w:rPr>
                <w:sz w:val="20"/>
                <w:szCs w:val="20"/>
                <w:color w:val="auto"/>
              </w:rPr>
            </w:pPr>
            <w:r>
              <w:rPr>
                <w:rFonts w:ascii="Times New Roman" w:cs="Times New Roman" w:eastAsia="Times New Roman" w:hAnsi="Times New Roman"/>
                <w:sz w:val="31"/>
                <w:szCs w:val="31"/>
                <w:color w:val="auto"/>
              </w:rPr>
              <w:t>·</w:t>
            </w:r>
          </w:p>
        </w:tc>
        <w:tc>
          <w:tcPr>
            <w:tcW w:w="0" w:type="dxa"/>
            <w:vAlign w:val="bottom"/>
          </w:tcPr>
          <w:p>
            <w:pPr>
              <w:spacing w:after="0"/>
              <w:rPr>
                <w:sz w:val="1"/>
                <w:szCs w:val="1"/>
                <w:color w:val="auto"/>
              </w:rPr>
            </w:pPr>
          </w:p>
        </w:tc>
      </w:tr>
      <w:tr>
        <w:trPr>
          <w:trHeight w:val="270"/>
        </w:trPr>
        <w:tc>
          <w:tcPr>
            <w:tcW w:w="1760" w:type="dxa"/>
            <w:vAlign w:val="bottom"/>
            <w:shd w:val="clear" w:color="auto" w:fill="D4DBEB"/>
          </w:tcPr>
          <w:p>
            <w:pPr>
              <w:ind w:left="160"/>
              <w:spacing w:after="0"/>
              <w:rPr>
                <w:sz w:val="20"/>
                <w:szCs w:val="20"/>
                <w:color w:val="auto"/>
              </w:rPr>
            </w:pPr>
            <w:r>
              <w:rPr>
                <w:rFonts w:ascii="Arial" w:cs="Arial" w:eastAsia="Arial" w:hAnsi="Arial"/>
                <w:sz w:val="16"/>
                <w:szCs w:val="16"/>
                <w:color w:val="auto"/>
              </w:rPr>
              <w:t>D.W. Woods</w:t>
            </w:r>
          </w:p>
        </w:tc>
        <w:tc>
          <w:tcPr>
            <w:tcW w:w="360" w:type="dxa"/>
            <w:vAlign w:val="bottom"/>
            <w:shd w:val="clear" w:color="auto" w:fill="D4DBEB"/>
          </w:tcPr>
          <w:p>
            <w:pPr>
              <w:spacing w:after="0"/>
              <w:rPr>
                <w:sz w:val="23"/>
                <w:szCs w:val="23"/>
                <w:color w:val="auto"/>
              </w:rPr>
            </w:pPr>
          </w:p>
        </w:tc>
        <w:tc>
          <w:tcPr>
            <w:tcW w:w="1780" w:type="dxa"/>
            <w:vAlign w:val="bottom"/>
            <w:shd w:val="clear" w:color="auto" w:fill="D4DBEB"/>
          </w:tcPr>
          <w:p>
            <w:pPr>
              <w:spacing w:after="0"/>
              <w:rPr>
                <w:sz w:val="23"/>
                <w:szCs w:val="23"/>
                <w:color w:val="auto"/>
              </w:rPr>
            </w:pPr>
          </w:p>
        </w:tc>
        <w:tc>
          <w:tcPr>
            <w:tcW w:w="2920" w:type="dxa"/>
            <w:vAlign w:val="bottom"/>
            <w:shd w:val="clear" w:color="auto" w:fill="D4DBEB"/>
          </w:tcPr>
          <w:p>
            <w:pPr>
              <w:jc w:val="right"/>
              <w:ind w:right="863"/>
              <w:spacing w:after="0" w:line="269" w:lineRule="exact"/>
              <w:rPr>
                <w:sz w:val="20"/>
                <w:szCs w:val="20"/>
                <w:color w:val="auto"/>
              </w:rPr>
            </w:pPr>
            <w:r>
              <w:rPr>
                <w:rFonts w:ascii="Times New Roman" w:cs="Times New Roman" w:eastAsia="Times New Roman" w:hAnsi="Times New Roman"/>
                <w:sz w:val="31"/>
                <w:szCs w:val="31"/>
                <w:color w:val="auto"/>
              </w:rPr>
              <w:t>·</w:t>
            </w:r>
          </w:p>
        </w:tc>
        <w:tc>
          <w:tcPr>
            <w:tcW w:w="2520" w:type="dxa"/>
            <w:vAlign w:val="bottom"/>
            <w:shd w:val="clear" w:color="auto" w:fill="D4DBEB"/>
          </w:tcPr>
          <w:p>
            <w:pPr>
              <w:spacing w:after="0"/>
              <w:rPr>
                <w:sz w:val="23"/>
                <w:szCs w:val="23"/>
                <w:color w:val="auto"/>
              </w:rPr>
            </w:pPr>
          </w:p>
        </w:tc>
        <w:tc>
          <w:tcPr>
            <w:tcW w:w="0" w:type="dxa"/>
            <w:vAlign w:val="bottom"/>
          </w:tcPr>
          <w:p>
            <w:pPr>
              <w:spacing w:after="0"/>
              <w:rPr>
                <w:sz w:val="1"/>
                <w:szCs w:val="1"/>
                <w:color w:val="auto"/>
              </w:rPr>
            </w:pPr>
          </w:p>
        </w:tc>
      </w:tr>
      <w:tr>
        <w:trPr>
          <w:trHeight w:val="471"/>
        </w:trPr>
        <w:tc>
          <w:tcPr>
            <w:tcW w:w="1760" w:type="dxa"/>
            <w:vAlign w:val="bottom"/>
          </w:tcPr>
          <w:p>
            <w:pPr>
              <w:ind w:left="200"/>
              <w:spacing w:after="0"/>
              <w:rPr>
                <w:sz w:val="20"/>
                <w:szCs w:val="20"/>
                <w:color w:val="auto"/>
              </w:rPr>
            </w:pPr>
            <w:r>
              <w:rPr>
                <w:rFonts w:ascii="Arial" w:cs="Arial" w:eastAsia="Arial" w:hAnsi="Arial"/>
                <w:sz w:val="14"/>
                <w:szCs w:val="14"/>
                <w:color w:val="auto"/>
              </w:rPr>
              <w:t xml:space="preserve">= Chair  </w:t>
            </w:r>
            <w:r>
              <w:rPr>
                <w:rFonts w:ascii="Times New Roman" w:cs="Times New Roman" w:eastAsia="Times New Roman" w:hAnsi="Times New Roman"/>
                <w:sz w:val="21"/>
                <w:szCs w:val="21"/>
                <w:color w:val="auto"/>
              </w:rPr>
              <w:t>·</w:t>
            </w:r>
            <w:r>
              <w:rPr>
                <w:rFonts w:ascii="Arial" w:cs="Arial" w:eastAsia="Arial" w:hAnsi="Arial"/>
                <w:sz w:val="14"/>
                <w:szCs w:val="14"/>
                <w:color w:val="auto"/>
              </w:rPr>
              <w:t xml:space="preserve"> = Member</w:t>
            </w:r>
          </w:p>
        </w:tc>
        <w:tc>
          <w:tcPr>
            <w:tcW w:w="360" w:type="dxa"/>
            <w:vAlign w:val="bottom"/>
          </w:tcPr>
          <w:p>
            <w:pPr>
              <w:spacing w:after="0"/>
              <w:rPr>
                <w:sz w:val="24"/>
                <w:szCs w:val="24"/>
                <w:color w:val="auto"/>
              </w:rPr>
            </w:pPr>
          </w:p>
        </w:tc>
        <w:tc>
          <w:tcPr>
            <w:tcW w:w="4700" w:type="dxa"/>
            <w:vAlign w:val="bottom"/>
            <w:gridSpan w:val="2"/>
          </w:tcPr>
          <w:p>
            <w:pPr>
              <w:jc w:val="right"/>
              <w:ind w:right="143"/>
              <w:spacing w:after="0"/>
              <w:rPr>
                <w:sz w:val="20"/>
                <w:szCs w:val="20"/>
                <w:color w:val="auto"/>
              </w:rPr>
            </w:pPr>
            <w:r>
              <w:rPr>
                <w:rFonts w:ascii="Arial" w:cs="Arial" w:eastAsia="Arial" w:hAnsi="Arial"/>
                <w:sz w:val="14"/>
                <w:szCs w:val="14"/>
                <w:color w:val="auto"/>
              </w:rPr>
              <w:t>(1) Other directors serve as alternate members on a rotational basis</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-135890</wp:posOffset>
            </wp:positionV>
            <wp:extent cx="93980" cy="939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93980" cy="93980"/>
                    </a:xfrm>
                    <a:prstGeom prst="rect">
                      <a:avLst/>
                    </a:prstGeom>
                    <a:noFill/>
                  </pic:spPr>
                </pic:pic>
              </a:graphicData>
            </a:graphic>
          </wp:anchor>
        </w:drawing>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Meetings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163195</wp:posOffset>
            </wp:positionV>
            <wp:extent cx="5186045" cy="1045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86045"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Nominating and Governance Committee</w:t>
      </w:r>
    </w:p>
    <w:p>
      <w:pPr>
        <w:spacing w:after="0" w:line="104" w:lineRule="exact"/>
        <w:rPr>
          <w:sz w:val="20"/>
          <w:szCs w:val="20"/>
          <w:color w:val="auto"/>
        </w:rPr>
      </w:pPr>
    </w:p>
    <w:p>
      <w:pPr>
        <w:ind w:left="760" w:right="720"/>
        <w:spacing w:after="0" w:line="271" w:lineRule="auto"/>
        <w:rPr>
          <w:sz w:val="20"/>
          <w:szCs w:val="20"/>
          <w:color w:val="auto"/>
        </w:rPr>
      </w:pPr>
      <w:r>
        <w:rPr>
          <w:rFonts w:ascii="Arial" w:cs="Arial" w:eastAsia="Arial" w:hAnsi="Arial"/>
          <w:sz w:val="18"/>
          <w:szCs w:val="18"/>
          <w:color w:val="auto"/>
        </w:rPr>
        <w:t>The Nominating and Governance Committee, chaired by the independent Lead Director, serves as ExxonMobil’s nominating and corporate governance committee. Its responsibilities include:</w:t>
      </w:r>
    </w:p>
    <w:p>
      <w:pPr>
        <w:spacing w:after="0" w:line="59" w:lineRule="exact"/>
        <w:rPr>
          <w:sz w:val="20"/>
          <w:szCs w:val="20"/>
          <w:color w:val="auto"/>
        </w:rPr>
      </w:pPr>
    </w:p>
    <w:p>
      <w:pPr>
        <w:ind w:left="1140" w:hanging="376"/>
        <w:spacing w:after="0"/>
        <w:tabs>
          <w:tab w:leader="none" w:pos="114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Recommendations on director candidates and reviewing requests for participation on other boards;</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procedures for director engagement with shareholders;</w:t>
      </w:r>
    </w:p>
    <w:p>
      <w:pPr>
        <w:spacing w:after="0" w:line="137"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34</w:t>
      </w:r>
      <w:r>
        <w:rPr>
          <w:sz w:val="20"/>
          <w:szCs w:val="20"/>
          <w:color w:val="auto"/>
        </w:rPr>
        <w:tab/>
      </w:r>
      <w:r>
        <w:rPr>
          <w:sz w:val="1"/>
          <w:szCs w:val="1"/>
          <w:color w:val="auto"/>
        </w:rPr>
        <w:drawing>
          <wp:inline distT="0" distB="0" distL="0" distR="0">
            <wp:extent cx="737235" cy="14605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2023 Proxy Statement</w:t>
      </w:r>
    </w:p>
    <w:p>
      <w:pPr>
        <w:sectPr>
          <w:pgSz w:w="11900" w:h="16838" w:orient="portrait"/>
          <w:cols w:equalWidth="0" w:num="1">
            <w:col w:w="10420"/>
          </w:cols>
          <w:pgMar w:left="320" w:top="482" w:right="11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140" w:hanging="376"/>
        <w:spacing w:after="0"/>
        <w:tabs>
          <w:tab w:leader="none" w:pos="114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Providing comments and suggestions to the Board on committee structure and committee assignments;</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corporate governance practices, including the Corporate Governance Guidelines;</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any issue involving an executive officer or director under the Code; and</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Administering ExxonMobil’s Related Person Transaction Guidelines.</w:t>
      </w:r>
    </w:p>
    <w:p>
      <w:pPr>
        <w:spacing w:after="0" w:line="224" w:lineRule="exact"/>
        <w:rPr>
          <w:sz w:val="20"/>
          <w:szCs w:val="20"/>
          <w:color w:val="auto"/>
        </w:rPr>
      </w:pPr>
    </w:p>
    <w:p>
      <w:pPr>
        <w:ind w:left="760" w:right="140"/>
        <w:spacing w:after="0" w:line="275" w:lineRule="auto"/>
        <w:rPr>
          <w:sz w:val="20"/>
          <w:szCs w:val="20"/>
          <w:color w:val="auto"/>
        </w:rPr>
      </w:pPr>
      <w:r>
        <w:rPr>
          <w:rFonts w:ascii="Arial" w:cs="Arial" w:eastAsia="Arial" w:hAnsi="Arial"/>
          <w:sz w:val="17"/>
          <w:szCs w:val="17"/>
          <w:color w:val="auto"/>
        </w:rPr>
        <w:t>The Committee also administers provisions of the Corporate Governance Guidelines that require a director to tender a resignation when there is a substantial change in the director’s circumstances. The Committee reviews the relevant facts to determine whether the director’s continued service would be appropriate and makes a recommendation to the Board.</w:t>
      </w:r>
    </w:p>
    <w:p>
      <w:pPr>
        <w:spacing w:after="0" w:line="152" w:lineRule="exact"/>
        <w:rPr>
          <w:sz w:val="20"/>
          <w:szCs w:val="20"/>
          <w:color w:val="auto"/>
        </w:rPr>
      </w:pPr>
    </w:p>
    <w:p>
      <w:pPr>
        <w:ind w:left="760"/>
        <w:spacing w:after="0" w:line="244" w:lineRule="auto"/>
        <w:rPr>
          <w:sz w:val="20"/>
          <w:szCs w:val="20"/>
          <w:color w:val="auto"/>
        </w:rPr>
      </w:pPr>
      <w:r>
        <w:rPr>
          <w:rFonts w:ascii="Arial" w:cs="Arial" w:eastAsia="Arial" w:hAnsi="Arial"/>
          <w:sz w:val="18"/>
          <w:szCs w:val="18"/>
          <w:color w:val="auto"/>
        </w:rPr>
        <w:t>Another responsibility of the Committee is to review and make recommendations to the Board regarding the compensation of the non-employee directors. The Committee uses an independent consultant, Pearl Meyer &amp; Partners, LLC (Pearl Meyer), to provide information on current developments and practices in director compensation. Pearl Meyer is the same consultant retained by the Compensation Committee to advise on executive compensation, but performs no other work for ExxonMobil.</w:t>
      </w:r>
    </w:p>
    <w:p>
      <w:pPr>
        <w:spacing w:after="0" w:line="176" w:lineRule="exact"/>
        <w:rPr>
          <w:sz w:val="20"/>
          <w:szCs w:val="20"/>
          <w:color w:val="auto"/>
        </w:rPr>
      </w:pPr>
    </w:p>
    <w:p>
      <w:pPr>
        <w:jc w:val="both"/>
        <w:ind w:left="760" w:right="140"/>
        <w:spacing w:after="0" w:line="253" w:lineRule="auto"/>
        <w:rPr>
          <w:sz w:val="20"/>
          <w:szCs w:val="20"/>
          <w:color w:val="auto"/>
        </w:rPr>
      </w:pPr>
      <w:r>
        <w:rPr>
          <w:rFonts w:ascii="Arial" w:cs="Arial" w:eastAsia="Arial" w:hAnsi="Arial"/>
          <w:sz w:val="18"/>
          <w:szCs w:val="18"/>
          <w:color w:val="auto"/>
        </w:rPr>
        <w:t>The Corporate Governance Guidelines describe the qualifications the Committee looks for in director candidates. These Corporate Governance Guidelines, as well as the Committee’s charter, are posted on the Corporate Governance section of our website.</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Audit Committee</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Audit Committee oversees accounting and internal control matters. Its responsibilities include oversight of:</w:t>
      </w:r>
    </w:p>
    <w:p>
      <w:pPr>
        <w:spacing w:after="0" w:line="117" w:lineRule="exact"/>
        <w:rPr>
          <w:sz w:val="20"/>
          <w:szCs w:val="20"/>
          <w:color w:val="auto"/>
        </w:rPr>
      </w:pPr>
    </w:p>
    <w:p>
      <w:pPr>
        <w:ind w:left="1140" w:hanging="376"/>
        <w:spacing w:after="0"/>
        <w:tabs>
          <w:tab w:leader="none" w:pos="114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Management’s conduct of the Corporation’s financial reporting process;</w:t>
      </w:r>
    </w:p>
    <w:p>
      <w:pPr>
        <w:spacing w:after="0" w:line="129" w:lineRule="exact"/>
        <w:rPr>
          <w:rFonts w:ascii="Times New Roman" w:cs="Times New Roman" w:eastAsia="Times New Roman" w:hAnsi="Times New Roman"/>
          <w:sz w:val="18"/>
          <w:szCs w:val="18"/>
          <w:color w:val="auto"/>
        </w:rPr>
      </w:pPr>
    </w:p>
    <w:p>
      <w:pPr>
        <w:ind w:left="1140" w:right="200" w:hanging="376"/>
        <w:spacing w:after="0" w:line="270" w:lineRule="auto"/>
        <w:tabs>
          <w:tab w:leader="none" w:pos="114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integrity of the financial statements and other financial information provided by the Corporation to the SEC and the public;</w:t>
      </w:r>
    </w:p>
    <w:p>
      <w:pPr>
        <w:spacing w:after="0" w:line="5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Corporation’s system of internal accounting and financial controls;</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Corporation’s compliance with legal and regulatory requirements;</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performance of the Corporation’s internal audit function;</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independent auditors’ qualifications, performance, and independence; and</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annual independent audit of the Corporation’s financial statements.</w:t>
      </w:r>
    </w:p>
    <w:p>
      <w:pPr>
        <w:spacing w:after="0" w:line="224" w:lineRule="exact"/>
        <w:rPr>
          <w:sz w:val="20"/>
          <w:szCs w:val="20"/>
          <w:color w:val="auto"/>
        </w:rPr>
      </w:pPr>
    </w:p>
    <w:p>
      <w:pPr>
        <w:ind w:left="760" w:right="140"/>
        <w:spacing w:after="0" w:line="271" w:lineRule="auto"/>
        <w:rPr>
          <w:sz w:val="20"/>
          <w:szCs w:val="20"/>
          <w:color w:val="auto"/>
        </w:rPr>
      </w:pPr>
      <w:r>
        <w:rPr>
          <w:rFonts w:ascii="Arial" w:cs="Arial" w:eastAsia="Arial" w:hAnsi="Arial"/>
          <w:sz w:val="18"/>
          <w:szCs w:val="18"/>
          <w:color w:val="auto"/>
        </w:rPr>
        <w:t>The Committee has direct authority and responsibility to appoint (subject to shareholder ratification), compensate, retain, and oversee the independent auditors.</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Committee also prepares the report that SEC rules require be included in the Corporation’s annual proxy statement.</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report begins on page 41.</w:t>
      </w:r>
    </w:p>
    <w:p>
      <w:pPr>
        <w:spacing w:after="0" w:line="194" w:lineRule="exact"/>
        <w:rPr>
          <w:sz w:val="20"/>
          <w:szCs w:val="20"/>
          <w:color w:val="auto"/>
        </w:rPr>
      </w:pPr>
    </w:p>
    <w:p>
      <w:pPr>
        <w:ind w:left="760" w:right="20"/>
        <w:spacing w:after="0"/>
        <w:rPr>
          <w:sz w:val="20"/>
          <w:szCs w:val="20"/>
          <w:color w:val="auto"/>
        </w:rPr>
      </w:pPr>
      <w:r>
        <w:rPr>
          <w:rFonts w:ascii="Arial" w:cs="Arial" w:eastAsia="Arial" w:hAnsi="Arial"/>
          <w:sz w:val="18"/>
          <w:szCs w:val="18"/>
          <w:color w:val="auto"/>
        </w:rPr>
        <w:t>The Audit Committee has adopted specific policies and procedures for pre-approving fees paid to the independent auditors. Under the Audit Committee’s approach, an annual program of work is approved each October for the following categories of services: Audit, Audit-Related, and Tax. Additional engagements may be brought forward from time to time for pre-approval by the Audit Committee. Pre-approvals apply to engagements within a category of service, and cannot be transferred between categories. If fees might otherwise exceed pre-approved amounts for any category of permissible services, the incremental amounts must be reviewed and pre-approved prior to commitment. The complete text of the Audit Committee’s pre-approval policies and procedures, as well as the Committee’s charter, is posted on the Corporate Governance section of ExxonMobil’s website.</w:t>
      </w:r>
    </w:p>
    <w:p>
      <w:pPr>
        <w:spacing w:after="0" w:line="180" w:lineRule="exact"/>
        <w:rPr>
          <w:sz w:val="20"/>
          <w:szCs w:val="20"/>
          <w:color w:val="auto"/>
        </w:rPr>
      </w:pPr>
    </w:p>
    <w:p>
      <w:pPr>
        <w:ind w:left="760" w:right="160"/>
        <w:spacing w:after="0" w:line="253" w:lineRule="auto"/>
        <w:rPr>
          <w:sz w:val="20"/>
          <w:szCs w:val="20"/>
          <w:color w:val="auto"/>
        </w:rPr>
      </w:pPr>
      <w:r>
        <w:rPr>
          <w:rFonts w:ascii="Arial" w:cs="Arial" w:eastAsia="Arial" w:hAnsi="Arial"/>
          <w:sz w:val="18"/>
          <w:szCs w:val="18"/>
          <w:color w:val="auto"/>
        </w:rPr>
        <w:t>The Board has determined that all members of the Committee are financially literate within the meaning of the NYSE standards, and a majority are “audit committee financial experts” as defined in the SEC rules, including Ms. Burns as the Audit Committee Chair.</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Compensation Committee</w:t>
      </w:r>
    </w:p>
    <w:p>
      <w:pPr>
        <w:spacing w:after="0" w:line="104" w:lineRule="exact"/>
        <w:rPr>
          <w:sz w:val="20"/>
          <w:szCs w:val="20"/>
          <w:color w:val="auto"/>
        </w:rPr>
      </w:pPr>
    </w:p>
    <w:p>
      <w:pPr>
        <w:ind w:left="760" w:right="320"/>
        <w:spacing w:after="0" w:line="247" w:lineRule="auto"/>
        <w:rPr>
          <w:sz w:val="20"/>
          <w:szCs w:val="20"/>
          <w:color w:val="auto"/>
        </w:rPr>
      </w:pPr>
      <w:r>
        <w:rPr>
          <w:rFonts w:ascii="Arial" w:cs="Arial" w:eastAsia="Arial" w:hAnsi="Arial"/>
          <w:sz w:val="18"/>
          <w:szCs w:val="18"/>
          <w:color w:val="auto"/>
        </w:rPr>
        <w:t>The Compensation Committee is comprised exclusively of non-employee, independent directors, and oversees compensation for ExxonMobil’s senior executives (including salary, bonus, and performance share awards), as well as succession planning for key executive positions. The Committee’s charter is available on the Corporate Governance section of our website.</w:t>
      </w:r>
    </w:p>
    <w:p>
      <w:pPr>
        <w:spacing w:after="0" w:line="105"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60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480"/>
          </w:cols>
          <w:pgMar w:left="320" w:top="482" w:right="10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Committee took the following actions:</w:t>
      </w:r>
    </w:p>
    <w:p>
      <w:pPr>
        <w:spacing w:after="0" w:line="117" w:lineRule="exact"/>
        <w:rPr>
          <w:sz w:val="20"/>
          <w:szCs w:val="20"/>
          <w:color w:val="auto"/>
        </w:rPr>
      </w:pPr>
    </w:p>
    <w:p>
      <w:pPr>
        <w:ind w:left="1140" w:hanging="376"/>
        <w:spacing w:after="0"/>
        <w:tabs>
          <w:tab w:leader="none" w:pos="114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Reviewed with the Board and approved the corporate goals and objectives;</w:t>
      </w:r>
    </w:p>
    <w:p>
      <w:pPr>
        <w:spacing w:after="0" w:line="129" w:lineRule="exact"/>
        <w:rPr>
          <w:rFonts w:ascii="Times New Roman" w:cs="Times New Roman" w:eastAsia="Times New Roman" w:hAnsi="Times New Roman"/>
          <w:sz w:val="18"/>
          <w:szCs w:val="18"/>
          <w:color w:val="auto"/>
        </w:rPr>
      </w:pPr>
    </w:p>
    <w:p>
      <w:pPr>
        <w:ind w:left="1140" w:right="880" w:hanging="376"/>
        <w:spacing w:after="0" w:line="270" w:lineRule="auto"/>
        <w:tabs>
          <w:tab w:leader="none" w:pos="114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Reviewed the Corporation’s business results and progress toward strategic objectives during the year with ExxonMobil’s CEO and other senior executives;</w:t>
      </w:r>
    </w:p>
    <w:p>
      <w:pPr>
        <w:spacing w:after="0" w:line="5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Reviewed the individual performance and contributions of the CEO and other senior executives;</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Discussed the Company’s executive compensation program design with its independent consultant;</w:t>
      </w:r>
    </w:p>
    <w:p>
      <w:pPr>
        <w:spacing w:after="0" w:line="129" w:lineRule="exact"/>
        <w:rPr>
          <w:rFonts w:ascii="Times New Roman" w:cs="Times New Roman" w:eastAsia="Times New Roman" w:hAnsi="Times New Roman"/>
          <w:sz w:val="18"/>
          <w:szCs w:val="18"/>
          <w:color w:val="auto"/>
        </w:rPr>
      </w:pPr>
    </w:p>
    <w:p>
      <w:pPr>
        <w:ind w:left="1140" w:right="720" w:hanging="376"/>
        <w:spacing w:after="0" w:line="270" w:lineRule="auto"/>
        <w:tabs>
          <w:tab w:leader="none" w:pos="114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Considered feedback from shareholder engagements and the results of the 2022 advisory vote on executive compensation;</w:t>
      </w:r>
    </w:p>
    <w:p>
      <w:pPr>
        <w:spacing w:after="0" w:line="59" w:lineRule="exact"/>
        <w:rPr>
          <w:rFonts w:ascii="Times New Roman" w:cs="Times New Roman" w:eastAsia="Times New Roman" w:hAnsi="Times New Roman"/>
          <w:sz w:val="18"/>
          <w:szCs w:val="18"/>
          <w:color w:val="auto"/>
        </w:rPr>
      </w:pPr>
    </w:p>
    <w:p>
      <w:pPr>
        <w:ind w:left="1140" w:right="640" w:hanging="376"/>
        <w:spacing w:after="0" w:line="270" w:lineRule="auto"/>
        <w:tabs>
          <w:tab w:leader="none" w:pos="114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Deliberated pay decisions based on an assessment of progress toward strategic objectives, business results, individual performance, and the results of annual benchmarking, taking into account experience in position;</w:t>
      </w:r>
    </w:p>
    <w:p>
      <w:pPr>
        <w:spacing w:after="0" w:line="5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Established the aggregate annual ceiling for the 2022 long-term incentive award program and bonus program;</w:t>
      </w:r>
    </w:p>
    <w:p>
      <w:pPr>
        <w:spacing w:after="0" w:line="129" w:lineRule="exact"/>
        <w:rPr>
          <w:rFonts w:ascii="Times New Roman" w:cs="Times New Roman" w:eastAsia="Times New Roman" w:hAnsi="Times New Roman"/>
          <w:sz w:val="18"/>
          <w:szCs w:val="18"/>
          <w:color w:val="auto"/>
        </w:rPr>
      </w:pPr>
    </w:p>
    <w:p>
      <w:pPr>
        <w:ind w:left="1140" w:right="260" w:hanging="376"/>
        <w:spacing w:after="0" w:line="246" w:lineRule="auto"/>
        <w:tabs>
          <w:tab w:leader="none" w:pos="114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Assessed each element of the Company’s compensation program and practices, and confirmed that these do not create any material adverse risks for the Company. The key design features of the compensation program that discourage executives from taking inappropriate risk are described in detail in this proxy statement (see pages 47, 64, and 65);</w:t>
      </w:r>
    </w:p>
    <w:p>
      <w:pPr>
        <w:spacing w:after="0" w:line="82" w:lineRule="exact"/>
        <w:rPr>
          <w:rFonts w:ascii="Times New Roman" w:cs="Times New Roman" w:eastAsia="Times New Roman" w:hAnsi="Times New Roman"/>
          <w:sz w:val="18"/>
          <w:szCs w:val="18"/>
          <w:color w:val="auto"/>
        </w:rPr>
      </w:pPr>
    </w:p>
    <w:p>
      <w:pPr>
        <w:ind w:left="1140" w:right="80" w:hanging="376"/>
        <w:spacing w:after="0" w:line="270" w:lineRule="auto"/>
        <w:tabs>
          <w:tab w:leader="none" w:pos="114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Reviewed with the Board progress on executive development and succession planning for senior-level positions and organizational health with input from the CEO; and</w:t>
      </w:r>
    </w:p>
    <w:p>
      <w:pPr>
        <w:spacing w:after="0" w:line="5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Reviewed with the Board the Company’s efforts in investing in globally diverse talent.</w:t>
      </w:r>
    </w:p>
    <w:p>
      <w:pPr>
        <w:spacing w:after="0" w:line="224" w:lineRule="exact"/>
        <w:rPr>
          <w:sz w:val="20"/>
          <w:szCs w:val="20"/>
          <w:color w:val="auto"/>
        </w:rPr>
      </w:pPr>
    </w:p>
    <w:p>
      <w:pPr>
        <w:ind w:left="760"/>
        <w:spacing w:after="0" w:line="247" w:lineRule="auto"/>
        <w:rPr>
          <w:sz w:val="20"/>
          <w:szCs w:val="20"/>
          <w:color w:val="auto"/>
        </w:rPr>
      </w:pPr>
      <w:r>
        <w:rPr>
          <w:rFonts w:ascii="Arial" w:cs="Arial" w:eastAsia="Arial" w:hAnsi="Arial"/>
          <w:sz w:val="18"/>
          <w:szCs w:val="18"/>
          <w:color w:val="auto"/>
        </w:rPr>
        <w:t>The Committee does not delegate its responsibilities with respect to ExxonMobil’s executive officers and other senior executives. For other employees, the Committee delegates authority to determine individual salaries and incentive awards to a committee consisting of the Chairman and Management Committee. That committee’s actions are subject to a salary budget and aggregate annual ceilings on incentive awards established by the Compensation Committee.</w:t>
      </w:r>
    </w:p>
    <w:p>
      <w:pPr>
        <w:spacing w:after="0" w:line="174" w:lineRule="exact"/>
        <w:rPr>
          <w:sz w:val="20"/>
          <w:szCs w:val="20"/>
          <w:color w:val="auto"/>
        </w:rPr>
      </w:pPr>
    </w:p>
    <w:p>
      <w:pPr>
        <w:ind w:left="760" w:right="660"/>
        <w:spacing w:after="0" w:line="271" w:lineRule="auto"/>
        <w:rPr>
          <w:sz w:val="20"/>
          <w:szCs w:val="20"/>
          <w:color w:val="auto"/>
        </w:rPr>
      </w:pPr>
      <w:r>
        <w:rPr>
          <w:rFonts w:ascii="Arial" w:cs="Arial" w:eastAsia="Arial" w:hAnsi="Arial"/>
          <w:sz w:val="18"/>
          <w:szCs w:val="18"/>
          <w:color w:val="auto"/>
        </w:rPr>
        <w:t>For more information on the compensation decisions made by the Committee for 2022, refer to the Compensation Discussion and Analysis beginning on page 45.</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Compensation Committee’s report is available on page 44.</w:t>
      </w:r>
    </w:p>
    <w:p>
      <w:pPr>
        <w:spacing w:after="0" w:line="212" w:lineRule="exact"/>
        <w:rPr>
          <w:sz w:val="20"/>
          <w:szCs w:val="20"/>
          <w:color w:val="auto"/>
        </w:rPr>
      </w:pPr>
    </w:p>
    <w:p>
      <w:pPr>
        <w:ind w:left="760" w:right="160"/>
        <w:spacing w:after="0" w:line="271" w:lineRule="auto"/>
        <w:rPr>
          <w:sz w:val="20"/>
          <w:szCs w:val="20"/>
          <w:color w:val="auto"/>
        </w:rPr>
      </w:pPr>
      <w:r>
        <w:rPr>
          <w:rFonts w:ascii="Arial" w:cs="Arial" w:eastAsia="Arial" w:hAnsi="Arial"/>
          <w:sz w:val="18"/>
          <w:szCs w:val="18"/>
          <w:color w:val="auto"/>
        </w:rPr>
        <w:t>The Compensation Committee utilizes the expertise of an external independent consultant, Pearl Meyer. At the direction of the Committee, Pearl Meyer:</w:t>
      </w:r>
    </w:p>
    <w:p>
      <w:pPr>
        <w:spacing w:after="0" w:line="59" w:lineRule="exact"/>
        <w:rPr>
          <w:sz w:val="20"/>
          <w:szCs w:val="20"/>
          <w:color w:val="auto"/>
        </w:rPr>
      </w:pPr>
    </w:p>
    <w:p>
      <w:pPr>
        <w:ind w:left="1140" w:hanging="376"/>
        <w:spacing w:after="0"/>
        <w:tabs>
          <w:tab w:leader="none" w:pos="114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Attends Committee meetings;</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Informs the Committee regarding general trends in executive compensation across industries;</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Prepares the analysis of comparator company compensation used by the Committee; and</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Participates in the Committee’s deliberations regarding compensation for Named Executive Officers.</w:t>
      </w:r>
    </w:p>
    <w:p>
      <w:pPr>
        <w:spacing w:after="0" w:line="224" w:lineRule="exact"/>
        <w:rPr>
          <w:sz w:val="20"/>
          <w:szCs w:val="20"/>
          <w:color w:val="auto"/>
        </w:rPr>
      </w:pPr>
    </w:p>
    <w:p>
      <w:pPr>
        <w:ind w:left="760" w:right="200"/>
        <w:spacing w:after="0" w:line="271" w:lineRule="auto"/>
        <w:rPr>
          <w:sz w:val="20"/>
          <w:szCs w:val="20"/>
          <w:color w:val="auto"/>
        </w:rPr>
      </w:pPr>
      <w:r>
        <w:rPr>
          <w:rFonts w:ascii="Arial" w:cs="Arial" w:eastAsia="Arial" w:hAnsi="Arial"/>
          <w:sz w:val="18"/>
          <w:szCs w:val="18"/>
          <w:color w:val="auto"/>
        </w:rPr>
        <w:t>In addition, at the direction of the Chair of the Nominating and Governance Committee, Pearl Meyer provides an annual survey of non-employee director compensation for use by that Committee.</w:t>
      </w:r>
    </w:p>
    <w:p>
      <w:pPr>
        <w:spacing w:after="0" w:line="154" w:lineRule="exact"/>
        <w:rPr>
          <w:sz w:val="20"/>
          <w:szCs w:val="20"/>
          <w:color w:val="auto"/>
        </w:rPr>
      </w:pPr>
    </w:p>
    <w:p>
      <w:pPr>
        <w:ind w:left="760" w:right="120"/>
        <w:spacing w:after="0" w:line="244" w:lineRule="auto"/>
        <w:rPr>
          <w:sz w:val="20"/>
          <w:szCs w:val="20"/>
          <w:color w:val="auto"/>
        </w:rPr>
      </w:pPr>
      <w:r>
        <w:rPr>
          <w:rFonts w:ascii="Arial" w:cs="Arial" w:eastAsia="Arial" w:hAnsi="Arial"/>
          <w:sz w:val="18"/>
          <w:szCs w:val="18"/>
          <w:color w:val="auto"/>
        </w:rPr>
        <w:t>The Compensation Committee is solely and directly responsible for the appointment, compensation, and oversight of the consultant. The Committee considers factors that could affect Pearl Meyer’s independence, including that the consultant provides no services for ExxonMobil other than its engagement by the Committee and the Nominating and Governance Committee as described above. Based on this review, the Committee has determined the consultant’s work for the Committee to be free from conflicts of interest.</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Finance Committee</w:t>
      </w:r>
    </w:p>
    <w:p>
      <w:pPr>
        <w:spacing w:after="0" w:line="104" w:lineRule="exact"/>
        <w:rPr>
          <w:sz w:val="20"/>
          <w:szCs w:val="20"/>
          <w:color w:val="auto"/>
        </w:rPr>
      </w:pPr>
    </w:p>
    <w:p>
      <w:pPr>
        <w:ind w:left="760" w:right="100"/>
        <w:spacing w:after="0" w:line="271" w:lineRule="auto"/>
        <w:rPr>
          <w:sz w:val="20"/>
          <w:szCs w:val="20"/>
          <w:color w:val="auto"/>
        </w:rPr>
      </w:pPr>
      <w:r>
        <w:rPr>
          <w:rFonts w:ascii="Arial" w:cs="Arial" w:eastAsia="Arial" w:hAnsi="Arial"/>
          <w:sz w:val="18"/>
          <w:szCs w:val="18"/>
          <w:color w:val="auto"/>
        </w:rPr>
        <w:t>The Finance Committee reviews ExxonMobil’s capital structure/capital allocation, and its financial policies, practices, and strategies which may include the following: the Corporation’s financial outlook and capital plan, including</w:t>
      </w:r>
    </w:p>
    <w:p>
      <w:pPr>
        <w:spacing w:after="0" w:line="66"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36</w:t>
      </w:r>
      <w:r>
        <w:rPr>
          <w:sz w:val="20"/>
          <w:szCs w:val="20"/>
          <w:color w:val="auto"/>
        </w:rPr>
        <w:tab/>
      </w:r>
      <w:r>
        <w:rPr>
          <w:sz w:val="1"/>
          <w:szCs w:val="1"/>
          <w:color w:val="auto"/>
        </w:rPr>
        <w:drawing>
          <wp:inline distT="0" distB="0" distL="0" distR="0">
            <wp:extent cx="737235" cy="145415"/>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2023 Proxy Statement</w:t>
      </w:r>
    </w:p>
    <w:p>
      <w:pPr>
        <w:sectPr>
          <w:pgSz w:w="11900" w:h="16838" w:orient="portrait"/>
          <w:cols w:equalWidth="0" w:num="1">
            <w:col w:w="10460"/>
          </w:cols>
          <w:pgMar w:left="320" w:top="482" w:right="11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760" w:right="160"/>
        <w:spacing w:after="0" w:line="247" w:lineRule="auto"/>
        <w:rPr>
          <w:sz w:val="20"/>
          <w:szCs w:val="20"/>
          <w:color w:val="auto"/>
        </w:rPr>
      </w:pPr>
      <w:r>
        <w:rPr>
          <w:rFonts w:ascii="Arial" w:cs="Arial" w:eastAsia="Arial" w:hAnsi="Arial"/>
          <w:sz w:val="18"/>
          <w:szCs w:val="18"/>
          <w:color w:val="auto"/>
        </w:rPr>
        <w:t>significant capital appropriations, shareholder distribution policies and practices, insurance and pension programs, and significant acquisitions and divestitures. The Committee also authorizes the issuance and early retirement of corporate debt subject to limits set by the Board. The Committee’s charter is available on the Corporate Governance section of our website.</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Environment, Safety and Public Policy Committee</w:t>
      </w:r>
    </w:p>
    <w:p>
      <w:pPr>
        <w:spacing w:after="0" w:line="104" w:lineRule="exact"/>
        <w:rPr>
          <w:sz w:val="20"/>
          <w:szCs w:val="20"/>
          <w:color w:val="auto"/>
        </w:rPr>
      </w:pPr>
    </w:p>
    <w:p>
      <w:pPr>
        <w:ind w:left="760" w:right="140"/>
        <w:spacing w:after="0" w:line="239" w:lineRule="auto"/>
        <w:rPr>
          <w:sz w:val="20"/>
          <w:szCs w:val="20"/>
          <w:color w:val="auto"/>
        </w:rPr>
      </w:pPr>
      <w:r>
        <w:rPr>
          <w:rFonts w:ascii="Arial" w:cs="Arial" w:eastAsia="Arial" w:hAnsi="Arial"/>
          <w:sz w:val="18"/>
          <w:szCs w:val="18"/>
          <w:color w:val="auto"/>
        </w:rPr>
        <w:t>The Environment, Safety and Public Policy Committee assists the Board in overseeing the Corporation’s positions and practices regarding safety, security, health, and the environment (including but not limited to climate, emissions, and sustainability) and other public policy issues relevant to the Corporation. The Committee hears reports on safety and environmental activities, and along with the full Board periodically visits operating sites to observe and comment on current operating practices. In addition, the Committee provides oversight on the Corporation’s overall contributions strategies, objectives, and policies through an annual review of contributions, including the Corporation’s contributions to the ExxonMobil Foundation. The Foundation and the Corporation engage in a range of philanthropic activities that advance education, with a focus on math and science in the United States; promote women as catalysts for economic development; combat malaria; and support other cultural and public service initiatives. The Committee’s charter is available on the Corporate Governance section of our website.</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Executive Committee</w:t>
      </w:r>
    </w:p>
    <w:p>
      <w:pPr>
        <w:spacing w:after="0" w:line="104" w:lineRule="exact"/>
        <w:rPr>
          <w:sz w:val="20"/>
          <w:szCs w:val="20"/>
          <w:color w:val="auto"/>
        </w:rPr>
      </w:pPr>
    </w:p>
    <w:p>
      <w:pPr>
        <w:ind w:left="760" w:right="40"/>
        <w:spacing w:after="0" w:line="271" w:lineRule="auto"/>
        <w:rPr>
          <w:sz w:val="20"/>
          <w:szCs w:val="20"/>
          <w:color w:val="auto"/>
        </w:rPr>
      </w:pPr>
      <w:r>
        <w:rPr>
          <w:rFonts w:ascii="Arial" w:cs="Arial" w:eastAsia="Arial" w:hAnsi="Arial"/>
          <w:sz w:val="18"/>
          <w:szCs w:val="18"/>
          <w:color w:val="auto"/>
        </w:rPr>
        <w:t>The Executive Committee has broad power to act on behalf of the Board. In practice, the Committee meets only when it is impractical to call a meeting of the full Board.</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2B4C9B"/>
        </w:rPr>
        <w:t>DIRECTOR COMPENSATION</w:t>
      </w:r>
    </w:p>
    <w:p>
      <w:pPr>
        <w:spacing w:after="0" w:line="12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Director compensation elements are designed to:</w:t>
      </w:r>
    </w:p>
    <w:p>
      <w:pPr>
        <w:spacing w:after="0" w:line="117" w:lineRule="exact"/>
        <w:rPr>
          <w:sz w:val="20"/>
          <w:szCs w:val="20"/>
          <w:color w:val="auto"/>
        </w:rPr>
      </w:pPr>
    </w:p>
    <w:p>
      <w:pPr>
        <w:ind w:left="1140" w:hanging="376"/>
        <w:spacing w:after="0"/>
        <w:tabs>
          <w:tab w:leader="none" w:pos="114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Ensure alignment with long-term shareholder interests;</w:t>
      </w:r>
    </w:p>
    <w:p>
      <w:pPr>
        <w:spacing w:after="0" w:line="129" w:lineRule="exact"/>
        <w:rPr>
          <w:rFonts w:ascii="Times New Roman" w:cs="Times New Roman" w:eastAsia="Times New Roman" w:hAnsi="Times New Roman"/>
          <w:sz w:val="18"/>
          <w:szCs w:val="18"/>
          <w:color w:val="auto"/>
        </w:rPr>
      </w:pPr>
    </w:p>
    <w:p>
      <w:pPr>
        <w:ind w:left="1140" w:hanging="376"/>
        <w:spacing w:after="0" w:line="270" w:lineRule="auto"/>
        <w:tabs>
          <w:tab w:leader="none" w:pos="114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Ensure the Company can attract and retain outstanding director candidates who meet the selection criteria outlined in the Corporate Governance Guidelines, which can be found on the Corporate Governance section of our website;</w:t>
      </w:r>
    </w:p>
    <w:p>
      <w:pPr>
        <w:spacing w:after="0" w:line="5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Recognize the substantial time commitment necessary to oversee the affairs of the Corporation; and</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Support the independence of thought and action expected of directors.</w:t>
      </w:r>
    </w:p>
    <w:p>
      <w:pPr>
        <w:spacing w:after="0" w:line="224" w:lineRule="exact"/>
        <w:rPr>
          <w:sz w:val="20"/>
          <w:szCs w:val="20"/>
          <w:color w:val="auto"/>
        </w:rPr>
      </w:pPr>
    </w:p>
    <w:p>
      <w:pPr>
        <w:ind w:left="760" w:right="100"/>
        <w:spacing w:after="0" w:line="244" w:lineRule="auto"/>
        <w:rPr>
          <w:sz w:val="20"/>
          <w:szCs w:val="20"/>
          <w:color w:val="auto"/>
        </w:rPr>
      </w:pPr>
      <w:r>
        <w:rPr>
          <w:rFonts w:ascii="Arial" w:cs="Arial" w:eastAsia="Arial" w:hAnsi="Arial"/>
          <w:sz w:val="18"/>
          <w:szCs w:val="18"/>
          <w:color w:val="auto"/>
        </w:rPr>
        <w:t>Non-employee director compensation levels are reviewed by the Nominating and Governance Committee each year, and resulting recommendations are presented to the full Board for approval. The Committee uses an independent consultant, Pearl Meyer, to provide information on current developments and practices in director compensation. Pearl Meyer is the same consultant retained by the Compensation Committee to advise on executive compensation, but performs no other work for ExxonMobil.</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ExxonMobil employees receive no additional pay for serving as directors.</w:t>
      </w:r>
    </w:p>
    <w:p>
      <w:pPr>
        <w:spacing w:after="0" w:line="212" w:lineRule="exact"/>
        <w:rPr>
          <w:sz w:val="20"/>
          <w:szCs w:val="20"/>
          <w:color w:val="auto"/>
        </w:rPr>
      </w:pPr>
    </w:p>
    <w:p>
      <w:pPr>
        <w:ind w:left="760" w:right="20"/>
        <w:spacing w:after="0" w:line="253" w:lineRule="auto"/>
        <w:rPr>
          <w:sz w:val="20"/>
          <w:szCs w:val="20"/>
          <w:color w:val="auto"/>
        </w:rPr>
      </w:pPr>
      <w:r>
        <w:rPr>
          <w:rFonts w:ascii="Arial" w:cs="Arial" w:eastAsia="Arial" w:hAnsi="Arial"/>
          <w:sz w:val="18"/>
          <w:szCs w:val="18"/>
          <w:color w:val="auto"/>
        </w:rPr>
        <w:t>Non-employee directors receive compensation consisting of cash and equity in the form of restricted stock. Non-employee directors are also reimbursed for reasonable expenses incurred to attend Board meetings or other functions relating to their responsibilities as a director of Exxon Mobil Corporation.</w:t>
      </w:r>
    </w:p>
    <w:p>
      <w:pPr>
        <w:spacing w:after="0" w:line="169" w:lineRule="exact"/>
        <w:rPr>
          <w:sz w:val="20"/>
          <w:szCs w:val="20"/>
          <w:color w:val="auto"/>
        </w:rPr>
      </w:pPr>
    </w:p>
    <w:p>
      <w:pPr>
        <w:ind w:left="760" w:right="360"/>
        <w:spacing w:after="0" w:line="301" w:lineRule="auto"/>
        <w:rPr>
          <w:sz w:val="20"/>
          <w:szCs w:val="20"/>
          <w:color w:val="auto"/>
        </w:rPr>
      </w:pPr>
      <w:r>
        <w:rPr>
          <w:rFonts w:ascii="Arial" w:cs="Arial" w:eastAsia="Arial" w:hAnsi="Arial"/>
          <w:sz w:val="17"/>
          <w:szCs w:val="17"/>
          <w:color w:val="auto"/>
        </w:rPr>
        <w:t>The annual cash retainer for non-employee directors is $ 110,000 per year. The Chairs of the Audit and Compensation Committees receive an additional $10,000 per year. The Lead Director receives an additional $50,000 per year.</w:t>
      </w:r>
    </w:p>
    <w:p>
      <w:pPr>
        <w:spacing w:after="0" w:line="131" w:lineRule="exact"/>
        <w:rPr>
          <w:sz w:val="20"/>
          <w:szCs w:val="20"/>
          <w:color w:val="auto"/>
        </w:rPr>
      </w:pPr>
    </w:p>
    <w:p>
      <w:pPr>
        <w:ind w:left="760" w:right="40"/>
        <w:spacing w:after="0" w:line="247" w:lineRule="auto"/>
        <w:rPr>
          <w:sz w:val="20"/>
          <w:szCs w:val="20"/>
          <w:color w:val="auto"/>
        </w:rPr>
      </w:pPr>
      <w:r>
        <w:rPr>
          <w:rFonts w:ascii="Arial" w:cs="Arial" w:eastAsia="Arial" w:hAnsi="Arial"/>
          <w:sz w:val="18"/>
          <w:szCs w:val="18"/>
          <w:color w:val="auto"/>
        </w:rPr>
        <w:t>A significant portion of director compensation is granted in the form of restricted stock; this aligns director interests with the interests of our long-term shareholders. The annual restricted stock award grant for incumbent non-employee directors is 2,500 shares. A new non-employee director receives a one-time grant of 8,000 shares of restricted stock upon first being elected to the Board.</w:t>
      </w:r>
    </w:p>
    <w:p>
      <w:pPr>
        <w:spacing w:after="0" w:line="174" w:lineRule="exact"/>
        <w:rPr>
          <w:sz w:val="20"/>
          <w:szCs w:val="20"/>
          <w:color w:val="auto"/>
        </w:rPr>
      </w:pPr>
    </w:p>
    <w:p>
      <w:pPr>
        <w:ind w:left="760" w:right="120"/>
        <w:spacing w:after="0" w:line="247" w:lineRule="auto"/>
        <w:rPr>
          <w:sz w:val="20"/>
          <w:szCs w:val="20"/>
          <w:color w:val="auto"/>
        </w:rPr>
      </w:pPr>
      <w:r>
        <w:rPr>
          <w:rFonts w:ascii="Arial" w:cs="Arial" w:eastAsia="Arial" w:hAnsi="Arial"/>
          <w:sz w:val="18"/>
          <w:szCs w:val="18"/>
          <w:color w:val="auto"/>
        </w:rPr>
        <w:t>While on the Board, the non-employee director receives the same cash dividends on restricted shares as a holder of regular common stock, but the shares remain unvested and, thus, cannot be sold or pledged. The restricted shares are subject to forfeiture if the non-employee director leaves the Board early, i.e., before the retirement age of 75, as specified for non-employee directors.</w:t>
      </w:r>
    </w:p>
    <w:p>
      <w:pPr>
        <w:spacing w:after="0" w:line="105"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60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480"/>
          </w:cols>
          <w:pgMar w:left="320" w:top="482" w:right="10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760" w:right="400"/>
        <w:spacing w:after="0" w:line="301" w:lineRule="auto"/>
        <w:rPr>
          <w:sz w:val="20"/>
          <w:szCs w:val="20"/>
          <w:color w:val="auto"/>
        </w:rPr>
      </w:pPr>
      <w:r>
        <w:rPr>
          <w:rFonts w:ascii="Arial" w:cs="Arial" w:eastAsia="Arial" w:hAnsi="Arial"/>
          <w:sz w:val="17"/>
          <w:szCs w:val="17"/>
          <w:color w:val="auto"/>
        </w:rPr>
        <w:t>Current and former non-employee directors of Exxon Mobil Corporation are eligible to participate in the ExxonMobil Foundation’s Educational Matching Gift Programs under the same terms as the Corporation’s U.S. employees.</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Non-Employee Director Compensation for 2022</w:t>
      </w:r>
    </w:p>
    <w:p>
      <w:pPr>
        <w:spacing w:after="0" w:line="237" w:lineRule="exact"/>
        <w:rPr>
          <w:sz w:val="20"/>
          <w:szCs w:val="20"/>
          <w:color w:val="auto"/>
        </w:rPr>
      </w:pPr>
    </w:p>
    <w:tbl>
      <w:tblPr>
        <w:tblLayout w:type="fixed"/>
        <w:tblInd w:w="770" w:type="dxa"/>
        <w:tblCellMar>
          <w:top w:w="0" w:type="dxa"/>
          <w:left w:w="0" w:type="dxa"/>
          <w:bottom w:w="0" w:type="dxa"/>
          <w:right w:w="0" w:type="dxa"/>
        </w:tblCellMar>
      </w:tblPr>
      <w:tr>
        <w:trPr>
          <w:trHeight w:val="193"/>
        </w:trPr>
        <w:tc>
          <w:tcPr>
            <w:tcW w:w="2920" w:type="dxa"/>
            <w:vAlign w:val="bottom"/>
            <w:tcBorders>
              <w:top w:val="single" w:sz="8" w:color="auto"/>
              <w:left w:val="single" w:sz="8" w:color="auto"/>
              <w:right w:val="single" w:sz="8" w:color="auto"/>
            </w:tcBorders>
          </w:tcPr>
          <w:p>
            <w:pPr>
              <w:spacing w:after="0"/>
              <w:rPr>
                <w:sz w:val="16"/>
                <w:szCs w:val="16"/>
                <w:color w:val="auto"/>
              </w:rPr>
            </w:pPr>
          </w:p>
        </w:tc>
        <w:tc>
          <w:tcPr>
            <w:tcW w:w="820" w:type="dxa"/>
            <w:vAlign w:val="bottom"/>
            <w:tcBorders>
              <w:top w:val="single" w:sz="8" w:color="auto"/>
              <w:right w:val="single" w:sz="8" w:color="auto"/>
            </w:tcBorders>
          </w:tcPr>
          <w:p>
            <w:pPr>
              <w:spacing w:after="0"/>
              <w:rPr>
                <w:sz w:val="16"/>
                <w:szCs w:val="16"/>
                <w:color w:val="auto"/>
              </w:rPr>
            </w:pPr>
          </w:p>
        </w:tc>
        <w:tc>
          <w:tcPr>
            <w:tcW w:w="780" w:type="dxa"/>
            <w:vAlign w:val="bottom"/>
            <w:tcBorders>
              <w:top w:val="single" w:sz="8" w:color="auto"/>
              <w:right w:val="single" w:sz="8" w:color="auto"/>
            </w:tcBorders>
          </w:tcPr>
          <w:p>
            <w:pPr>
              <w:spacing w:after="0"/>
              <w:rPr>
                <w:sz w:val="16"/>
                <w:szCs w:val="16"/>
                <w:color w:val="auto"/>
              </w:rPr>
            </w:pPr>
          </w:p>
        </w:tc>
        <w:tc>
          <w:tcPr>
            <w:tcW w:w="600" w:type="dxa"/>
            <w:vAlign w:val="bottom"/>
            <w:tcBorders>
              <w:top w:val="single" w:sz="8" w:color="auto"/>
              <w:right w:val="single" w:sz="8" w:color="auto"/>
            </w:tcBorders>
          </w:tcPr>
          <w:p>
            <w:pPr>
              <w:spacing w:after="0"/>
              <w:rPr>
                <w:sz w:val="16"/>
                <w:szCs w:val="16"/>
                <w:color w:val="auto"/>
              </w:rPr>
            </w:pPr>
          </w:p>
        </w:tc>
        <w:tc>
          <w:tcPr>
            <w:tcW w:w="1080" w:type="dxa"/>
            <w:vAlign w:val="bottom"/>
            <w:tcBorders>
              <w:top w:val="single" w:sz="8" w:color="auto"/>
              <w:right w:val="single" w:sz="8" w:color="auto"/>
            </w:tcBorders>
          </w:tcPr>
          <w:p>
            <w:pPr>
              <w:spacing w:after="0"/>
              <w:rPr>
                <w:sz w:val="16"/>
                <w:szCs w:val="16"/>
                <w:color w:val="auto"/>
              </w:rPr>
            </w:pP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Change in</w:t>
            </w:r>
          </w:p>
        </w:tc>
        <w:tc>
          <w:tcPr>
            <w:tcW w:w="1080" w:type="dxa"/>
            <w:vAlign w:val="bottom"/>
            <w:tcBorders>
              <w:top w:val="single" w:sz="8" w:color="auto"/>
              <w:right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r>
      <w:tr>
        <w:trPr>
          <w:trHeight w:val="162"/>
        </w:trPr>
        <w:tc>
          <w:tcPr>
            <w:tcW w:w="2920" w:type="dxa"/>
            <w:vAlign w:val="bottom"/>
            <w:tcBorders>
              <w:left w:val="single" w:sz="8" w:color="auto"/>
              <w:righ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Pension Value</w:t>
            </w:r>
          </w:p>
        </w:tc>
        <w:tc>
          <w:tcPr>
            <w:tcW w:w="108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r>
      <w:tr>
        <w:trPr>
          <w:trHeight w:val="162"/>
        </w:trPr>
        <w:tc>
          <w:tcPr>
            <w:tcW w:w="2920" w:type="dxa"/>
            <w:vAlign w:val="bottom"/>
            <w:tcBorders>
              <w:left w:val="single" w:sz="8" w:color="auto"/>
              <w:right w:val="single" w:sz="8" w:color="auto"/>
            </w:tcBorders>
          </w:tcPr>
          <w:p>
            <w:pPr>
              <w:spacing w:after="0"/>
              <w:rPr>
                <w:sz w:val="14"/>
                <w:szCs w:val="14"/>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Fees</w:t>
            </w:r>
          </w:p>
        </w:tc>
        <w:tc>
          <w:tcPr>
            <w:tcW w:w="780" w:type="dxa"/>
            <w:vAlign w:val="bottom"/>
            <w:tcBorders>
              <w:right w:val="single" w:sz="8" w:color="auto"/>
            </w:tcBorders>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and Nonqualified</w:t>
            </w:r>
          </w:p>
        </w:tc>
        <w:tc>
          <w:tcPr>
            <w:tcW w:w="108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r>
      <w:tr>
        <w:trPr>
          <w:trHeight w:val="162"/>
        </w:trPr>
        <w:tc>
          <w:tcPr>
            <w:tcW w:w="2920" w:type="dxa"/>
            <w:vAlign w:val="bottom"/>
            <w:tcBorders>
              <w:left w:val="single" w:sz="8" w:color="auto"/>
              <w:right w:val="single" w:sz="8" w:color="auto"/>
            </w:tcBorders>
          </w:tcPr>
          <w:p>
            <w:pPr>
              <w:spacing w:after="0"/>
              <w:rPr>
                <w:sz w:val="14"/>
                <w:szCs w:val="14"/>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Earned</w:t>
            </w:r>
          </w:p>
        </w:tc>
        <w:tc>
          <w:tcPr>
            <w:tcW w:w="780" w:type="dxa"/>
            <w:vAlign w:val="bottom"/>
            <w:tcBorders>
              <w:right w:val="single" w:sz="8" w:color="auto"/>
            </w:tcBorders>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Non-Equity</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Deferred</w:t>
            </w:r>
          </w:p>
        </w:tc>
        <w:tc>
          <w:tcPr>
            <w:tcW w:w="108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r>
      <w:tr>
        <w:trPr>
          <w:trHeight w:val="162"/>
        </w:trPr>
        <w:tc>
          <w:tcPr>
            <w:tcW w:w="2920" w:type="dxa"/>
            <w:vAlign w:val="bottom"/>
            <w:tcBorders>
              <w:left w:val="single" w:sz="8" w:color="auto"/>
              <w:right w:val="single" w:sz="8" w:color="auto"/>
            </w:tcBorders>
          </w:tcPr>
          <w:p>
            <w:pPr>
              <w:spacing w:after="0"/>
              <w:rPr>
                <w:sz w:val="14"/>
                <w:szCs w:val="14"/>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or Paid</w:t>
            </w:r>
          </w:p>
        </w:tc>
        <w:tc>
          <w:tcPr>
            <w:tcW w:w="780" w:type="dxa"/>
            <w:vAlign w:val="bottom"/>
            <w:tcBorders>
              <w:right w:val="single" w:sz="8" w:color="auto"/>
            </w:tcBorders>
          </w:tcPr>
          <w:p>
            <w:pPr>
              <w:ind w:left="180"/>
              <w:spacing w:after="0"/>
              <w:rPr>
                <w:sz w:val="20"/>
                <w:szCs w:val="20"/>
                <w:color w:val="auto"/>
              </w:rPr>
            </w:pPr>
            <w:r>
              <w:rPr>
                <w:rFonts w:ascii="Arial" w:cs="Arial" w:eastAsia="Arial" w:hAnsi="Arial"/>
                <w:sz w:val="14"/>
                <w:szCs w:val="14"/>
                <w:b w:val="1"/>
                <w:bCs w:val="1"/>
                <w:color w:val="auto"/>
              </w:rPr>
              <w:t>Stock</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Option</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Incentive Plan</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Compensation</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Other</w:t>
            </w:r>
          </w:p>
        </w:tc>
        <w:tc>
          <w:tcPr>
            <w:tcW w:w="82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r>
      <w:tr>
        <w:trPr>
          <w:trHeight w:val="162"/>
        </w:trPr>
        <w:tc>
          <w:tcPr>
            <w:tcW w:w="2920" w:type="dxa"/>
            <w:vAlign w:val="bottom"/>
            <w:tcBorders>
              <w:left w:val="single" w:sz="8" w:color="auto"/>
              <w:right w:val="single" w:sz="8" w:color="auto"/>
            </w:tcBorders>
          </w:tcPr>
          <w:p>
            <w:pPr>
              <w:spacing w:after="0"/>
              <w:rPr>
                <w:sz w:val="14"/>
                <w:szCs w:val="14"/>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in Cash</w:t>
            </w:r>
          </w:p>
        </w:tc>
        <w:tc>
          <w:tcPr>
            <w:tcW w:w="780" w:type="dxa"/>
            <w:vAlign w:val="bottom"/>
            <w:tcBorders>
              <w:right w:val="single" w:sz="8" w:color="auto"/>
            </w:tcBorders>
          </w:tcPr>
          <w:p>
            <w:pPr>
              <w:ind w:left="100"/>
              <w:spacing w:after="0"/>
              <w:rPr>
                <w:sz w:val="20"/>
                <w:szCs w:val="20"/>
                <w:color w:val="auto"/>
              </w:rPr>
            </w:pPr>
            <w:r>
              <w:rPr>
                <w:rFonts w:ascii="Arial" w:cs="Arial" w:eastAsia="Arial" w:hAnsi="Arial"/>
                <w:sz w:val="14"/>
                <w:szCs w:val="14"/>
                <w:b w:val="1"/>
                <w:bCs w:val="1"/>
                <w:color w:val="auto"/>
              </w:rPr>
              <w:t>Awards</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Awards</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Compensation</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Earnings</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Compensation</w:t>
            </w:r>
          </w:p>
        </w:tc>
        <w:tc>
          <w:tcPr>
            <w:tcW w:w="820" w:type="dxa"/>
            <w:vAlign w:val="bottom"/>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20" w:type="dxa"/>
            <w:vAlign w:val="bottom"/>
            <w:shd w:val="clear" w:color="auto" w:fill="000000"/>
          </w:tcPr>
          <w:p>
            <w:pPr>
              <w:spacing w:after="0"/>
              <w:rPr>
                <w:sz w:val="14"/>
                <w:szCs w:val="14"/>
                <w:color w:val="auto"/>
              </w:rPr>
            </w:pPr>
          </w:p>
        </w:tc>
      </w:tr>
      <w:tr>
        <w:trPr>
          <w:trHeight w:val="197"/>
        </w:trPr>
        <w:tc>
          <w:tcPr>
            <w:tcW w:w="29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Name</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($)(a)</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8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shd w:val="clear" w:color="auto" w:fill="000000"/>
          </w:tcPr>
          <w:p>
            <w:pPr>
              <w:spacing w:after="0"/>
              <w:rPr>
                <w:sz w:val="17"/>
                <w:szCs w:val="17"/>
                <w:color w:val="auto"/>
              </w:rPr>
            </w:pPr>
          </w:p>
        </w:tc>
      </w:tr>
      <w:tr>
        <w:trPr>
          <w:trHeight w:val="224"/>
        </w:trPr>
        <w:tc>
          <w:tcPr>
            <w:tcW w:w="292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M.J. Angelakis</w:t>
            </w:r>
          </w:p>
        </w:tc>
        <w:tc>
          <w:tcPr>
            <w:tcW w:w="820" w:type="dxa"/>
            <w:vAlign w:val="bottom"/>
            <w:tcBorders>
              <w:right w:val="single" w:sz="8" w:color="auto"/>
            </w:tcBorders>
            <w:shd w:val="clear" w:color="auto" w:fill="D4DBEB"/>
          </w:tcPr>
          <w:p>
            <w:pPr>
              <w:jc w:val="right"/>
              <w:ind w:right="22"/>
              <w:spacing w:after="0"/>
              <w:rPr>
                <w:sz w:val="20"/>
                <w:szCs w:val="20"/>
                <w:color w:val="auto"/>
              </w:rPr>
            </w:pPr>
            <w:r>
              <w:rPr>
                <w:rFonts w:ascii="Arial" w:cs="Arial" w:eastAsia="Arial" w:hAnsi="Arial"/>
                <w:sz w:val="16"/>
                <w:szCs w:val="16"/>
                <w:color w:val="auto"/>
              </w:rPr>
              <w:t>110,000</w:t>
            </w:r>
          </w:p>
        </w:tc>
        <w:tc>
          <w:tcPr>
            <w:tcW w:w="780" w:type="dxa"/>
            <w:vAlign w:val="bottom"/>
            <w:tcBorders>
              <w:right w:val="single" w:sz="8" w:color="auto"/>
            </w:tcBorders>
            <w:shd w:val="clear" w:color="auto" w:fill="D4DBEB"/>
          </w:tcPr>
          <w:p>
            <w:pPr>
              <w:ind w:left="100"/>
              <w:spacing w:after="0"/>
              <w:rPr>
                <w:sz w:val="20"/>
                <w:szCs w:val="20"/>
                <w:color w:val="auto"/>
              </w:rPr>
            </w:pPr>
            <w:r>
              <w:rPr>
                <w:rFonts w:ascii="Arial" w:cs="Arial" w:eastAsia="Arial" w:hAnsi="Arial"/>
                <w:sz w:val="16"/>
                <w:szCs w:val="16"/>
                <w:color w:val="auto"/>
              </w:rPr>
              <w:t>156,006</w:t>
            </w:r>
          </w:p>
        </w:tc>
        <w:tc>
          <w:tcPr>
            <w:tcW w:w="6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2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7"/>
              </w:rPr>
              <w:t>254</w:t>
            </w:r>
          </w:p>
        </w:tc>
        <w:tc>
          <w:tcPr>
            <w:tcW w:w="820" w:type="dxa"/>
            <w:vAlign w:val="bottom"/>
            <w:shd w:val="clear" w:color="auto" w:fill="D4DBEB"/>
          </w:tcPr>
          <w:p>
            <w:pPr>
              <w:jc w:val="right"/>
              <w:spacing w:after="0"/>
              <w:rPr>
                <w:sz w:val="20"/>
                <w:szCs w:val="20"/>
                <w:color w:val="auto"/>
              </w:rPr>
            </w:pPr>
            <w:r>
              <w:rPr>
                <w:rFonts w:ascii="Arial" w:cs="Arial" w:eastAsia="Arial" w:hAnsi="Arial"/>
                <w:sz w:val="16"/>
                <w:szCs w:val="16"/>
                <w:color w:val="auto"/>
              </w:rPr>
              <w:t>266,260</w:t>
            </w:r>
          </w:p>
        </w:tc>
        <w:tc>
          <w:tcPr>
            <w:tcW w:w="20" w:type="dxa"/>
            <w:vAlign w:val="bottom"/>
          </w:tcPr>
          <w:p>
            <w:pPr>
              <w:spacing w:after="0"/>
              <w:rPr>
                <w:sz w:val="19"/>
                <w:szCs w:val="19"/>
                <w:color w:val="auto"/>
              </w:rPr>
            </w:pPr>
          </w:p>
        </w:tc>
      </w:tr>
      <w:tr>
        <w:trPr>
          <w:trHeight w:val="229"/>
        </w:trPr>
        <w:tc>
          <w:tcPr>
            <w:tcW w:w="292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S.K. Avery</w:t>
            </w:r>
          </w:p>
        </w:tc>
        <w:tc>
          <w:tcPr>
            <w:tcW w:w="820" w:type="dxa"/>
            <w:vAlign w:val="bottom"/>
            <w:tcBorders>
              <w:right w:val="single" w:sz="8" w:color="auto"/>
            </w:tcBorders>
          </w:tcPr>
          <w:p>
            <w:pPr>
              <w:jc w:val="right"/>
              <w:ind w:right="22"/>
              <w:spacing w:after="0"/>
              <w:rPr>
                <w:sz w:val="20"/>
                <w:szCs w:val="20"/>
                <w:color w:val="auto"/>
              </w:rPr>
            </w:pPr>
            <w:r>
              <w:rPr>
                <w:rFonts w:ascii="Arial" w:cs="Arial" w:eastAsia="Arial" w:hAnsi="Arial"/>
                <w:sz w:val="16"/>
                <w:szCs w:val="16"/>
                <w:color w:val="auto"/>
              </w:rPr>
              <w:t>110,000</w:t>
            </w:r>
          </w:p>
        </w:tc>
        <w:tc>
          <w:tcPr>
            <w:tcW w:w="7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156,006</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254</w:t>
            </w:r>
          </w:p>
        </w:tc>
        <w:tc>
          <w:tcPr>
            <w:tcW w:w="820" w:type="dxa"/>
            <w:vAlign w:val="bottom"/>
          </w:tcPr>
          <w:p>
            <w:pPr>
              <w:jc w:val="right"/>
              <w:spacing w:after="0"/>
              <w:rPr>
                <w:sz w:val="20"/>
                <w:szCs w:val="20"/>
                <w:color w:val="auto"/>
              </w:rPr>
            </w:pPr>
            <w:r>
              <w:rPr>
                <w:rFonts w:ascii="Arial" w:cs="Arial" w:eastAsia="Arial" w:hAnsi="Arial"/>
                <w:sz w:val="16"/>
                <w:szCs w:val="16"/>
                <w:color w:val="auto"/>
              </w:rPr>
              <w:t>266,260</w:t>
            </w:r>
          </w:p>
        </w:tc>
        <w:tc>
          <w:tcPr>
            <w:tcW w:w="20" w:type="dxa"/>
            <w:vAlign w:val="bottom"/>
          </w:tcPr>
          <w:p>
            <w:pPr>
              <w:spacing w:after="0"/>
              <w:rPr>
                <w:sz w:val="19"/>
                <w:szCs w:val="19"/>
                <w:color w:val="auto"/>
              </w:rPr>
            </w:pPr>
          </w:p>
        </w:tc>
      </w:tr>
      <w:tr>
        <w:trPr>
          <w:trHeight w:val="230"/>
        </w:trPr>
        <w:tc>
          <w:tcPr>
            <w:tcW w:w="2920" w:type="dxa"/>
            <w:vAlign w:val="bottom"/>
            <w:tcBorders>
              <w:left w:val="single" w:sz="8" w:color="D4DBEB"/>
              <w:right w:val="single" w:sz="8" w:color="auto"/>
            </w:tcBorders>
            <w:shd w:val="clear" w:color="auto" w:fill="D4DBEB"/>
          </w:tcPr>
          <w:p>
            <w:pPr>
              <w:ind w:left="140"/>
              <w:spacing w:after="0"/>
              <w:rPr>
                <w:sz w:val="20"/>
                <w:szCs w:val="20"/>
                <w:color w:val="auto"/>
              </w:rPr>
            </w:pPr>
            <w:r>
              <w:rPr>
                <w:rFonts w:ascii="Arial" w:cs="Arial" w:eastAsia="Arial" w:hAnsi="Arial"/>
                <w:sz w:val="16"/>
                <w:szCs w:val="16"/>
                <w:color w:val="auto"/>
              </w:rPr>
              <w:t>A.F. Braly</w:t>
            </w:r>
          </w:p>
        </w:tc>
        <w:tc>
          <w:tcPr>
            <w:tcW w:w="820" w:type="dxa"/>
            <w:vAlign w:val="bottom"/>
            <w:tcBorders>
              <w:right w:val="single" w:sz="8" w:color="auto"/>
            </w:tcBorders>
            <w:shd w:val="clear" w:color="auto" w:fill="D4DBEB"/>
          </w:tcPr>
          <w:p>
            <w:pPr>
              <w:jc w:val="right"/>
              <w:ind w:right="22"/>
              <w:spacing w:after="0"/>
              <w:rPr>
                <w:sz w:val="20"/>
                <w:szCs w:val="20"/>
                <w:color w:val="auto"/>
              </w:rPr>
            </w:pPr>
            <w:r>
              <w:rPr>
                <w:rFonts w:ascii="Arial" w:cs="Arial" w:eastAsia="Arial" w:hAnsi="Arial"/>
                <w:sz w:val="16"/>
                <w:szCs w:val="16"/>
                <w:color w:val="auto"/>
              </w:rPr>
              <w:t>120,000</w:t>
            </w:r>
          </w:p>
        </w:tc>
        <w:tc>
          <w:tcPr>
            <w:tcW w:w="780" w:type="dxa"/>
            <w:vAlign w:val="bottom"/>
            <w:tcBorders>
              <w:right w:val="single" w:sz="8" w:color="auto"/>
            </w:tcBorders>
            <w:shd w:val="clear" w:color="auto" w:fill="D4DBEB"/>
          </w:tcPr>
          <w:p>
            <w:pPr>
              <w:ind w:left="100"/>
              <w:spacing w:after="0"/>
              <w:rPr>
                <w:sz w:val="20"/>
                <w:szCs w:val="20"/>
                <w:color w:val="auto"/>
              </w:rPr>
            </w:pPr>
            <w:r>
              <w:rPr>
                <w:rFonts w:ascii="Arial" w:cs="Arial" w:eastAsia="Arial" w:hAnsi="Arial"/>
                <w:sz w:val="16"/>
                <w:szCs w:val="16"/>
                <w:color w:val="auto"/>
              </w:rPr>
              <w:t>156,006</w:t>
            </w:r>
          </w:p>
        </w:tc>
        <w:tc>
          <w:tcPr>
            <w:tcW w:w="6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2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7"/>
              </w:rPr>
              <w:t>254</w:t>
            </w:r>
          </w:p>
        </w:tc>
        <w:tc>
          <w:tcPr>
            <w:tcW w:w="820" w:type="dxa"/>
            <w:vAlign w:val="bottom"/>
            <w:shd w:val="clear" w:color="auto" w:fill="D4DBEB"/>
          </w:tcPr>
          <w:p>
            <w:pPr>
              <w:jc w:val="right"/>
              <w:spacing w:after="0"/>
              <w:rPr>
                <w:sz w:val="20"/>
                <w:szCs w:val="20"/>
                <w:color w:val="auto"/>
              </w:rPr>
            </w:pPr>
            <w:r>
              <w:rPr>
                <w:rFonts w:ascii="Arial" w:cs="Arial" w:eastAsia="Arial" w:hAnsi="Arial"/>
                <w:sz w:val="16"/>
                <w:szCs w:val="16"/>
                <w:color w:val="auto"/>
              </w:rPr>
              <w:t>276,260</w:t>
            </w:r>
          </w:p>
        </w:tc>
        <w:tc>
          <w:tcPr>
            <w:tcW w:w="20" w:type="dxa"/>
            <w:vAlign w:val="bottom"/>
          </w:tcPr>
          <w:p>
            <w:pPr>
              <w:spacing w:after="0"/>
              <w:rPr>
                <w:sz w:val="20"/>
                <w:szCs w:val="20"/>
                <w:color w:val="auto"/>
              </w:rPr>
            </w:pPr>
          </w:p>
        </w:tc>
      </w:tr>
      <w:tr>
        <w:trPr>
          <w:trHeight w:val="228"/>
        </w:trPr>
        <w:tc>
          <w:tcPr>
            <w:tcW w:w="292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U.M. Burns</w:t>
            </w:r>
          </w:p>
        </w:tc>
        <w:tc>
          <w:tcPr>
            <w:tcW w:w="820" w:type="dxa"/>
            <w:vAlign w:val="bottom"/>
            <w:tcBorders>
              <w:right w:val="single" w:sz="8" w:color="auto"/>
            </w:tcBorders>
          </w:tcPr>
          <w:p>
            <w:pPr>
              <w:jc w:val="right"/>
              <w:ind w:right="22"/>
              <w:spacing w:after="0"/>
              <w:rPr>
                <w:sz w:val="20"/>
                <w:szCs w:val="20"/>
                <w:color w:val="auto"/>
              </w:rPr>
            </w:pPr>
            <w:r>
              <w:rPr>
                <w:rFonts w:ascii="Arial" w:cs="Arial" w:eastAsia="Arial" w:hAnsi="Arial"/>
                <w:sz w:val="16"/>
                <w:szCs w:val="16"/>
                <w:color w:val="auto"/>
              </w:rPr>
              <w:t>120,000</w:t>
            </w:r>
          </w:p>
        </w:tc>
        <w:tc>
          <w:tcPr>
            <w:tcW w:w="7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156,006</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254</w:t>
            </w:r>
          </w:p>
        </w:tc>
        <w:tc>
          <w:tcPr>
            <w:tcW w:w="820" w:type="dxa"/>
            <w:vAlign w:val="bottom"/>
          </w:tcPr>
          <w:p>
            <w:pPr>
              <w:jc w:val="right"/>
              <w:spacing w:after="0"/>
              <w:rPr>
                <w:sz w:val="20"/>
                <w:szCs w:val="20"/>
                <w:color w:val="auto"/>
              </w:rPr>
            </w:pPr>
            <w:r>
              <w:rPr>
                <w:rFonts w:ascii="Arial" w:cs="Arial" w:eastAsia="Arial" w:hAnsi="Arial"/>
                <w:sz w:val="16"/>
                <w:szCs w:val="16"/>
                <w:color w:val="auto"/>
              </w:rPr>
              <w:t>276,260</w:t>
            </w:r>
          </w:p>
        </w:tc>
        <w:tc>
          <w:tcPr>
            <w:tcW w:w="20" w:type="dxa"/>
            <w:vAlign w:val="bottom"/>
          </w:tcPr>
          <w:p>
            <w:pPr>
              <w:spacing w:after="0"/>
              <w:rPr>
                <w:sz w:val="19"/>
                <w:szCs w:val="19"/>
                <w:color w:val="auto"/>
              </w:rPr>
            </w:pPr>
          </w:p>
        </w:tc>
      </w:tr>
      <w:tr>
        <w:trPr>
          <w:trHeight w:val="231"/>
        </w:trPr>
        <w:tc>
          <w:tcPr>
            <w:tcW w:w="2920" w:type="dxa"/>
            <w:vAlign w:val="bottom"/>
            <w:tcBorders>
              <w:left w:val="single" w:sz="8" w:color="D4DBEB"/>
              <w:right w:val="single" w:sz="8" w:color="auto"/>
            </w:tcBorders>
            <w:shd w:val="clear" w:color="auto" w:fill="D4DBEB"/>
          </w:tcPr>
          <w:p>
            <w:pPr>
              <w:ind w:left="160"/>
              <w:spacing w:after="0" w:line="230" w:lineRule="exact"/>
              <w:rPr>
                <w:sz w:val="20"/>
                <w:szCs w:val="20"/>
                <w:color w:val="auto"/>
              </w:rPr>
            </w:pPr>
            <w:r>
              <w:rPr>
                <w:rFonts w:ascii="Arial" w:cs="Arial" w:eastAsia="Arial" w:hAnsi="Arial"/>
                <w:sz w:val="16"/>
                <w:szCs w:val="16"/>
                <w:color w:val="auto"/>
              </w:rPr>
              <w:t>K.C. Frazier</w:t>
            </w:r>
            <w:r>
              <w:rPr>
                <w:rFonts w:ascii="Arial" w:cs="Arial" w:eastAsia="Arial" w:hAnsi="Arial"/>
                <w:sz w:val="24"/>
                <w:szCs w:val="24"/>
                <w:color w:val="auto"/>
                <w:vertAlign w:val="superscript"/>
              </w:rPr>
              <w:t>(c)</w:t>
            </w:r>
          </w:p>
        </w:tc>
        <w:tc>
          <w:tcPr>
            <w:tcW w:w="820" w:type="dxa"/>
            <w:vAlign w:val="bottom"/>
            <w:tcBorders>
              <w:right w:val="single" w:sz="8" w:color="auto"/>
            </w:tcBorders>
            <w:shd w:val="clear" w:color="auto" w:fill="D4DBEB"/>
          </w:tcPr>
          <w:p>
            <w:pPr>
              <w:jc w:val="right"/>
              <w:ind w:right="22"/>
              <w:spacing w:after="0"/>
              <w:rPr>
                <w:sz w:val="20"/>
                <w:szCs w:val="20"/>
                <w:color w:val="auto"/>
              </w:rPr>
            </w:pPr>
            <w:r>
              <w:rPr>
                <w:rFonts w:ascii="Arial" w:cs="Arial" w:eastAsia="Arial" w:hAnsi="Arial"/>
                <w:sz w:val="16"/>
                <w:szCs w:val="16"/>
                <w:color w:val="auto"/>
              </w:rPr>
              <w:t>64,176</w:t>
            </w:r>
          </w:p>
        </w:tc>
        <w:tc>
          <w:tcPr>
            <w:tcW w:w="780" w:type="dxa"/>
            <w:vAlign w:val="bottom"/>
            <w:tcBorders>
              <w:right w:val="single" w:sz="8" w:color="auto"/>
            </w:tcBorders>
            <w:shd w:val="clear" w:color="auto" w:fill="D4DBEB"/>
          </w:tcPr>
          <w:p>
            <w:pPr>
              <w:ind w:left="100"/>
              <w:spacing w:after="0"/>
              <w:rPr>
                <w:sz w:val="20"/>
                <w:szCs w:val="20"/>
                <w:color w:val="auto"/>
              </w:rPr>
            </w:pPr>
            <w:r>
              <w:rPr>
                <w:rFonts w:ascii="Arial" w:cs="Arial" w:eastAsia="Arial" w:hAnsi="Arial"/>
                <w:sz w:val="16"/>
                <w:szCs w:val="16"/>
                <w:color w:val="auto"/>
              </w:rPr>
              <w:t>156,006</w:t>
            </w:r>
          </w:p>
        </w:tc>
        <w:tc>
          <w:tcPr>
            <w:tcW w:w="6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2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7"/>
              </w:rPr>
              <w:t>105</w:t>
            </w:r>
          </w:p>
        </w:tc>
        <w:tc>
          <w:tcPr>
            <w:tcW w:w="820" w:type="dxa"/>
            <w:vAlign w:val="bottom"/>
            <w:shd w:val="clear" w:color="auto" w:fill="D4DBEB"/>
          </w:tcPr>
          <w:p>
            <w:pPr>
              <w:jc w:val="right"/>
              <w:spacing w:after="0"/>
              <w:rPr>
                <w:sz w:val="20"/>
                <w:szCs w:val="20"/>
                <w:color w:val="auto"/>
              </w:rPr>
            </w:pPr>
            <w:r>
              <w:rPr>
                <w:rFonts w:ascii="Arial" w:cs="Arial" w:eastAsia="Arial" w:hAnsi="Arial"/>
                <w:sz w:val="16"/>
                <w:szCs w:val="16"/>
                <w:color w:val="auto"/>
              </w:rPr>
              <w:t>220,287</w:t>
            </w:r>
          </w:p>
        </w:tc>
        <w:tc>
          <w:tcPr>
            <w:tcW w:w="20" w:type="dxa"/>
            <w:vAlign w:val="bottom"/>
          </w:tcPr>
          <w:p>
            <w:pPr>
              <w:spacing w:after="0"/>
              <w:rPr>
                <w:sz w:val="20"/>
                <w:szCs w:val="20"/>
                <w:color w:val="auto"/>
              </w:rPr>
            </w:pPr>
          </w:p>
        </w:tc>
      </w:tr>
      <w:tr>
        <w:trPr>
          <w:trHeight w:val="228"/>
        </w:trPr>
        <w:tc>
          <w:tcPr>
            <w:tcW w:w="292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G.J. Goff</w:t>
            </w:r>
          </w:p>
        </w:tc>
        <w:tc>
          <w:tcPr>
            <w:tcW w:w="820" w:type="dxa"/>
            <w:vAlign w:val="bottom"/>
            <w:tcBorders>
              <w:right w:val="single" w:sz="8" w:color="auto"/>
            </w:tcBorders>
          </w:tcPr>
          <w:p>
            <w:pPr>
              <w:jc w:val="right"/>
              <w:ind w:right="22"/>
              <w:spacing w:after="0"/>
              <w:rPr>
                <w:sz w:val="20"/>
                <w:szCs w:val="20"/>
                <w:color w:val="auto"/>
              </w:rPr>
            </w:pPr>
            <w:r>
              <w:rPr>
                <w:rFonts w:ascii="Arial" w:cs="Arial" w:eastAsia="Arial" w:hAnsi="Arial"/>
                <w:sz w:val="16"/>
                <w:szCs w:val="16"/>
                <w:color w:val="auto"/>
              </w:rPr>
              <w:t>110,000</w:t>
            </w:r>
          </w:p>
        </w:tc>
        <w:tc>
          <w:tcPr>
            <w:tcW w:w="7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156,006</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254</w:t>
            </w:r>
          </w:p>
        </w:tc>
        <w:tc>
          <w:tcPr>
            <w:tcW w:w="820" w:type="dxa"/>
            <w:vAlign w:val="bottom"/>
          </w:tcPr>
          <w:p>
            <w:pPr>
              <w:jc w:val="right"/>
              <w:spacing w:after="0"/>
              <w:rPr>
                <w:sz w:val="20"/>
                <w:szCs w:val="20"/>
                <w:color w:val="auto"/>
              </w:rPr>
            </w:pPr>
            <w:r>
              <w:rPr>
                <w:rFonts w:ascii="Arial" w:cs="Arial" w:eastAsia="Arial" w:hAnsi="Arial"/>
                <w:sz w:val="16"/>
                <w:szCs w:val="16"/>
                <w:color w:val="auto"/>
              </w:rPr>
              <w:t>266,260</w:t>
            </w:r>
          </w:p>
        </w:tc>
        <w:tc>
          <w:tcPr>
            <w:tcW w:w="20" w:type="dxa"/>
            <w:vAlign w:val="bottom"/>
          </w:tcPr>
          <w:p>
            <w:pPr>
              <w:spacing w:after="0"/>
              <w:rPr>
                <w:sz w:val="19"/>
                <w:szCs w:val="19"/>
                <w:color w:val="auto"/>
              </w:rPr>
            </w:pPr>
          </w:p>
        </w:tc>
      </w:tr>
      <w:tr>
        <w:trPr>
          <w:trHeight w:val="231"/>
        </w:trPr>
        <w:tc>
          <w:tcPr>
            <w:tcW w:w="292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K.H. Hietala</w:t>
            </w:r>
          </w:p>
        </w:tc>
        <w:tc>
          <w:tcPr>
            <w:tcW w:w="820" w:type="dxa"/>
            <w:vAlign w:val="bottom"/>
            <w:tcBorders>
              <w:right w:val="single" w:sz="8" w:color="auto"/>
            </w:tcBorders>
            <w:shd w:val="clear" w:color="auto" w:fill="D4DBEB"/>
          </w:tcPr>
          <w:p>
            <w:pPr>
              <w:jc w:val="right"/>
              <w:ind w:right="22"/>
              <w:spacing w:after="0"/>
              <w:rPr>
                <w:sz w:val="20"/>
                <w:szCs w:val="20"/>
                <w:color w:val="auto"/>
              </w:rPr>
            </w:pPr>
            <w:r>
              <w:rPr>
                <w:rFonts w:ascii="Arial" w:cs="Arial" w:eastAsia="Arial" w:hAnsi="Arial"/>
                <w:sz w:val="16"/>
                <w:szCs w:val="16"/>
                <w:color w:val="auto"/>
              </w:rPr>
              <w:t>110,000</w:t>
            </w:r>
          </w:p>
        </w:tc>
        <w:tc>
          <w:tcPr>
            <w:tcW w:w="780" w:type="dxa"/>
            <w:vAlign w:val="bottom"/>
            <w:tcBorders>
              <w:right w:val="single" w:sz="8" w:color="auto"/>
            </w:tcBorders>
            <w:shd w:val="clear" w:color="auto" w:fill="D4DBEB"/>
          </w:tcPr>
          <w:p>
            <w:pPr>
              <w:ind w:left="100"/>
              <w:spacing w:after="0"/>
              <w:rPr>
                <w:sz w:val="20"/>
                <w:szCs w:val="20"/>
                <w:color w:val="auto"/>
              </w:rPr>
            </w:pPr>
            <w:r>
              <w:rPr>
                <w:rFonts w:ascii="Arial" w:cs="Arial" w:eastAsia="Arial" w:hAnsi="Arial"/>
                <w:sz w:val="16"/>
                <w:szCs w:val="16"/>
                <w:color w:val="auto"/>
              </w:rPr>
              <w:t>156,006</w:t>
            </w:r>
          </w:p>
        </w:tc>
        <w:tc>
          <w:tcPr>
            <w:tcW w:w="6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2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7"/>
              </w:rPr>
              <w:t>254</w:t>
            </w:r>
          </w:p>
        </w:tc>
        <w:tc>
          <w:tcPr>
            <w:tcW w:w="820" w:type="dxa"/>
            <w:vAlign w:val="bottom"/>
            <w:shd w:val="clear" w:color="auto" w:fill="D4DBEB"/>
          </w:tcPr>
          <w:p>
            <w:pPr>
              <w:jc w:val="right"/>
              <w:spacing w:after="0"/>
              <w:rPr>
                <w:sz w:val="20"/>
                <w:szCs w:val="20"/>
                <w:color w:val="auto"/>
              </w:rPr>
            </w:pPr>
            <w:r>
              <w:rPr>
                <w:rFonts w:ascii="Arial" w:cs="Arial" w:eastAsia="Arial" w:hAnsi="Arial"/>
                <w:sz w:val="16"/>
                <w:szCs w:val="16"/>
                <w:color w:val="auto"/>
              </w:rPr>
              <w:t>266,260</w:t>
            </w:r>
          </w:p>
        </w:tc>
        <w:tc>
          <w:tcPr>
            <w:tcW w:w="20" w:type="dxa"/>
            <w:vAlign w:val="bottom"/>
          </w:tcPr>
          <w:p>
            <w:pPr>
              <w:spacing w:after="0"/>
              <w:rPr>
                <w:sz w:val="20"/>
                <w:szCs w:val="20"/>
                <w:color w:val="auto"/>
              </w:rPr>
            </w:pPr>
          </w:p>
        </w:tc>
      </w:tr>
      <w:tr>
        <w:trPr>
          <w:trHeight w:val="228"/>
        </w:trPr>
        <w:tc>
          <w:tcPr>
            <w:tcW w:w="292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J.L. Hooley</w:t>
            </w:r>
          </w:p>
        </w:tc>
        <w:tc>
          <w:tcPr>
            <w:tcW w:w="820" w:type="dxa"/>
            <w:vAlign w:val="bottom"/>
            <w:tcBorders>
              <w:right w:val="single" w:sz="8" w:color="auto"/>
            </w:tcBorders>
          </w:tcPr>
          <w:p>
            <w:pPr>
              <w:jc w:val="right"/>
              <w:ind w:right="22"/>
              <w:spacing w:after="0"/>
              <w:rPr>
                <w:sz w:val="20"/>
                <w:szCs w:val="20"/>
                <w:color w:val="auto"/>
              </w:rPr>
            </w:pPr>
            <w:r>
              <w:rPr>
                <w:rFonts w:ascii="Arial" w:cs="Arial" w:eastAsia="Arial" w:hAnsi="Arial"/>
                <w:sz w:val="16"/>
                <w:szCs w:val="16"/>
                <w:color w:val="auto"/>
              </w:rPr>
              <w:t>139,945</w:t>
            </w:r>
          </w:p>
        </w:tc>
        <w:tc>
          <w:tcPr>
            <w:tcW w:w="7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156,006</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254</w:t>
            </w:r>
          </w:p>
        </w:tc>
        <w:tc>
          <w:tcPr>
            <w:tcW w:w="820" w:type="dxa"/>
            <w:vAlign w:val="bottom"/>
          </w:tcPr>
          <w:p>
            <w:pPr>
              <w:jc w:val="right"/>
              <w:spacing w:after="0"/>
              <w:rPr>
                <w:sz w:val="20"/>
                <w:szCs w:val="20"/>
                <w:color w:val="auto"/>
              </w:rPr>
            </w:pPr>
            <w:r>
              <w:rPr>
                <w:rFonts w:ascii="Arial" w:cs="Arial" w:eastAsia="Arial" w:hAnsi="Arial"/>
                <w:sz w:val="16"/>
                <w:szCs w:val="16"/>
                <w:color w:val="auto"/>
              </w:rPr>
              <w:t>296,205</w:t>
            </w:r>
          </w:p>
        </w:tc>
        <w:tc>
          <w:tcPr>
            <w:tcW w:w="20" w:type="dxa"/>
            <w:vAlign w:val="bottom"/>
          </w:tcPr>
          <w:p>
            <w:pPr>
              <w:spacing w:after="0"/>
              <w:rPr>
                <w:sz w:val="19"/>
                <w:szCs w:val="19"/>
                <w:color w:val="auto"/>
              </w:rPr>
            </w:pPr>
          </w:p>
        </w:tc>
      </w:tr>
      <w:tr>
        <w:trPr>
          <w:trHeight w:val="230"/>
        </w:trPr>
        <w:tc>
          <w:tcPr>
            <w:tcW w:w="292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S.A. Kandarian</w:t>
            </w:r>
          </w:p>
        </w:tc>
        <w:tc>
          <w:tcPr>
            <w:tcW w:w="820" w:type="dxa"/>
            <w:vAlign w:val="bottom"/>
            <w:tcBorders>
              <w:right w:val="single" w:sz="8" w:color="auto"/>
            </w:tcBorders>
            <w:shd w:val="clear" w:color="auto" w:fill="D4DBEB"/>
          </w:tcPr>
          <w:p>
            <w:pPr>
              <w:jc w:val="right"/>
              <w:ind w:right="22"/>
              <w:spacing w:after="0"/>
              <w:rPr>
                <w:sz w:val="20"/>
                <w:szCs w:val="20"/>
                <w:color w:val="auto"/>
              </w:rPr>
            </w:pPr>
            <w:r>
              <w:rPr>
                <w:rFonts w:ascii="Arial" w:cs="Arial" w:eastAsia="Arial" w:hAnsi="Arial"/>
                <w:sz w:val="16"/>
                <w:szCs w:val="16"/>
                <w:color w:val="auto"/>
              </w:rPr>
              <w:t>110,000</w:t>
            </w:r>
          </w:p>
        </w:tc>
        <w:tc>
          <w:tcPr>
            <w:tcW w:w="780" w:type="dxa"/>
            <w:vAlign w:val="bottom"/>
            <w:tcBorders>
              <w:right w:val="single" w:sz="8" w:color="auto"/>
            </w:tcBorders>
            <w:shd w:val="clear" w:color="auto" w:fill="D4DBEB"/>
          </w:tcPr>
          <w:p>
            <w:pPr>
              <w:ind w:left="100"/>
              <w:spacing w:after="0"/>
              <w:rPr>
                <w:sz w:val="20"/>
                <w:szCs w:val="20"/>
                <w:color w:val="auto"/>
              </w:rPr>
            </w:pPr>
            <w:r>
              <w:rPr>
                <w:rFonts w:ascii="Arial" w:cs="Arial" w:eastAsia="Arial" w:hAnsi="Arial"/>
                <w:sz w:val="16"/>
                <w:szCs w:val="16"/>
                <w:color w:val="auto"/>
              </w:rPr>
              <w:t>156,006</w:t>
            </w:r>
          </w:p>
        </w:tc>
        <w:tc>
          <w:tcPr>
            <w:tcW w:w="6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2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7"/>
              </w:rPr>
              <w:t>254</w:t>
            </w:r>
          </w:p>
        </w:tc>
        <w:tc>
          <w:tcPr>
            <w:tcW w:w="820" w:type="dxa"/>
            <w:vAlign w:val="bottom"/>
            <w:shd w:val="clear" w:color="auto" w:fill="D4DBEB"/>
          </w:tcPr>
          <w:p>
            <w:pPr>
              <w:jc w:val="right"/>
              <w:spacing w:after="0"/>
              <w:rPr>
                <w:sz w:val="20"/>
                <w:szCs w:val="20"/>
                <w:color w:val="auto"/>
              </w:rPr>
            </w:pPr>
            <w:r>
              <w:rPr>
                <w:rFonts w:ascii="Arial" w:cs="Arial" w:eastAsia="Arial" w:hAnsi="Arial"/>
                <w:sz w:val="16"/>
                <w:szCs w:val="16"/>
                <w:color w:val="auto"/>
              </w:rPr>
              <w:t>266,260</w:t>
            </w:r>
          </w:p>
        </w:tc>
        <w:tc>
          <w:tcPr>
            <w:tcW w:w="20" w:type="dxa"/>
            <w:vAlign w:val="bottom"/>
          </w:tcPr>
          <w:p>
            <w:pPr>
              <w:spacing w:after="0"/>
              <w:rPr>
                <w:sz w:val="20"/>
                <w:szCs w:val="20"/>
                <w:color w:val="auto"/>
              </w:rPr>
            </w:pPr>
          </w:p>
        </w:tc>
      </w:tr>
      <w:tr>
        <w:trPr>
          <w:trHeight w:val="228"/>
        </w:trPr>
        <w:tc>
          <w:tcPr>
            <w:tcW w:w="2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A.A. Karsner</w:t>
            </w:r>
          </w:p>
        </w:tc>
        <w:tc>
          <w:tcPr>
            <w:tcW w:w="820" w:type="dxa"/>
            <w:vAlign w:val="bottom"/>
            <w:tcBorders>
              <w:right w:val="single" w:sz="8" w:color="auto"/>
            </w:tcBorders>
          </w:tcPr>
          <w:p>
            <w:pPr>
              <w:jc w:val="right"/>
              <w:ind w:right="22"/>
              <w:spacing w:after="0"/>
              <w:rPr>
                <w:sz w:val="20"/>
                <w:szCs w:val="20"/>
                <w:color w:val="auto"/>
              </w:rPr>
            </w:pPr>
            <w:r>
              <w:rPr>
                <w:rFonts w:ascii="Arial" w:cs="Arial" w:eastAsia="Arial" w:hAnsi="Arial"/>
                <w:sz w:val="16"/>
                <w:szCs w:val="16"/>
                <w:color w:val="auto"/>
              </w:rPr>
              <w:t>110,000</w:t>
            </w:r>
          </w:p>
        </w:tc>
        <w:tc>
          <w:tcPr>
            <w:tcW w:w="7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156,006</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254</w:t>
            </w:r>
          </w:p>
        </w:tc>
        <w:tc>
          <w:tcPr>
            <w:tcW w:w="820" w:type="dxa"/>
            <w:vAlign w:val="bottom"/>
          </w:tcPr>
          <w:p>
            <w:pPr>
              <w:jc w:val="right"/>
              <w:spacing w:after="0"/>
              <w:rPr>
                <w:sz w:val="20"/>
                <w:szCs w:val="20"/>
                <w:color w:val="auto"/>
              </w:rPr>
            </w:pPr>
            <w:r>
              <w:rPr>
                <w:rFonts w:ascii="Arial" w:cs="Arial" w:eastAsia="Arial" w:hAnsi="Arial"/>
                <w:sz w:val="16"/>
                <w:szCs w:val="16"/>
                <w:color w:val="auto"/>
              </w:rPr>
              <w:t>266,260</w:t>
            </w:r>
          </w:p>
        </w:tc>
        <w:tc>
          <w:tcPr>
            <w:tcW w:w="20" w:type="dxa"/>
            <w:vAlign w:val="bottom"/>
          </w:tcPr>
          <w:p>
            <w:pPr>
              <w:spacing w:after="0"/>
              <w:rPr>
                <w:sz w:val="19"/>
                <w:szCs w:val="19"/>
                <w:color w:val="auto"/>
              </w:rPr>
            </w:pPr>
          </w:p>
        </w:tc>
      </w:tr>
      <w:tr>
        <w:trPr>
          <w:trHeight w:val="231"/>
        </w:trPr>
        <w:tc>
          <w:tcPr>
            <w:tcW w:w="292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J.W. Ubben</w:t>
            </w:r>
          </w:p>
        </w:tc>
        <w:tc>
          <w:tcPr>
            <w:tcW w:w="820" w:type="dxa"/>
            <w:vAlign w:val="bottom"/>
            <w:tcBorders>
              <w:right w:val="single" w:sz="8" w:color="auto"/>
            </w:tcBorders>
            <w:shd w:val="clear" w:color="auto" w:fill="D4DBEB"/>
          </w:tcPr>
          <w:p>
            <w:pPr>
              <w:jc w:val="right"/>
              <w:ind w:right="22"/>
              <w:spacing w:after="0"/>
              <w:rPr>
                <w:sz w:val="20"/>
                <w:szCs w:val="20"/>
                <w:color w:val="auto"/>
              </w:rPr>
            </w:pPr>
            <w:r>
              <w:rPr>
                <w:rFonts w:ascii="Arial" w:cs="Arial" w:eastAsia="Arial" w:hAnsi="Arial"/>
                <w:sz w:val="16"/>
                <w:szCs w:val="16"/>
                <w:color w:val="auto"/>
              </w:rPr>
              <w:t>110,000</w:t>
            </w:r>
          </w:p>
        </w:tc>
        <w:tc>
          <w:tcPr>
            <w:tcW w:w="780" w:type="dxa"/>
            <w:vAlign w:val="bottom"/>
            <w:tcBorders>
              <w:right w:val="single" w:sz="8" w:color="auto"/>
            </w:tcBorders>
            <w:shd w:val="clear" w:color="auto" w:fill="D4DBEB"/>
          </w:tcPr>
          <w:p>
            <w:pPr>
              <w:ind w:left="100"/>
              <w:spacing w:after="0"/>
              <w:rPr>
                <w:sz w:val="20"/>
                <w:szCs w:val="20"/>
                <w:color w:val="auto"/>
              </w:rPr>
            </w:pPr>
            <w:r>
              <w:rPr>
                <w:rFonts w:ascii="Arial" w:cs="Arial" w:eastAsia="Arial" w:hAnsi="Arial"/>
                <w:sz w:val="16"/>
                <w:szCs w:val="16"/>
                <w:color w:val="auto"/>
              </w:rPr>
              <w:t>156,006</w:t>
            </w:r>
          </w:p>
        </w:tc>
        <w:tc>
          <w:tcPr>
            <w:tcW w:w="6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2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7"/>
              </w:rPr>
              <w:t>254</w:t>
            </w:r>
          </w:p>
        </w:tc>
        <w:tc>
          <w:tcPr>
            <w:tcW w:w="820" w:type="dxa"/>
            <w:vAlign w:val="bottom"/>
            <w:shd w:val="clear" w:color="auto" w:fill="D4DBEB"/>
          </w:tcPr>
          <w:p>
            <w:pPr>
              <w:jc w:val="right"/>
              <w:spacing w:after="0"/>
              <w:rPr>
                <w:sz w:val="20"/>
                <w:szCs w:val="20"/>
                <w:color w:val="auto"/>
              </w:rPr>
            </w:pPr>
            <w:r>
              <w:rPr>
                <w:rFonts w:ascii="Arial" w:cs="Arial" w:eastAsia="Arial" w:hAnsi="Arial"/>
                <w:sz w:val="16"/>
                <w:szCs w:val="16"/>
                <w:color w:val="auto"/>
              </w:rPr>
              <w:t>266,260</w:t>
            </w:r>
          </w:p>
        </w:tc>
        <w:tc>
          <w:tcPr>
            <w:tcW w:w="20" w:type="dxa"/>
            <w:vAlign w:val="bottom"/>
          </w:tcPr>
          <w:p>
            <w:pPr>
              <w:spacing w:after="0"/>
              <w:rPr>
                <w:sz w:val="20"/>
                <w:szCs w:val="20"/>
                <w:color w:val="auto"/>
              </w:rPr>
            </w:pPr>
          </w:p>
        </w:tc>
      </w:tr>
    </w:tbl>
    <w:p>
      <w:pPr>
        <w:spacing w:after="0" w:line="107" w:lineRule="exact"/>
        <w:rPr>
          <w:sz w:val="20"/>
          <w:szCs w:val="20"/>
          <w:color w:val="auto"/>
        </w:rPr>
      </w:pPr>
    </w:p>
    <w:p>
      <w:pPr>
        <w:ind w:left="1140" w:hanging="376"/>
        <w:spacing w:after="0" w:line="286" w:lineRule="auto"/>
        <w:tabs>
          <w:tab w:leader="none" w:pos="11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accordance with SEC rules, the valuation of stock awards in this table represents fair value on the date of grant. Dividends on stock awards are not shown in the table because those amounts are factored into the grant date fair value.</w:t>
      </w:r>
    </w:p>
    <w:p>
      <w:pPr>
        <w:spacing w:after="0" w:line="47" w:lineRule="exact"/>
        <w:rPr>
          <w:rFonts w:ascii="Arial" w:cs="Arial" w:eastAsia="Arial" w:hAnsi="Arial"/>
          <w:sz w:val="16"/>
          <w:szCs w:val="16"/>
          <w:color w:val="auto"/>
        </w:rPr>
      </w:pPr>
    </w:p>
    <w:p>
      <w:pPr>
        <w:ind w:left="1160" w:right="160"/>
        <w:spacing w:after="0" w:line="286" w:lineRule="auto"/>
        <w:rPr>
          <w:rFonts w:ascii="Arial" w:cs="Arial" w:eastAsia="Arial" w:hAnsi="Arial"/>
          <w:sz w:val="16"/>
          <w:szCs w:val="16"/>
          <w:color w:val="auto"/>
        </w:rPr>
      </w:pPr>
      <w:r>
        <w:rPr>
          <w:rFonts w:ascii="Arial" w:cs="Arial" w:eastAsia="Arial" w:hAnsi="Arial"/>
          <w:sz w:val="16"/>
          <w:szCs w:val="16"/>
          <w:color w:val="auto"/>
        </w:rPr>
        <w:t>Each director in office at that time received an annual grant of 2,500 restricted shares in January 2022. The valuation of these awards is based on a market price of $62.40 on the date of grant.</w:t>
      </w:r>
    </w:p>
    <w:p>
      <w:pPr>
        <w:spacing w:after="0" w:line="47"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6"/>
          <w:szCs w:val="16"/>
          <w:color w:val="auto"/>
        </w:rPr>
        <w:t>At year-end 2022, the aggregate number of restricted shares held by each director was as follows:</w:t>
      </w:r>
    </w:p>
    <w:p>
      <w:pPr>
        <w:spacing w:after="0" w:line="242" w:lineRule="exact"/>
        <w:rPr>
          <w:sz w:val="20"/>
          <w:szCs w:val="20"/>
          <w:color w:val="auto"/>
        </w:rPr>
      </w:pPr>
    </w:p>
    <w:tbl>
      <w:tblPr>
        <w:tblLayout w:type="fixed"/>
        <w:tblInd w:w="1170" w:type="dxa"/>
        <w:tblCellMar>
          <w:top w:w="0" w:type="dxa"/>
          <w:left w:w="0" w:type="dxa"/>
          <w:bottom w:w="0" w:type="dxa"/>
          <w:right w:w="0" w:type="dxa"/>
        </w:tblCellMar>
      </w:tblPr>
      <w:tr>
        <w:trPr>
          <w:trHeight w:val="215"/>
        </w:trPr>
        <w:tc>
          <w:tcPr>
            <w:tcW w:w="214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Name</w:t>
            </w:r>
          </w:p>
        </w:tc>
        <w:tc>
          <w:tcPr>
            <w:tcW w:w="194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Restricted Shares (#)</w:t>
            </w:r>
          </w:p>
        </w:tc>
        <w:tc>
          <w:tcPr>
            <w:tcW w:w="20" w:type="dxa"/>
            <w:vAlign w:val="bottom"/>
            <w:tcBorders>
              <w:top w:val="single" w:sz="8" w:color="auto"/>
              <w:bottom w:val="single" w:sz="8" w:color="auto"/>
            </w:tcBorders>
            <w:shd w:val="clear" w:color="auto" w:fill="000000"/>
          </w:tcPr>
          <w:p>
            <w:pPr>
              <w:spacing w:after="0"/>
              <w:rPr>
                <w:sz w:val="18"/>
                <w:szCs w:val="18"/>
                <w:color w:val="auto"/>
              </w:rPr>
            </w:pPr>
          </w:p>
        </w:tc>
      </w:tr>
      <w:tr>
        <w:trPr>
          <w:trHeight w:val="224"/>
        </w:trPr>
        <w:tc>
          <w:tcPr>
            <w:tcW w:w="214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M.J. Angelakis</w:t>
            </w:r>
          </w:p>
        </w:tc>
        <w:tc>
          <w:tcPr>
            <w:tcW w:w="1940" w:type="dxa"/>
            <w:vAlign w:val="bottom"/>
            <w:shd w:val="clear" w:color="auto" w:fill="D4DBEB"/>
          </w:tcPr>
          <w:p>
            <w:pPr>
              <w:jc w:val="right"/>
              <w:ind w:right="680"/>
              <w:spacing w:after="0"/>
              <w:rPr>
                <w:sz w:val="20"/>
                <w:szCs w:val="20"/>
                <w:color w:val="auto"/>
              </w:rPr>
            </w:pPr>
            <w:r>
              <w:rPr>
                <w:rFonts w:ascii="Arial" w:cs="Arial" w:eastAsia="Arial" w:hAnsi="Arial"/>
                <w:sz w:val="16"/>
                <w:szCs w:val="16"/>
                <w:color w:val="auto"/>
              </w:rPr>
              <w:t>10,500</w:t>
            </w:r>
          </w:p>
        </w:tc>
        <w:tc>
          <w:tcPr>
            <w:tcW w:w="20" w:type="dxa"/>
            <w:vAlign w:val="bottom"/>
          </w:tcPr>
          <w:p>
            <w:pPr>
              <w:spacing w:after="0"/>
              <w:rPr>
                <w:sz w:val="19"/>
                <w:szCs w:val="19"/>
                <w:color w:val="auto"/>
              </w:rPr>
            </w:pPr>
          </w:p>
        </w:tc>
      </w:tr>
      <w:tr>
        <w:trPr>
          <w:trHeight w:val="229"/>
        </w:trPr>
        <w:tc>
          <w:tcPr>
            <w:tcW w:w="21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S.K. Avery</w:t>
            </w:r>
          </w:p>
        </w:tc>
        <w:tc>
          <w:tcPr>
            <w:tcW w:w="1940" w:type="dxa"/>
            <w:vAlign w:val="bottom"/>
          </w:tcPr>
          <w:p>
            <w:pPr>
              <w:jc w:val="right"/>
              <w:ind w:right="680"/>
              <w:spacing w:after="0"/>
              <w:rPr>
                <w:sz w:val="20"/>
                <w:szCs w:val="20"/>
                <w:color w:val="auto"/>
              </w:rPr>
            </w:pPr>
            <w:r>
              <w:rPr>
                <w:rFonts w:ascii="Arial" w:cs="Arial" w:eastAsia="Arial" w:hAnsi="Arial"/>
                <w:sz w:val="16"/>
                <w:szCs w:val="16"/>
                <w:color w:val="auto"/>
              </w:rPr>
              <w:t>20,500</w:t>
            </w:r>
          </w:p>
        </w:tc>
        <w:tc>
          <w:tcPr>
            <w:tcW w:w="20" w:type="dxa"/>
            <w:vAlign w:val="bottom"/>
          </w:tcPr>
          <w:p>
            <w:pPr>
              <w:spacing w:after="0"/>
              <w:rPr>
                <w:sz w:val="19"/>
                <w:szCs w:val="19"/>
                <w:color w:val="auto"/>
              </w:rPr>
            </w:pPr>
          </w:p>
        </w:tc>
      </w:tr>
      <w:tr>
        <w:trPr>
          <w:trHeight w:val="230"/>
        </w:trPr>
        <w:tc>
          <w:tcPr>
            <w:tcW w:w="214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A.F. Braly</w:t>
            </w:r>
          </w:p>
        </w:tc>
        <w:tc>
          <w:tcPr>
            <w:tcW w:w="1940" w:type="dxa"/>
            <w:vAlign w:val="bottom"/>
            <w:shd w:val="clear" w:color="auto" w:fill="D4DBEB"/>
          </w:tcPr>
          <w:p>
            <w:pPr>
              <w:jc w:val="right"/>
              <w:ind w:right="680"/>
              <w:spacing w:after="0"/>
              <w:rPr>
                <w:sz w:val="20"/>
                <w:szCs w:val="20"/>
                <w:color w:val="auto"/>
              </w:rPr>
            </w:pPr>
            <w:r>
              <w:rPr>
                <w:rFonts w:ascii="Arial" w:cs="Arial" w:eastAsia="Arial" w:hAnsi="Arial"/>
                <w:sz w:val="16"/>
                <w:szCs w:val="16"/>
                <w:color w:val="auto"/>
              </w:rPr>
              <w:t>23,000</w:t>
            </w:r>
          </w:p>
        </w:tc>
        <w:tc>
          <w:tcPr>
            <w:tcW w:w="20" w:type="dxa"/>
            <w:vAlign w:val="bottom"/>
          </w:tcPr>
          <w:p>
            <w:pPr>
              <w:spacing w:after="0"/>
              <w:rPr>
                <w:sz w:val="20"/>
                <w:szCs w:val="20"/>
                <w:color w:val="auto"/>
              </w:rPr>
            </w:pPr>
          </w:p>
        </w:tc>
      </w:tr>
      <w:tr>
        <w:trPr>
          <w:trHeight w:val="229"/>
        </w:trPr>
        <w:tc>
          <w:tcPr>
            <w:tcW w:w="21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U.M. Burns</w:t>
            </w:r>
          </w:p>
        </w:tc>
        <w:tc>
          <w:tcPr>
            <w:tcW w:w="1940" w:type="dxa"/>
            <w:vAlign w:val="bottom"/>
          </w:tcPr>
          <w:p>
            <w:pPr>
              <w:jc w:val="right"/>
              <w:ind w:right="680"/>
              <w:spacing w:after="0"/>
              <w:rPr>
                <w:sz w:val="20"/>
                <w:szCs w:val="20"/>
                <w:color w:val="auto"/>
              </w:rPr>
            </w:pPr>
            <w:r>
              <w:rPr>
                <w:rFonts w:ascii="Arial" w:cs="Arial" w:eastAsia="Arial" w:hAnsi="Arial"/>
                <w:sz w:val="16"/>
                <w:szCs w:val="16"/>
                <w:color w:val="auto"/>
              </w:rPr>
              <w:t>33,000</w:t>
            </w:r>
          </w:p>
        </w:tc>
        <w:tc>
          <w:tcPr>
            <w:tcW w:w="20" w:type="dxa"/>
            <w:vAlign w:val="bottom"/>
          </w:tcPr>
          <w:p>
            <w:pPr>
              <w:spacing w:after="0"/>
              <w:rPr>
                <w:sz w:val="19"/>
                <w:szCs w:val="19"/>
                <w:color w:val="auto"/>
              </w:rPr>
            </w:pPr>
          </w:p>
        </w:tc>
      </w:tr>
      <w:tr>
        <w:trPr>
          <w:trHeight w:val="230"/>
        </w:trPr>
        <w:tc>
          <w:tcPr>
            <w:tcW w:w="214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G.J. Goff</w:t>
            </w:r>
          </w:p>
        </w:tc>
        <w:tc>
          <w:tcPr>
            <w:tcW w:w="1940" w:type="dxa"/>
            <w:vAlign w:val="bottom"/>
            <w:shd w:val="clear" w:color="auto" w:fill="D4DBEB"/>
          </w:tcPr>
          <w:p>
            <w:pPr>
              <w:jc w:val="right"/>
              <w:ind w:right="680"/>
              <w:spacing w:after="0"/>
              <w:rPr>
                <w:sz w:val="20"/>
                <w:szCs w:val="20"/>
                <w:color w:val="auto"/>
              </w:rPr>
            </w:pPr>
            <w:r>
              <w:rPr>
                <w:rFonts w:ascii="Arial" w:cs="Arial" w:eastAsia="Arial" w:hAnsi="Arial"/>
                <w:sz w:val="16"/>
                <w:szCs w:val="16"/>
                <w:color w:val="auto"/>
              </w:rPr>
              <w:t>10,500</w:t>
            </w:r>
          </w:p>
        </w:tc>
        <w:tc>
          <w:tcPr>
            <w:tcW w:w="20" w:type="dxa"/>
            <w:vAlign w:val="bottom"/>
          </w:tcPr>
          <w:p>
            <w:pPr>
              <w:spacing w:after="0"/>
              <w:rPr>
                <w:sz w:val="20"/>
                <w:szCs w:val="20"/>
                <w:color w:val="auto"/>
              </w:rPr>
            </w:pPr>
          </w:p>
        </w:tc>
      </w:tr>
      <w:tr>
        <w:trPr>
          <w:trHeight w:val="228"/>
        </w:trPr>
        <w:tc>
          <w:tcPr>
            <w:tcW w:w="21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K.H. Hietala</w:t>
            </w:r>
          </w:p>
        </w:tc>
        <w:tc>
          <w:tcPr>
            <w:tcW w:w="1940" w:type="dxa"/>
            <w:vAlign w:val="bottom"/>
          </w:tcPr>
          <w:p>
            <w:pPr>
              <w:jc w:val="right"/>
              <w:ind w:right="680"/>
              <w:spacing w:after="0"/>
              <w:rPr>
                <w:sz w:val="20"/>
                <w:szCs w:val="20"/>
                <w:color w:val="auto"/>
              </w:rPr>
            </w:pPr>
            <w:r>
              <w:rPr>
                <w:rFonts w:ascii="Arial" w:cs="Arial" w:eastAsia="Arial" w:hAnsi="Arial"/>
                <w:sz w:val="16"/>
                <w:szCs w:val="16"/>
                <w:color w:val="auto"/>
              </w:rPr>
              <w:t>10,500</w:t>
            </w:r>
          </w:p>
        </w:tc>
        <w:tc>
          <w:tcPr>
            <w:tcW w:w="20" w:type="dxa"/>
            <w:vAlign w:val="bottom"/>
          </w:tcPr>
          <w:p>
            <w:pPr>
              <w:spacing w:after="0"/>
              <w:rPr>
                <w:sz w:val="19"/>
                <w:szCs w:val="19"/>
                <w:color w:val="auto"/>
              </w:rPr>
            </w:pPr>
          </w:p>
        </w:tc>
      </w:tr>
      <w:tr>
        <w:trPr>
          <w:trHeight w:val="230"/>
        </w:trPr>
        <w:tc>
          <w:tcPr>
            <w:tcW w:w="214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J.L. Hooley</w:t>
            </w:r>
          </w:p>
        </w:tc>
        <w:tc>
          <w:tcPr>
            <w:tcW w:w="1940" w:type="dxa"/>
            <w:vAlign w:val="bottom"/>
            <w:shd w:val="clear" w:color="auto" w:fill="D4DBEB"/>
          </w:tcPr>
          <w:p>
            <w:pPr>
              <w:jc w:val="right"/>
              <w:ind w:right="680"/>
              <w:spacing w:after="0"/>
              <w:rPr>
                <w:sz w:val="20"/>
                <w:szCs w:val="20"/>
                <w:color w:val="auto"/>
              </w:rPr>
            </w:pPr>
            <w:r>
              <w:rPr>
                <w:rFonts w:ascii="Arial" w:cs="Arial" w:eastAsia="Arial" w:hAnsi="Arial"/>
                <w:sz w:val="16"/>
                <w:szCs w:val="16"/>
                <w:color w:val="auto"/>
              </w:rPr>
              <w:t>13,000</w:t>
            </w:r>
          </w:p>
        </w:tc>
        <w:tc>
          <w:tcPr>
            <w:tcW w:w="20" w:type="dxa"/>
            <w:vAlign w:val="bottom"/>
          </w:tcPr>
          <w:p>
            <w:pPr>
              <w:spacing w:after="0"/>
              <w:rPr>
                <w:sz w:val="20"/>
                <w:szCs w:val="20"/>
                <w:color w:val="auto"/>
              </w:rPr>
            </w:pPr>
          </w:p>
        </w:tc>
      </w:tr>
      <w:tr>
        <w:trPr>
          <w:trHeight w:val="229"/>
        </w:trPr>
        <w:tc>
          <w:tcPr>
            <w:tcW w:w="21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S.A. Kandarian</w:t>
            </w:r>
          </w:p>
        </w:tc>
        <w:tc>
          <w:tcPr>
            <w:tcW w:w="1940" w:type="dxa"/>
            <w:vAlign w:val="bottom"/>
          </w:tcPr>
          <w:p>
            <w:pPr>
              <w:jc w:val="right"/>
              <w:ind w:right="680"/>
              <w:spacing w:after="0"/>
              <w:rPr>
                <w:sz w:val="20"/>
                <w:szCs w:val="20"/>
                <w:color w:val="auto"/>
              </w:rPr>
            </w:pPr>
            <w:r>
              <w:rPr>
                <w:rFonts w:ascii="Arial" w:cs="Arial" w:eastAsia="Arial" w:hAnsi="Arial"/>
                <w:sz w:val="16"/>
                <w:szCs w:val="16"/>
                <w:color w:val="auto"/>
              </w:rPr>
              <w:t>18,000</w:t>
            </w:r>
          </w:p>
        </w:tc>
        <w:tc>
          <w:tcPr>
            <w:tcW w:w="20" w:type="dxa"/>
            <w:vAlign w:val="bottom"/>
          </w:tcPr>
          <w:p>
            <w:pPr>
              <w:spacing w:after="0"/>
              <w:rPr>
                <w:sz w:val="19"/>
                <w:szCs w:val="19"/>
                <w:color w:val="auto"/>
              </w:rPr>
            </w:pPr>
          </w:p>
        </w:tc>
      </w:tr>
      <w:tr>
        <w:trPr>
          <w:trHeight w:val="230"/>
        </w:trPr>
        <w:tc>
          <w:tcPr>
            <w:tcW w:w="214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A.A. Karsner</w:t>
            </w:r>
          </w:p>
        </w:tc>
        <w:tc>
          <w:tcPr>
            <w:tcW w:w="1940" w:type="dxa"/>
            <w:vAlign w:val="bottom"/>
            <w:shd w:val="clear" w:color="auto" w:fill="D4DBEB"/>
          </w:tcPr>
          <w:p>
            <w:pPr>
              <w:jc w:val="right"/>
              <w:ind w:right="680"/>
              <w:spacing w:after="0"/>
              <w:rPr>
                <w:sz w:val="20"/>
                <w:szCs w:val="20"/>
                <w:color w:val="auto"/>
              </w:rPr>
            </w:pPr>
            <w:r>
              <w:rPr>
                <w:rFonts w:ascii="Arial" w:cs="Arial" w:eastAsia="Arial" w:hAnsi="Arial"/>
                <w:sz w:val="16"/>
                <w:szCs w:val="16"/>
                <w:color w:val="auto"/>
              </w:rPr>
              <w:t>10,500</w:t>
            </w:r>
          </w:p>
        </w:tc>
        <w:tc>
          <w:tcPr>
            <w:tcW w:w="20" w:type="dxa"/>
            <w:vAlign w:val="bottom"/>
          </w:tcPr>
          <w:p>
            <w:pPr>
              <w:spacing w:after="0"/>
              <w:rPr>
                <w:sz w:val="20"/>
                <w:szCs w:val="20"/>
                <w:color w:val="auto"/>
              </w:rPr>
            </w:pPr>
          </w:p>
        </w:tc>
      </w:tr>
      <w:tr>
        <w:trPr>
          <w:trHeight w:val="230"/>
        </w:trPr>
        <w:tc>
          <w:tcPr>
            <w:tcW w:w="21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J.W. Ubben</w:t>
            </w:r>
          </w:p>
        </w:tc>
        <w:tc>
          <w:tcPr>
            <w:tcW w:w="1940" w:type="dxa"/>
            <w:vAlign w:val="bottom"/>
          </w:tcPr>
          <w:p>
            <w:pPr>
              <w:jc w:val="right"/>
              <w:ind w:right="680"/>
              <w:spacing w:after="0"/>
              <w:rPr>
                <w:sz w:val="20"/>
                <w:szCs w:val="20"/>
                <w:color w:val="auto"/>
              </w:rPr>
            </w:pPr>
            <w:r>
              <w:rPr>
                <w:rFonts w:ascii="Arial" w:cs="Arial" w:eastAsia="Arial" w:hAnsi="Arial"/>
                <w:sz w:val="16"/>
                <w:szCs w:val="16"/>
                <w:color w:val="auto"/>
              </w:rPr>
              <w:t>10,500</w:t>
            </w:r>
          </w:p>
        </w:tc>
        <w:tc>
          <w:tcPr>
            <w:tcW w:w="20" w:type="dxa"/>
            <w:vAlign w:val="bottom"/>
          </w:tcPr>
          <w:p>
            <w:pPr>
              <w:spacing w:after="0"/>
              <w:rPr>
                <w:sz w:val="19"/>
                <w:szCs w:val="19"/>
                <w:color w:val="auto"/>
              </w:rPr>
            </w:pPr>
          </w:p>
        </w:tc>
      </w:tr>
    </w:tbl>
    <w:p>
      <w:pPr>
        <w:spacing w:after="0" w:line="107" w:lineRule="exact"/>
        <w:rPr>
          <w:sz w:val="20"/>
          <w:szCs w:val="20"/>
          <w:color w:val="auto"/>
        </w:rPr>
      </w:pPr>
    </w:p>
    <w:p>
      <w:pPr>
        <w:ind w:left="1140" w:right="240" w:hanging="376"/>
        <w:spacing w:after="0" w:line="286" w:lineRule="auto"/>
        <w:tabs>
          <w:tab w:leader="none" w:pos="11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amount shown for each director is the cost of travel accident insurance covering death, dismemberment, or loss of sight, speech, or hearing under a policy purchased by the Corporation with a maximum benefit of $500,000 per individual.</w:t>
      </w:r>
    </w:p>
    <w:p>
      <w:pPr>
        <w:spacing w:after="0" w:line="61" w:lineRule="exact"/>
        <w:rPr>
          <w:rFonts w:ascii="Arial" w:cs="Arial" w:eastAsia="Arial" w:hAnsi="Arial"/>
          <w:sz w:val="16"/>
          <w:szCs w:val="16"/>
          <w:color w:val="auto"/>
        </w:rPr>
      </w:pPr>
    </w:p>
    <w:p>
      <w:pPr>
        <w:ind w:left="1140" w:hanging="376"/>
        <w:spacing w:after="0"/>
        <w:tabs>
          <w:tab w:leader="none" w:pos="11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Mr. Frazier left the Board on May 25, 2022.</w:t>
      </w:r>
    </w:p>
    <w:p>
      <w:pPr>
        <w:spacing w:after="0" w:line="216" w:lineRule="exact"/>
        <w:rPr>
          <w:sz w:val="20"/>
          <w:szCs w:val="20"/>
          <w:color w:val="auto"/>
        </w:rPr>
      </w:pPr>
    </w:p>
    <w:p>
      <w:pPr>
        <w:ind w:left="760"/>
        <w:spacing w:after="0" w:line="253" w:lineRule="auto"/>
        <w:rPr>
          <w:sz w:val="20"/>
          <w:szCs w:val="20"/>
          <w:color w:val="auto"/>
        </w:rPr>
      </w:pPr>
      <w:r>
        <w:rPr>
          <w:rFonts w:ascii="Arial" w:cs="Arial" w:eastAsia="Arial" w:hAnsi="Arial"/>
          <w:sz w:val="18"/>
          <w:szCs w:val="18"/>
          <w:color w:val="auto"/>
        </w:rPr>
        <w:t>The non-employee directors do not receive any additional payments or benefits as a result of leaving the Board or death except as described above. The non-employee directors are not entitled to any payments or benefits resulting from a change in control of the Corporation.</w:t>
      </w:r>
    </w:p>
    <w:p>
      <w:pPr>
        <w:spacing w:after="0" w:line="81"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38</w:t>
      </w:r>
      <w:r>
        <w:rPr>
          <w:sz w:val="20"/>
          <w:szCs w:val="20"/>
          <w:color w:val="auto"/>
        </w:rPr>
        <w:tab/>
      </w:r>
      <w:r>
        <w:rPr>
          <w:sz w:val="1"/>
          <w:szCs w:val="1"/>
          <w:color w:val="auto"/>
        </w:rPr>
        <w:drawing>
          <wp:inline distT="0" distB="0" distL="0" distR="0">
            <wp:extent cx="737235" cy="145415"/>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2023 Proxy Statement</w:t>
      </w:r>
    </w:p>
    <w:p>
      <w:pPr>
        <w:sectPr>
          <w:pgSz w:w="11900" w:h="16838" w:orient="portrait"/>
          <w:cols w:equalWidth="0" w:num="1">
            <w:col w:w="10300"/>
          </w:cols>
          <w:pgMar w:left="320" w:top="482" w:right="12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2B4C9B"/>
        </w:rPr>
        <w:t>CERTAIN BENEFICIAL OWNERS</w:t>
      </w:r>
    </w:p>
    <w:p>
      <w:pPr>
        <w:spacing w:after="0" w:line="128" w:lineRule="exact"/>
        <w:rPr>
          <w:sz w:val="20"/>
          <w:szCs w:val="20"/>
          <w:color w:val="auto"/>
        </w:rPr>
      </w:pPr>
    </w:p>
    <w:p>
      <w:pPr>
        <w:ind w:left="760" w:right="40"/>
        <w:spacing w:after="0" w:line="271" w:lineRule="auto"/>
        <w:rPr>
          <w:sz w:val="20"/>
          <w:szCs w:val="20"/>
          <w:color w:val="auto"/>
        </w:rPr>
      </w:pPr>
      <w:r>
        <w:rPr>
          <w:rFonts w:ascii="Arial" w:cs="Arial" w:eastAsia="Arial" w:hAnsi="Arial"/>
          <w:sz w:val="18"/>
          <w:szCs w:val="18"/>
          <w:color w:val="auto"/>
        </w:rPr>
        <w:t>Based on our review of ownership reports filed with the SEC, the firms listed below are the only beneficial owners of more than 5 percent of ExxonMobil’s outstanding common stock as of December 31, 2022.</w:t>
      </w:r>
    </w:p>
    <w:p>
      <w:pPr>
        <w:spacing w:after="0" w:line="179" w:lineRule="exact"/>
        <w:rPr>
          <w:sz w:val="20"/>
          <w:szCs w:val="20"/>
          <w:color w:val="auto"/>
        </w:rPr>
      </w:pPr>
    </w:p>
    <w:tbl>
      <w:tblPr>
        <w:tblLayout w:type="fixed"/>
        <w:tblInd w:w="770" w:type="dxa"/>
        <w:tblCellMar>
          <w:top w:w="0" w:type="dxa"/>
          <w:left w:w="0" w:type="dxa"/>
          <w:bottom w:w="0" w:type="dxa"/>
          <w:right w:w="0" w:type="dxa"/>
        </w:tblCellMar>
      </w:tblPr>
      <w:tr>
        <w:trPr>
          <w:trHeight w:val="180"/>
        </w:trPr>
        <w:tc>
          <w:tcPr>
            <w:tcW w:w="322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Name and Address</w:t>
            </w:r>
          </w:p>
        </w:tc>
        <w:tc>
          <w:tcPr>
            <w:tcW w:w="3080" w:type="dxa"/>
            <w:vAlign w:val="bottom"/>
            <w:tcBorders>
              <w:top w:val="single" w:sz="8" w:color="auto"/>
              <w:right w:val="single" w:sz="8" w:color="auto"/>
            </w:tcBorders>
          </w:tcPr>
          <w:p>
            <w:pPr>
              <w:jc w:val="center"/>
              <w:ind w:left="757"/>
              <w:spacing w:after="0"/>
              <w:rPr>
                <w:sz w:val="20"/>
                <w:szCs w:val="20"/>
                <w:color w:val="auto"/>
              </w:rPr>
            </w:pPr>
            <w:r>
              <w:rPr>
                <w:rFonts w:ascii="Arial" w:cs="Arial" w:eastAsia="Arial" w:hAnsi="Arial"/>
                <w:sz w:val="14"/>
                <w:szCs w:val="14"/>
                <w:b w:val="1"/>
                <w:bCs w:val="1"/>
                <w:color w:val="auto"/>
              </w:rPr>
              <w:t>Aggregate Beneficial</w:t>
            </w:r>
          </w:p>
        </w:tc>
        <w:tc>
          <w:tcPr>
            <w:tcW w:w="3040" w:type="dxa"/>
            <w:vAlign w:val="bottom"/>
            <w:tcBorders>
              <w:top w:val="single" w:sz="8" w:color="auto"/>
            </w:tcBorders>
          </w:tcPr>
          <w:p>
            <w:pPr>
              <w:jc w:val="center"/>
              <w:ind w:left="717"/>
              <w:spacing w:after="0"/>
              <w:rPr>
                <w:sz w:val="20"/>
                <w:szCs w:val="20"/>
                <w:color w:val="auto"/>
              </w:rPr>
            </w:pPr>
            <w:r>
              <w:rPr>
                <w:rFonts w:ascii="Arial" w:cs="Arial" w:eastAsia="Arial" w:hAnsi="Arial"/>
                <w:sz w:val="14"/>
                <w:szCs w:val="14"/>
                <w:b w:val="1"/>
                <w:bCs w:val="1"/>
                <w:color w:val="auto"/>
              </w:rPr>
              <w:t>Percent of</w:t>
            </w:r>
          </w:p>
        </w:tc>
        <w:tc>
          <w:tcPr>
            <w:tcW w:w="20" w:type="dxa"/>
            <w:vAlign w:val="bottom"/>
            <w:tcBorders>
              <w:top w:val="single" w:sz="8" w:color="auto"/>
            </w:tcBorders>
            <w:shd w:val="clear" w:color="auto" w:fill="000000"/>
          </w:tcPr>
          <w:p>
            <w:pPr>
              <w:spacing w:after="0"/>
              <w:rPr>
                <w:sz w:val="15"/>
                <w:szCs w:val="15"/>
                <w:color w:val="auto"/>
              </w:rPr>
            </w:pPr>
          </w:p>
        </w:tc>
      </w:tr>
      <w:tr>
        <w:trPr>
          <w:trHeight w:val="185"/>
        </w:trPr>
        <w:tc>
          <w:tcPr>
            <w:tcW w:w="32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of Beneficial Owner</w:t>
            </w:r>
          </w:p>
        </w:tc>
        <w:tc>
          <w:tcPr>
            <w:tcW w:w="3080" w:type="dxa"/>
            <w:vAlign w:val="bottom"/>
            <w:tcBorders>
              <w:bottom w:val="single" w:sz="8" w:color="auto"/>
              <w:right w:val="single" w:sz="8" w:color="auto"/>
            </w:tcBorders>
          </w:tcPr>
          <w:p>
            <w:pPr>
              <w:jc w:val="center"/>
              <w:ind w:left="757"/>
              <w:spacing w:after="0" w:line="185" w:lineRule="exact"/>
              <w:rPr>
                <w:sz w:val="20"/>
                <w:szCs w:val="20"/>
                <w:color w:val="auto"/>
              </w:rPr>
            </w:pPr>
            <w:r>
              <w:rPr>
                <w:rFonts w:ascii="Arial" w:cs="Arial" w:eastAsia="Arial" w:hAnsi="Arial"/>
                <w:sz w:val="14"/>
                <w:szCs w:val="14"/>
                <w:b w:val="1"/>
                <w:bCs w:val="1"/>
                <w:color w:val="auto"/>
                <w:w w:val="99"/>
              </w:rPr>
              <w:t>Ownership in Shares</w:t>
            </w:r>
            <w:r>
              <w:rPr>
                <w:rFonts w:ascii="Arial" w:cs="Arial" w:eastAsia="Arial" w:hAnsi="Arial"/>
                <w:sz w:val="21"/>
                <w:szCs w:val="21"/>
                <w:b w:val="1"/>
                <w:bCs w:val="1"/>
                <w:color w:val="auto"/>
                <w:w w:val="99"/>
                <w:vertAlign w:val="superscript"/>
              </w:rPr>
              <w:t>(1)</w:t>
            </w:r>
          </w:p>
        </w:tc>
        <w:tc>
          <w:tcPr>
            <w:tcW w:w="3040" w:type="dxa"/>
            <w:vAlign w:val="bottom"/>
            <w:tcBorders>
              <w:bottom w:val="single" w:sz="8" w:color="auto"/>
            </w:tcBorders>
          </w:tcPr>
          <w:p>
            <w:pPr>
              <w:jc w:val="center"/>
              <w:ind w:left="737"/>
              <w:spacing w:after="0" w:line="185" w:lineRule="exact"/>
              <w:rPr>
                <w:sz w:val="20"/>
                <w:szCs w:val="20"/>
                <w:color w:val="auto"/>
              </w:rPr>
            </w:pPr>
            <w:r>
              <w:rPr>
                <w:rFonts w:ascii="Arial" w:cs="Arial" w:eastAsia="Arial" w:hAnsi="Arial"/>
                <w:sz w:val="14"/>
                <w:szCs w:val="14"/>
                <w:b w:val="1"/>
                <w:bCs w:val="1"/>
                <w:color w:val="auto"/>
                <w:w w:val="99"/>
              </w:rPr>
              <w:t>Outstanding Shares</w:t>
            </w:r>
            <w:r>
              <w:rPr>
                <w:rFonts w:ascii="Arial" w:cs="Arial" w:eastAsia="Arial" w:hAnsi="Arial"/>
                <w:sz w:val="21"/>
                <w:szCs w:val="21"/>
                <w:b w:val="1"/>
                <w:bCs w:val="1"/>
                <w:color w:val="auto"/>
                <w:w w:val="99"/>
                <w:vertAlign w:val="superscript"/>
              </w:rPr>
              <w:t>(1)</w:t>
            </w:r>
          </w:p>
        </w:tc>
        <w:tc>
          <w:tcPr>
            <w:tcW w:w="20" w:type="dxa"/>
            <w:vAlign w:val="bottom"/>
            <w:tcBorders>
              <w:bottom w:val="single" w:sz="8" w:color="auto"/>
            </w:tcBorders>
            <w:shd w:val="clear" w:color="auto" w:fill="000000"/>
          </w:tcPr>
          <w:p>
            <w:pPr>
              <w:spacing w:after="0"/>
              <w:rPr>
                <w:sz w:val="16"/>
                <w:szCs w:val="16"/>
                <w:color w:val="auto"/>
              </w:rPr>
            </w:pPr>
          </w:p>
        </w:tc>
      </w:tr>
      <w:tr>
        <w:trPr>
          <w:trHeight w:val="182"/>
        </w:trPr>
        <w:tc>
          <w:tcPr>
            <w:tcW w:w="3220" w:type="dxa"/>
            <w:vAlign w:val="bottom"/>
            <w:tcBorders>
              <w:left w:val="single" w:sz="8" w:color="D4DBEB"/>
              <w:right w:val="single" w:sz="8" w:color="auto"/>
            </w:tcBorders>
            <w:shd w:val="clear" w:color="auto" w:fill="D4DBEB"/>
          </w:tcPr>
          <w:p>
            <w:pPr>
              <w:ind w:left="160"/>
              <w:spacing w:after="0" w:line="182" w:lineRule="exact"/>
              <w:rPr>
                <w:sz w:val="20"/>
                <w:szCs w:val="20"/>
                <w:color w:val="auto"/>
              </w:rPr>
            </w:pPr>
            <w:r>
              <w:rPr>
                <w:rFonts w:ascii="Arial" w:cs="Arial" w:eastAsia="Arial" w:hAnsi="Arial"/>
                <w:sz w:val="15"/>
                <w:szCs w:val="15"/>
                <w:color w:val="auto"/>
              </w:rPr>
              <w:t>The Vanguard Group</w:t>
            </w:r>
            <w:r>
              <w:rPr>
                <w:rFonts w:ascii="Arial" w:cs="Arial" w:eastAsia="Arial" w:hAnsi="Arial"/>
                <w:sz w:val="21"/>
                <w:szCs w:val="21"/>
                <w:color w:val="auto"/>
                <w:vertAlign w:val="superscript"/>
              </w:rPr>
              <w:t>(2)</w:t>
            </w:r>
          </w:p>
        </w:tc>
        <w:tc>
          <w:tcPr>
            <w:tcW w:w="3080" w:type="dxa"/>
            <w:vAlign w:val="bottom"/>
            <w:tcBorders>
              <w:right w:val="single" w:sz="8" w:color="auto"/>
            </w:tcBorders>
            <w:shd w:val="clear" w:color="auto" w:fill="D4DBEB"/>
          </w:tcPr>
          <w:p>
            <w:pPr>
              <w:jc w:val="center"/>
              <w:ind w:left="757"/>
              <w:spacing w:after="0" w:line="182" w:lineRule="exact"/>
              <w:rPr>
                <w:sz w:val="20"/>
                <w:szCs w:val="20"/>
                <w:color w:val="auto"/>
              </w:rPr>
            </w:pPr>
            <w:r>
              <w:rPr>
                <w:rFonts w:ascii="Arial" w:cs="Arial" w:eastAsia="Arial" w:hAnsi="Arial"/>
                <w:sz w:val="18"/>
                <w:szCs w:val="18"/>
                <w:color w:val="auto"/>
                <w:w w:val="99"/>
              </w:rPr>
              <w:t>368,671,214</w:t>
            </w:r>
          </w:p>
        </w:tc>
        <w:tc>
          <w:tcPr>
            <w:tcW w:w="3040" w:type="dxa"/>
            <w:vAlign w:val="bottom"/>
            <w:shd w:val="clear" w:color="auto" w:fill="D4DBEB"/>
          </w:tcPr>
          <w:p>
            <w:pPr>
              <w:jc w:val="center"/>
              <w:ind w:left="757"/>
              <w:spacing w:after="0" w:line="182" w:lineRule="exact"/>
              <w:rPr>
                <w:sz w:val="20"/>
                <w:szCs w:val="20"/>
                <w:color w:val="auto"/>
              </w:rPr>
            </w:pPr>
            <w:r>
              <w:rPr>
                <w:rFonts w:ascii="Arial" w:cs="Arial" w:eastAsia="Arial" w:hAnsi="Arial"/>
                <w:sz w:val="18"/>
                <w:szCs w:val="18"/>
                <w:color w:val="auto"/>
                <w:w w:val="97"/>
              </w:rPr>
              <w:t>9.0%</w:t>
            </w:r>
          </w:p>
        </w:tc>
        <w:tc>
          <w:tcPr>
            <w:tcW w:w="20" w:type="dxa"/>
            <w:vAlign w:val="bottom"/>
          </w:tcPr>
          <w:p>
            <w:pPr>
              <w:spacing w:after="0"/>
              <w:rPr>
                <w:sz w:val="15"/>
                <w:szCs w:val="15"/>
                <w:color w:val="auto"/>
              </w:rPr>
            </w:pPr>
          </w:p>
        </w:tc>
      </w:tr>
      <w:tr>
        <w:trPr>
          <w:trHeight w:val="189"/>
        </w:trPr>
        <w:tc>
          <w:tcPr>
            <w:tcW w:w="322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100 Vanguard Blvd.</w:t>
            </w:r>
          </w:p>
        </w:tc>
        <w:tc>
          <w:tcPr>
            <w:tcW w:w="3080" w:type="dxa"/>
            <w:vAlign w:val="bottom"/>
            <w:tcBorders>
              <w:right w:val="single" w:sz="8" w:color="auto"/>
            </w:tcBorders>
            <w:shd w:val="clear" w:color="auto" w:fill="D4DBEB"/>
          </w:tcPr>
          <w:p>
            <w:pPr>
              <w:spacing w:after="0"/>
              <w:rPr>
                <w:sz w:val="16"/>
                <w:szCs w:val="16"/>
                <w:color w:val="auto"/>
              </w:rPr>
            </w:pPr>
          </w:p>
        </w:tc>
        <w:tc>
          <w:tcPr>
            <w:tcW w:w="3040" w:type="dxa"/>
            <w:vAlign w:val="bottom"/>
            <w:shd w:val="clear" w:color="auto" w:fill="D4DBEB"/>
          </w:tcPr>
          <w:p>
            <w:pPr>
              <w:spacing w:after="0"/>
              <w:rPr>
                <w:sz w:val="16"/>
                <w:szCs w:val="16"/>
                <w:color w:val="auto"/>
              </w:rPr>
            </w:pPr>
          </w:p>
        </w:tc>
        <w:tc>
          <w:tcPr>
            <w:tcW w:w="20" w:type="dxa"/>
            <w:vAlign w:val="bottom"/>
          </w:tcPr>
          <w:p>
            <w:pPr>
              <w:spacing w:after="0"/>
              <w:rPr>
                <w:sz w:val="16"/>
                <w:szCs w:val="16"/>
                <w:color w:val="auto"/>
              </w:rPr>
            </w:pPr>
          </w:p>
        </w:tc>
      </w:tr>
      <w:tr>
        <w:trPr>
          <w:trHeight w:val="217"/>
        </w:trPr>
        <w:tc>
          <w:tcPr>
            <w:tcW w:w="322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Malvern, PA 19355</w:t>
            </w:r>
          </w:p>
        </w:tc>
        <w:tc>
          <w:tcPr>
            <w:tcW w:w="3080" w:type="dxa"/>
            <w:vAlign w:val="bottom"/>
            <w:tcBorders>
              <w:right w:val="single" w:sz="8" w:color="auto"/>
            </w:tcBorders>
            <w:shd w:val="clear" w:color="auto" w:fill="D4DBEB"/>
          </w:tcPr>
          <w:p>
            <w:pPr>
              <w:spacing w:after="0"/>
              <w:rPr>
                <w:sz w:val="18"/>
                <w:szCs w:val="18"/>
                <w:color w:val="auto"/>
              </w:rPr>
            </w:pPr>
          </w:p>
        </w:tc>
        <w:tc>
          <w:tcPr>
            <w:tcW w:w="3040" w:type="dxa"/>
            <w:vAlign w:val="bottom"/>
            <w:shd w:val="clear" w:color="auto" w:fill="D4DBEB"/>
          </w:tcPr>
          <w:p>
            <w:pPr>
              <w:spacing w:after="0"/>
              <w:rPr>
                <w:sz w:val="18"/>
                <w:szCs w:val="18"/>
                <w:color w:val="auto"/>
              </w:rPr>
            </w:pPr>
          </w:p>
        </w:tc>
        <w:tc>
          <w:tcPr>
            <w:tcW w:w="20" w:type="dxa"/>
            <w:vAlign w:val="bottom"/>
          </w:tcPr>
          <w:p>
            <w:pPr>
              <w:spacing w:after="0"/>
              <w:rPr>
                <w:sz w:val="18"/>
                <w:szCs w:val="18"/>
                <w:color w:val="auto"/>
              </w:rPr>
            </w:pPr>
          </w:p>
        </w:tc>
      </w:tr>
      <w:tr>
        <w:trPr>
          <w:trHeight w:val="188"/>
        </w:trPr>
        <w:tc>
          <w:tcPr>
            <w:tcW w:w="3220" w:type="dxa"/>
            <w:vAlign w:val="bottom"/>
            <w:tcBorders>
              <w:right w:val="single" w:sz="8" w:color="auto"/>
            </w:tcBorders>
          </w:tcPr>
          <w:p>
            <w:pPr>
              <w:ind w:left="160"/>
              <w:spacing w:after="0" w:line="189" w:lineRule="exact"/>
              <w:rPr>
                <w:sz w:val="20"/>
                <w:szCs w:val="20"/>
                <w:color w:val="auto"/>
              </w:rPr>
            </w:pPr>
            <w:r>
              <w:rPr>
                <w:rFonts w:ascii="Arial" w:cs="Arial" w:eastAsia="Arial" w:hAnsi="Arial"/>
                <w:sz w:val="15"/>
                <w:szCs w:val="15"/>
                <w:color w:val="auto"/>
              </w:rPr>
              <w:t>BlackRock, Inc.</w:t>
            </w:r>
            <w:r>
              <w:rPr>
                <w:rFonts w:ascii="Arial" w:cs="Arial" w:eastAsia="Arial" w:hAnsi="Arial"/>
                <w:sz w:val="21"/>
                <w:szCs w:val="21"/>
                <w:color w:val="auto"/>
                <w:vertAlign w:val="superscript"/>
              </w:rPr>
              <w:t>(3)</w:t>
            </w:r>
          </w:p>
        </w:tc>
        <w:tc>
          <w:tcPr>
            <w:tcW w:w="3080" w:type="dxa"/>
            <w:vAlign w:val="bottom"/>
            <w:tcBorders>
              <w:right w:val="single" w:sz="8" w:color="auto"/>
            </w:tcBorders>
          </w:tcPr>
          <w:p>
            <w:pPr>
              <w:jc w:val="center"/>
              <w:ind w:left="757"/>
              <w:spacing w:after="0" w:line="189" w:lineRule="exact"/>
              <w:rPr>
                <w:sz w:val="20"/>
                <w:szCs w:val="20"/>
                <w:color w:val="auto"/>
              </w:rPr>
            </w:pPr>
            <w:r>
              <w:rPr>
                <w:rFonts w:ascii="Arial" w:cs="Arial" w:eastAsia="Arial" w:hAnsi="Arial"/>
                <w:sz w:val="18"/>
                <w:szCs w:val="18"/>
                <w:color w:val="auto"/>
                <w:w w:val="99"/>
              </w:rPr>
              <w:t>292,132,859</w:t>
            </w:r>
          </w:p>
        </w:tc>
        <w:tc>
          <w:tcPr>
            <w:tcW w:w="3040" w:type="dxa"/>
            <w:vAlign w:val="bottom"/>
          </w:tcPr>
          <w:p>
            <w:pPr>
              <w:jc w:val="center"/>
              <w:ind w:left="757"/>
              <w:spacing w:after="0" w:line="189" w:lineRule="exact"/>
              <w:rPr>
                <w:sz w:val="20"/>
                <w:szCs w:val="20"/>
                <w:color w:val="auto"/>
              </w:rPr>
            </w:pPr>
            <w:r>
              <w:rPr>
                <w:rFonts w:ascii="Arial" w:cs="Arial" w:eastAsia="Arial" w:hAnsi="Arial"/>
                <w:sz w:val="18"/>
                <w:szCs w:val="18"/>
                <w:color w:val="auto"/>
                <w:w w:val="97"/>
              </w:rPr>
              <w:t>7.1%</w:t>
            </w:r>
          </w:p>
        </w:tc>
        <w:tc>
          <w:tcPr>
            <w:tcW w:w="20" w:type="dxa"/>
            <w:vAlign w:val="bottom"/>
          </w:tcPr>
          <w:p>
            <w:pPr>
              <w:spacing w:after="0"/>
              <w:rPr>
                <w:sz w:val="16"/>
                <w:szCs w:val="16"/>
                <w:color w:val="auto"/>
              </w:rPr>
            </w:pPr>
          </w:p>
        </w:tc>
      </w:tr>
      <w:tr>
        <w:trPr>
          <w:trHeight w:val="189"/>
        </w:trPr>
        <w:tc>
          <w:tcPr>
            <w:tcW w:w="322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55 East 52nd Street</w:t>
            </w:r>
          </w:p>
        </w:tc>
        <w:tc>
          <w:tcPr>
            <w:tcW w:w="3080" w:type="dxa"/>
            <w:vAlign w:val="bottom"/>
            <w:tcBorders>
              <w:right w:val="single" w:sz="8" w:color="auto"/>
            </w:tcBorders>
          </w:tcPr>
          <w:p>
            <w:pPr>
              <w:spacing w:after="0"/>
              <w:rPr>
                <w:sz w:val="16"/>
                <w:szCs w:val="16"/>
                <w:color w:val="auto"/>
              </w:rPr>
            </w:pPr>
          </w:p>
        </w:tc>
        <w:tc>
          <w:tcPr>
            <w:tcW w:w="30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322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New York, NY 10055</w:t>
            </w:r>
          </w:p>
        </w:tc>
        <w:tc>
          <w:tcPr>
            <w:tcW w:w="3080" w:type="dxa"/>
            <w:vAlign w:val="bottom"/>
            <w:tcBorders>
              <w:right w:val="single" w:sz="8" w:color="auto"/>
            </w:tcBorders>
          </w:tcPr>
          <w:p>
            <w:pPr>
              <w:spacing w:after="0"/>
              <w:rPr>
                <w:sz w:val="18"/>
                <w:szCs w:val="18"/>
                <w:color w:val="auto"/>
              </w:rPr>
            </w:pPr>
          </w:p>
        </w:tc>
        <w:tc>
          <w:tcPr>
            <w:tcW w:w="3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3220" w:type="dxa"/>
            <w:vAlign w:val="bottom"/>
            <w:tcBorders>
              <w:left w:val="single" w:sz="8" w:color="D4DBEB"/>
              <w:right w:val="single" w:sz="8" w:color="auto"/>
            </w:tcBorders>
            <w:shd w:val="clear" w:color="auto" w:fill="D4DBEB"/>
          </w:tcPr>
          <w:p>
            <w:pPr>
              <w:ind w:left="160"/>
              <w:spacing w:after="0" w:line="190" w:lineRule="exact"/>
              <w:rPr>
                <w:sz w:val="20"/>
                <w:szCs w:val="20"/>
                <w:color w:val="auto"/>
              </w:rPr>
            </w:pPr>
            <w:r>
              <w:rPr>
                <w:rFonts w:ascii="Arial" w:cs="Arial" w:eastAsia="Arial" w:hAnsi="Arial"/>
                <w:sz w:val="15"/>
                <w:szCs w:val="15"/>
                <w:color w:val="auto"/>
              </w:rPr>
              <w:t>State Street Corporation</w:t>
            </w:r>
            <w:r>
              <w:rPr>
                <w:rFonts w:ascii="Arial" w:cs="Arial" w:eastAsia="Arial" w:hAnsi="Arial"/>
                <w:sz w:val="21"/>
                <w:szCs w:val="21"/>
                <w:color w:val="auto"/>
                <w:vertAlign w:val="superscript"/>
              </w:rPr>
              <w:t>(4)</w:t>
            </w:r>
          </w:p>
        </w:tc>
        <w:tc>
          <w:tcPr>
            <w:tcW w:w="3080" w:type="dxa"/>
            <w:vAlign w:val="bottom"/>
            <w:tcBorders>
              <w:right w:val="single" w:sz="8" w:color="auto"/>
            </w:tcBorders>
            <w:shd w:val="clear" w:color="auto" w:fill="D4DBEB"/>
          </w:tcPr>
          <w:p>
            <w:pPr>
              <w:jc w:val="center"/>
              <w:ind w:left="757"/>
              <w:spacing w:after="0" w:line="189" w:lineRule="exact"/>
              <w:rPr>
                <w:sz w:val="20"/>
                <w:szCs w:val="20"/>
                <w:color w:val="auto"/>
              </w:rPr>
            </w:pPr>
            <w:r>
              <w:rPr>
                <w:rFonts w:ascii="Arial" w:cs="Arial" w:eastAsia="Arial" w:hAnsi="Arial"/>
                <w:sz w:val="18"/>
                <w:szCs w:val="18"/>
                <w:color w:val="auto"/>
                <w:w w:val="99"/>
              </w:rPr>
              <w:t>223,630,483</w:t>
            </w:r>
          </w:p>
        </w:tc>
        <w:tc>
          <w:tcPr>
            <w:tcW w:w="3040" w:type="dxa"/>
            <w:vAlign w:val="bottom"/>
            <w:shd w:val="clear" w:color="auto" w:fill="D4DBEB"/>
          </w:tcPr>
          <w:p>
            <w:pPr>
              <w:jc w:val="center"/>
              <w:ind w:left="757"/>
              <w:spacing w:after="0" w:line="189" w:lineRule="exact"/>
              <w:rPr>
                <w:sz w:val="20"/>
                <w:szCs w:val="20"/>
                <w:color w:val="auto"/>
              </w:rPr>
            </w:pPr>
            <w:r>
              <w:rPr>
                <w:rFonts w:ascii="Arial" w:cs="Arial" w:eastAsia="Arial" w:hAnsi="Arial"/>
                <w:sz w:val="18"/>
                <w:szCs w:val="18"/>
                <w:color w:val="auto"/>
                <w:w w:val="97"/>
              </w:rPr>
              <w:t>5.4%</w:t>
            </w:r>
          </w:p>
        </w:tc>
        <w:tc>
          <w:tcPr>
            <w:tcW w:w="20" w:type="dxa"/>
            <w:vAlign w:val="bottom"/>
          </w:tcPr>
          <w:p>
            <w:pPr>
              <w:spacing w:after="0"/>
              <w:rPr>
                <w:sz w:val="16"/>
                <w:szCs w:val="16"/>
                <w:color w:val="auto"/>
              </w:rPr>
            </w:pPr>
          </w:p>
        </w:tc>
      </w:tr>
      <w:tr>
        <w:trPr>
          <w:trHeight w:val="189"/>
        </w:trPr>
        <w:tc>
          <w:tcPr>
            <w:tcW w:w="322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One Lincoln Street</w:t>
            </w:r>
          </w:p>
        </w:tc>
        <w:tc>
          <w:tcPr>
            <w:tcW w:w="3080" w:type="dxa"/>
            <w:vAlign w:val="bottom"/>
            <w:tcBorders>
              <w:right w:val="single" w:sz="8" w:color="auto"/>
            </w:tcBorders>
            <w:shd w:val="clear" w:color="auto" w:fill="D4DBEB"/>
          </w:tcPr>
          <w:p>
            <w:pPr>
              <w:spacing w:after="0"/>
              <w:rPr>
                <w:sz w:val="16"/>
                <w:szCs w:val="16"/>
                <w:color w:val="auto"/>
              </w:rPr>
            </w:pPr>
          </w:p>
        </w:tc>
        <w:tc>
          <w:tcPr>
            <w:tcW w:w="3040" w:type="dxa"/>
            <w:vAlign w:val="bottom"/>
            <w:shd w:val="clear" w:color="auto" w:fill="D4DBEB"/>
          </w:tcPr>
          <w:p>
            <w:pPr>
              <w:spacing w:after="0"/>
              <w:rPr>
                <w:sz w:val="16"/>
                <w:szCs w:val="16"/>
                <w:color w:val="auto"/>
              </w:rPr>
            </w:pPr>
          </w:p>
        </w:tc>
        <w:tc>
          <w:tcPr>
            <w:tcW w:w="20" w:type="dxa"/>
            <w:vAlign w:val="bottom"/>
          </w:tcPr>
          <w:p>
            <w:pPr>
              <w:spacing w:after="0"/>
              <w:rPr>
                <w:sz w:val="16"/>
                <w:szCs w:val="16"/>
                <w:color w:val="auto"/>
              </w:rPr>
            </w:pPr>
          </w:p>
        </w:tc>
      </w:tr>
      <w:tr>
        <w:trPr>
          <w:trHeight w:val="217"/>
        </w:trPr>
        <w:tc>
          <w:tcPr>
            <w:tcW w:w="322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Boston, MA 02111</w:t>
            </w:r>
          </w:p>
        </w:tc>
        <w:tc>
          <w:tcPr>
            <w:tcW w:w="3080" w:type="dxa"/>
            <w:vAlign w:val="bottom"/>
            <w:tcBorders>
              <w:right w:val="single" w:sz="8" w:color="auto"/>
            </w:tcBorders>
            <w:shd w:val="clear" w:color="auto" w:fill="D4DBEB"/>
          </w:tcPr>
          <w:p>
            <w:pPr>
              <w:spacing w:after="0"/>
              <w:rPr>
                <w:sz w:val="18"/>
                <w:szCs w:val="18"/>
                <w:color w:val="auto"/>
              </w:rPr>
            </w:pPr>
          </w:p>
        </w:tc>
        <w:tc>
          <w:tcPr>
            <w:tcW w:w="3040" w:type="dxa"/>
            <w:vAlign w:val="bottom"/>
            <w:shd w:val="clear" w:color="auto" w:fill="D4DBEB"/>
          </w:tcPr>
          <w:p>
            <w:pPr>
              <w:spacing w:after="0"/>
              <w:rPr>
                <w:sz w:val="18"/>
                <w:szCs w:val="18"/>
                <w:color w:val="auto"/>
              </w:rPr>
            </w:pPr>
          </w:p>
        </w:tc>
        <w:tc>
          <w:tcPr>
            <w:tcW w:w="20" w:type="dxa"/>
            <w:vAlign w:val="bottom"/>
          </w:tcPr>
          <w:p>
            <w:pPr>
              <w:spacing w:after="0"/>
              <w:rPr>
                <w:sz w:val="18"/>
                <w:szCs w:val="18"/>
                <w:color w:val="auto"/>
              </w:rPr>
            </w:pPr>
          </w:p>
        </w:tc>
      </w:tr>
    </w:tbl>
    <w:p>
      <w:pPr>
        <w:spacing w:after="0" w:line="107" w:lineRule="exact"/>
        <w:rPr>
          <w:sz w:val="20"/>
          <w:szCs w:val="20"/>
          <w:color w:val="auto"/>
        </w:rPr>
      </w:pPr>
    </w:p>
    <w:p>
      <w:pPr>
        <w:ind w:left="1140" w:right="160" w:hanging="376"/>
        <w:spacing w:after="0" w:line="256" w:lineRule="auto"/>
        <w:tabs>
          <w:tab w:leader="none" w:pos="11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Company is permitted to rely on the information set forth in these filings and has no reason to believe that the information is incomplete or inaccurate or that the beneficial owner should have filed an amended report and did not.</w:t>
      </w:r>
    </w:p>
    <w:p>
      <w:pPr>
        <w:spacing w:after="0" w:line="1" w:lineRule="exact"/>
        <w:rPr>
          <w:rFonts w:ascii="Arial" w:cs="Arial" w:eastAsia="Arial" w:hAnsi="Arial"/>
          <w:sz w:val="16"/>
          <w:szCs w:val="16"/>
          <w:color w:val="auto"/>
        </w:rPr>
      </w:pPr>
    </w:p>
    <w:p>
      <w:pPr>
        <w:ind w:left="1140" w:hanging="376"/>
        <w:spacing w:after="0" w:line="246" w:lineRule="auto"/>
        <w:tabs>
          <w:tab w:leader="none" w:pos="11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solely on a Schedule 13G/A filed with the Securities and Exchange Commission on February 9, 2023, The Vanguard Group reported it had shared voting power with respect to 5,540,016 shares, sole dispositive power with respect to 351,790,054 shares, and shared dispositive power with respect to 16,881,160 shares as of December 31, 2022.</w:t>
      </w:r>
    </w:p>
    <w:p>
      <w:pPr>
        <w:spacing w:after="0" w:line="1" w:lineRule="exact"/>
        <w:rPr>
          <w:rFonts w:ascii="Arial" w:cs="Arial" w:eastAsia="Arial" w:hAnsi="Arial"/>
          <w:sz w:val="16"/>
          <w:szCs w:val="16"/>
          <w:color w:val="auto"/>
        </w:rPr>
      </w:pPr>
    </w:p>
    <w:p>
      <w:pPr>
        <w:ind w:left="1140" w:right="60" w:hanging="376"/>
        <w:spacing w:after="0" w:line="246" w:lineRule="auto"/>
        <w:tabs>
          <w:tab w:leader="none" w:pos="11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solely on a Schedule 13G/A filed with the Securities and Exchange Commission on January 31, 2023, BlackRock, Inc. reported that it had sole voting power with respect to 271,623,684 shares, and sole dispositive power with respect to 292,132,859 shares as of December 31, 2022.</w:t>
      </w:r>
    </w:p>
    <w:p>
      <w:pPr>
        <w:spacing w:after="0" w:line="1" w:lineRule="exact"/>
        <w:rPr>
          <w:rFonts w:ascii="Arial" w:cs="Arial" w:eastAsia="Arial" w:hAnsi="Arial"/>
          <w:sz w:val="16"/>
          <w:szCs w:val="16"/>
          <w:color w:val="auto"/>
        </w:rPr>
      </w:pPr>
    </w:p>
    <w:p>
      <w:pPr>
        <w:ind w:left="1140" w:right="480" w:hanging="376"/>
        <w:spacing w:after="0" w:line="256" w:lineRule="auto"/>
        <w:tabs>
          <w:tab w:leader="none" w:pos="11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solely on a Schedule 13G/A filed with the Securities and Exchange Commission on February 6, 2023, State Street Corporation reported that it had shared voting power with respect to 212,600,158 shares, and shared dispositive power with respect to 223,237,162 shares as of December 31, 2022.</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2B4C9B"/>
        </w:rPr>
        <w:t>DIRECTOR AND EXECUTIVE OFFICER STOCK OWNERSHIP</w:t>
      </w:r>
    </w:p>
    <w:p>
      <w:pPr>
        <w:spacing w:after="0" w:line="128" w:lineRule="exact"/>
        <w:rPr>
          <w:sz w:val="20"/>
          <w:szCs w:val="20"/>
          <w:color w:val="auto"/>
        </w:rPr>
      </w:pPr>
    </w:p>
    <w:p>
      <w:pPr>
        <w:ind w:left="760" w:right="280"/>
        <w:spacing w:after="0" w:line="247" w:lineRule="auto"/>
        <w:rPr>
          <w:sz w:val="20"/>
          <w:szCs w:val="20"/>
          <w:color w:val="auto"/>
        </w:rPr>
      </w:pPr>
      <w:r>
        <w:rPr>
          <w:rFonts w:ascii="Arial" w:cs="Arial" w:eastAsia="Arial" w:hAnsi="Arial"/>
          <w:sz w:val="18"/>
          <w:szCs w:val="18"/>
          <w:color w:val="auto"/>
        </w:rPr>
        <w:t>These tables show the number of ExxonMobil common shares each executive named in the Summary Compensation Table on page 68 and each non-employee director or director nominee owned on February 28, 2023. In these tables, ownership means the right to direct the voting or the sale of shares, even if those rights are shared with someone else. None of these individuals owns more than 0.03 percent of the outstanding shares.</w:t>
      </w:r>
    </w:p>
    <w:p>
      <w:pPr>
        <w:spacing w:after="0" w:line="200" w:lineRule="exact"/>
        <w:rPr>
          <w:sz w:val="20"/>
          <w:szCs w:val="20"/>
          <w:color w:val="auto"/>
        </w:rPr>
      </w:pPr>
    </w:p>
    <w:tbl>
      <w:tblPr>
        <w:tblLayout w:type="fixed"/>
        <w:tblInd w:w="770" w:type="dxa"/>
        <w:tblCellMar>
          <w:top w:w="0" w:type="dxa"/>
          <w:left w:w="0" w:type="dxa"/>
          <w:bottom w:w="0" w:type="dxa"/>
          <w:right w:w="0" w:type="dxa"/>
        </w:tblCellMar>
      </w:tblPr>
      <w:tr>
        <w:trPr>
          <w:trHeight w:val="180"/>
        </w:trPr>
        <w:tc>
          <w:tcPr>
            <w:tcW w:w="2740" w:type="dxa"/>
            <w:vAlign w:val="bottom"/>
            <w:tcBorders>
              <w:top w:val="single" w:sz="8" w:color="auto"/>
              <w:left w:val="single" w:sz="8" w:color="auto"/>
              <w:right w:val="single" w:sz="8" w:color="auto"/>
            </w:tcBorders>
          </w:tcPr>
          <w:p>
            <w:pPr>
              <w:spacing w:after="0"/>
              <w:rPr>
                <w:sz w:val="15"/>
                <w:szCs w:val="15"/>
                <w:color w:val="auto"/>
              </w:rPr>
            </w:pPr>
          </w:p>
        </w:tc>
        <w:tc>
          <w:tcPr>
            <w:tcW w:w="2580" w:type="dxa"/>
            <w:vAlign w:val="bottom"/>
            <w:tcBorders>
              <w:top w:val="single" w:sz="8" w:color="auto"/>
              <w:right w:val="single" w:sz="8" w:color="auto"/>
            </w:tcBorders>
          </w:tcPr>
          <w:p>
            <w:pPr>
              <w:spacing w:after="0"/>
              <w:rPr>
                <w:sz w:val="15"/>
                <w:szCs w:val="15"/>
                <w:color w:val="auto"/>
              </w:rPr>
            </w:pPr>
          </w:p>
        </w:tc>
        <w:tc>
          <w:tcPr>
            <w:tcW w:w="2460" w:type="dxa"/>
            <w:vAlign w:val="bottom"/>
            <w:tcBorders>
              <w:top w:val="single" w:sz="8" w:color="auto"/>
            </w:tcBorders>
          </w:tcPr>
          <w:p>
            <w:pPr>
              <w:jc w:val="center"/>
              <w:ind w:left="282"/>
              <w:spacing w:after="0"/>
              <w:rPr>
                <w:sz w:val="20"/>
                <w:szCs w:val="20"/>
                <w:color w:val="auto"/>
              </w:rPr>
            </w:pPr>
            <w:r>
              <w:rPr>
                <w:rFonts w:ascii="Arial" w:cs="Arial" w:eastAsia="Arial" w:hAnsi="Arial"/>
                <w:sz w:val="14"/>
                <w:szCs w:val="14"/>
                <w:b w:val="1"/>
                <w:bCs w:val="1"/>
                <w:color w:val="auto"/>
              </w:rPr>
              <w:t>Shares Covered by</w:t>
            </w:r>
          </w:p>
        </w:tc>
        <w:tc>
          <w:tcPr>
            <w:tcW w:w="20" w:type="dxa"/>
            <w:vAlign w:val="bottom"/>
            <w:tcBorders>
              <w:top w:val="single" w:sz="8" w:color="auto"/>
            </w:tcBorders>
            <w:shd w:val="clear" w:color="auto" w:fill="000000"/>
          </w:tcPr>
          <w:p>
            <w:pPr>
              <w:spacing w:after="0"/>
              <w:rPr>
                <w:sz w:val="15"/>
                <w:szCs w:val="15"/>
                <w:color w:val="auto"/>
              </w:rPr>
            </w:pPr>
          </w:p>
        </w:tc>
      </w:tr>
      <w:tr>
        <w:trPr>
          <w:trHeight w:val="185"/>
        </w:trPr>
        <w:tc>
          <w:tcPr>
            <w:tcW w:w="27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Named Executive Officer</w:t>
            </w:r>
          </w:p>
        </w:tc>
        <w:tc>
          <w:tcPr>
            <w:tcW w:w="2580" w:type="dxa"/>
            <w:vAlign w:val="bottom"/>
            <w:tcBorders>
              <w:bottom w:val="single" w:sz="8" w:color="auto"/>
              <w:right w:val="single" w:sz="8" w:color="auto"/>
            </w:tcBorders>
          </w:tcPr>
          <w:p>
            <w:pPr>
              <w:jc w:val="right"/>
              <w:ind w:right="661"/>
              <w:spacing w:after="0" w:line="185" w:lineRule="exact"/>
              <w:rPr>
                <w:sz w:val="20"/>
                <w:szCs w:val="20"/>
                <w:color w:val="auto"/>
              </w:rPr>
            </w:pPr>
            <w:r>
              <w:rPr>
                <w:rFonts w:ascii="Arial" w:cs="Arial" w:eastAsia="Arial" w:hAnsi="Arial"/>
                <w:sz w:val="14"/>
                <w:szCs w:val="14"/>
                <w:b w:val="1"/>
                <w:bCs w:val="1"/>
                <w:color w:val="auto"/>
              </w:rPr>
              <w:t>Shares Owned</w:t>
            </w:r>
            <w:r>
              <w:rPr>
                <w:rFonts w:ascii="Arial" w:cs="Arial" w:eastAsia="Arial" w:hAnsi="Arial"/>
                <w:sz w:val="21"/>
                <w:szCs w:val="21"/>
                <w:b w:val="1"/>
                <w:bCs w:val="1"/>
                <w:color w:val="auto"/>
                <w:vertAlign w:val="superscript"/>
              </w:rPr>
              <w:t>(1)</w:t>
            </w:r>
          </w:p>
        </w:tc>
        <w:tc>
          <w:tcPr>
            <w:tcW w:w="2460" w:type="dxa"/>
            <w:vAlign w:val="bottom"/>
            <w:tcBorders>
              <w:bottom w:val="single" w:sz="8" w:color="auto"/>
            </w:tcBorders>
          </w:tcPr>
          <w:p>
            <w:pPr>
              <w:jc w:val="center"/>
              <w:ind w:left="282"/>
              <w:spacing w:after="0"/>
              <w:rPr>
                <w:sz w:val="20"/>
                <w:szCs w:val="20"/>
                <w:color w:val="auto"/>
              </w:rPr>
            </w:pPr>
            <w:r>
              <w:rPr>
                <w:rFonts w:ascii="Arial" w:cs="Arial" w:eastAsia="Arial" w:hAnsi="Arial"/>
                <w:sz w:val="14"/>
                <w:szCs w:val="14"/>
                <w:b w:val="1"/>
                <w:bCs w:val="1"/>
                <w:color w:val="auto"/>
              </w:rPr>
              <w:t>Exercisable Options</w:t>
            </w:r>
          </w:p>
        </w:tc>
        <w:tc>
          <w:tcPr>
            <w:tcW w:w="20" w:type="dxa"/>
            <w:vAlign w:val="bottom"/>
            <w:tcBorders>
              <w:bottom w:val="single" w:sz="8" w:color="auto"/>
            </w:tcBorders>
            <w:shd w:val="clear" w:color="auto" w:fill="000000"/>
          </w:tcPr>
          <w:p>
            <w:pPr>
              <w:spacing w:after="0"/>
              <w:rPr>
                <w:sz w:val="16"/>
                <w:szCs w:val="16"/>
                <w:color w:val="auto"/>
              </w:rPr>
            </w:pPr>
          </w:p>
        </w:tc>
      </w:tr>
      <w:tr>
        <w:trPr>
          <w:trHeight w:val="223"/>
        </w:trPr>
        <w:tc>
          <w:tcPr>
            <w:tcW w:w="274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D.W. Woods</w:t>
            </w:r>
          </w:p>
        </w:tc>
        <w:tc>
          <w:tcPr>
            <w:tcW w:w="2580" w:type="dxa"/>
            <w:vAlign w:val="bottom"/>
            <w:tcBorders>
              <w:right w:val="single" w:sz="8" w:color="auto"/>
            </w:tcBorders>
            <w:shd w:val="clear" w:color="auto" w:fill="D4DBEB"/>
          </w:tcPr>
          <w:p>
            <w:pPr>
              <w:jc w:val="right"/>
              <w:ind w:right="601"/>
              <w:spacing w:after="0" w:line="222" w:lineRule="exact"/>
              <w:rPr>
                <w:sz w:val="20"/>
                <w:szCs w:val="20"/>
                <w:color w:val="auto"/>
              </w:rPr>
            </w:pPr>
            <w:r>
              <w:rPr>
                <w:rFonts w:ascii="Arial" w:cs="Arial" w:eastAsia="Arial" w:hAnsi="Arial"/>
                <w:sz w:val="16"/>
                <w:szCs w:val="16"/>
                <w:color w:val="auto"/>
              </w:rPr>
              <w:t>210,173</w:t>
            </w:r>
            <w:r>
              <w:rPr>
                <w:rFonts w:ascii="Arial" w:cs="Arial" w:eastAsia="Arial" w:hAnsi="Arial"/>
                <w:sz w:val="24"/>
                <w:szCs w:val="24"/>
                <w:color w:val="auto"/>
                <w:vertAlign w:val="superscript"/>
              </w:rPr>
              <w:t>(2)</w:t>
            </w:r>
          </w:p>
        </w:tc>
        <w:tc>
          <w:tcPr>
            <w:tcW w:w="2460" w:type="dxa"/>
            <w:vAlign w:val="bottom"/>
            <w:shd w:val="clear" w:color="auto" w:fill="D4DBEB"/>
          </w:tcPr>
          <w:p>
            <w:pPr>
              <w:jc w:val="center"/>
              <w:ind w:left="322"/>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9"/>
                <w:szCs w:val="19"/>
                <w:color w:val="auto"/>
              </w:rPr>
            </w:pPr>
          </w:p>
        </w:tc>
      </w:tr>
      <w:tr>
        <w:trPr>
          <w:trHeight w:val="230"/>
        </w:trPr>
        <w:tc>
          <w:tcPr>
            <w:tcW w:w="27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K.A. Mikells</w:t>
            </w:r>
          </w:p>
        </w:tc>
        <w:tc>
          <w:tcPr>
            <w:tcW w:w="2580" w:type="dxa"/>
            <w:vAlign w:val="bottom"/>
            <w:tcBorders>
              <w:right w:val="single" w:sz="8" w:color="auto"/>
            </w:tcBorders>
          </w:tcPr>
          <w:p>
            <w:pPr>
              <w:jc w:val="right"/>
              <w:ind w:right="601"/>
              <w:spacing w:after="0" w:line="229" w:lineRule="exact"/>
              <w:rPr>
                <w:sz w:val="20"/>
                <w:szCs w:val="20"/>
                <w:color w:val="auto"/>
              </w:rPr>
            </w:pPr>
            <w:r>
              <w:rPr>
                <w:rFonts w:ascii="Arial" w:cs="Arial" w:eastAsia="Arial" w:hAnsi="Arial"/>
                <w:sz w:val="16"/>
                <w:szCs w:val="16"/>
                <w:color w:val="auto"/>
              </w:rPr>
              <w:t>10,050</w:t>
            </w:r>
            <w:r>
              <w:rPr>
                <w:rFonts w:ascii="Arial" w:cs="Arial" w:eastAsia="Arial" w:hAnsi="Arial"/>
                <w:sz w:val="24"/>
                <w:szCs w:val="24"/>
                <w:color w:val="auto"/>
                <w:vertAlign w:val="superscript"/>
              </w:rPr>
              <w:t>(3)</w:t>
            </w:r>
          </w:p>
        </w:tc>
        <w:tc>
          <w:tcPr>
            <w:tcW w:w="2460" w:type="dxa"/>
            <w:vAlign w:val="bottom"/>
          </w:tcPr>
          <w:p>
            <w:pPr>
              <w:jc w:val="center"/>
              <w:ind w:left="322"/>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9"/>
                <w:szCs w:val="19"/>
                <w:color w:val="auto"/>
              </w:rPr>
            </w:pPr>
          </w:p>
        </w:tc>
      </w:tr>
      <w:tr>
        <w:trPr>
          <w:trHeight w:val="229"/>
        </w:trPr>
        <w:tc>
          <w:tcPr>
            <w:tcW w:w="274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N.A. Chapman</w:t>
            </w:r>
          </w:p>
        </w:tc>
        <w:tc>
          <w:tcPr>
            <w:tcW w:w="2580" w:type="dxa"/>
            <w:vAlign w:val="bottom"/>
            <w:tcBorders>
              <w:right w:val="single" w:sz="8" w:color="auto"/>
            </w:tcBorders>
            <w:shd w:val="clear" w:color="auto" w:fill="D4DBEB"/>
          </w:tcPr>
          <w:p>
            <w:pPr>
              <w:jc w:val="right"/>
              <w:ind w:right="601"/>
              <w:spacing w:after="0" w:line="229" w:lineRule="exact"/>
              <w:rPr>
                <w:sz w:val="20"/>
                <w:szCs w:val="20"/>
                <w:color w:val="auto"/>
              </w:rPr>
            </w:pPr>
            <w:r>
              <w:rPr>
                <w:rFonts w:ascii="Arial" w:cs="Arial" w:eastAsia="Arial" w:hAnsi="Arial"/>
                <w:sz w:val="16"/>
                <w:szCs w:val="16"/>
                <w:color w:val="auto"/>
              </w:rPr>
              <w:t>151,536</w:t>
            </w:r>
            <w:r>
              <w:rPr>
                <w:rFonts w:ascii="Arial" w:cs="Arial" w:eastAsia="Arial" w:hAnsi="Arial"/>
                <w:sz w:val="24"/>
                <w:szCs w:val="24"/>
                <w:color w:val="auto"/>
                <w:vertAlign w:val="superscript"/>
              </w:rPr>
              <w:t>(4)</w:t>
            </w:r>
          </w:p>
        </w:tc>
        <w:tc>
          <w:tcPr>
            <w:tcW w:w="2460" w:type="dxa"/>
            <w:vAlign w:val="bottom"/>
            <w:shd w:val="clear" w:color="auto" w:fill="D4DBEB"/>
          </w:tcPr>
          <w:p>
            <w:pPr>
              <w:jc w:val="center"/>
              <w:ind w:left="322"/>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9"/>
                <w:szCs w:val="19"/>
                <w:color w:val="auto"/>
              </w:rPr>
            </w:pPr>
          </w:p>
        </w:tc>
      </w:tr>
      <w:tr>
        <w:trPr>
          <w:trHeight w:val="230"/>
        </w:trPr>
        <w:tc>
          <w:tcPr>
            <w:tcW w:w="27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J.P. Williams, Jr.</w:t>
            </w:r>
          </w:p>
        </w:tc>
        <w:tc>
          <w:tcPr>
            <w:tcW w:w="2580" w:type="dxa"/>
            <w:vAlign w:val="bottom"/>
            <w:tcBorders>
              <w:right w:val="single" w:sz="8" w:color="auto"/>
            </w:tcBorders>
          </w:tcPr>
          <w:p>
            <w:pPr>
              <w:jc w:val="right"/>
              <w:ind w:right="741"/>
              <w:spacing w:after="0"/>
              <w:rPr>
                <w:sz w:val="20"/>
                <w:szCs w:val="20"/>
                <w:color w:val="auto"/>
              </w:rPr>
            </w:pPr>
            <w:r>
              <w:rPr>
                <w:rFonts w:ascii="Arial" w:cs="Arial" w:eastAsia="Arial" w:hAnsi="Arial"/>
                <w:sz w:val="16"/>
                <w:szCs w:val="16"/>
                <w:color w:val="auto"/>
              </w:rPr>
              <w:t>151,384</w:t>
            </w:r>
          </w:p>
        </w:tc>
        <w:tc>
          <w:tcPr>
            <w:tcW w:w="2460" w:type="dxa"/>
            <w:vAlign w:val="bottom"/>
          </w:tcPr>
          <w:p>
            <w:pPr>
              <w:jc w:val="center"/>
              <w:ind w:left="322"/>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9"/>
                <w:szCs w:val="19"/>
                <w:color w:val="auto"/>
              </w:rPr>
            </w:pPr>
          </w:p>
        </w:tc>
      </w:tr>
      <w:tr>
        <w:trPr>
          <w:trHeight w:val="230"/>
        </w:trPr>
        <w:tc>
          <w:tcPr>
            <w:tcW w:w="274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K.T. McKee</w:t>
            </w:r>
          </w:p>
        </w:tc>
        <w:tc>
          <w:tcPr>
            <w:tcW w:w="2580" w:type="dxa"/>
            <w:vAlign w:val="bottom"/>
            <w:tcBorders>
              <w:right w:val="single" w:sz="8" w:color="auto"/>
            </w:tcBorders>
            <w:shd w:val="clear" w:color="auto" w:fill="D4DBEB"/>
          </w:tcPr>
          <w:p>
            <w:pPr>
              <w:jc w:val="right"/>
              <w:ind w:right="601"/>
              <w:spacing w:after="0" w:line="229" w:lineRule="exact"/>
              <w:rPr>
                <w:sz w:val="20"/>
                <w:szCs w:val="20"/>
                <w:color w:val="auto"/>
              </w:rPr>
            </w:pPr>
            <w:r>
              <w:rPr>
                <w:rFonts w:ascii="Arial" w:cs="Arial" w:eastAsia="Arial" w:hAnsi="Arial"/>
                <w:sz w:val="16"/>
                <w:szCs w:val="16"/>
                <w:color w:val="auto"/>
              </w:rPr>
              <w:t>79,447</w:t>
            </w:r>
            <w:r>
              <w:rPr>
                <w:rFonts w:ascii="Arial" w:cs="Arial" w:eastAsia="Arial" w:hAnsi="Arial"/>
                <w:sz w:val="24"/>
                <w:szCs w:val="24"/>
                <w:color w:val="auto"/>
                <w:vertAlign w:val="superscript"/>
              </w:rPr>
              <w:t>(5)</w:t>
            </w:r>
          </w:p>
        </w:tc>
        <w:tc>
          <w:tcPr>
            <w:tcW w:w="2460" w:type="dxa"/>
            <w:vAlign w:val="bottom"/>
            <w:shd w:val="clear" w:color="auto" w:fill="D4DBEB"/>
          </w:tcPr>
          <w:p>
            <w:pPr>
              <w:jc w:val="center"/>
              <w:ind w:left="322"/>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9"/>
                <w:szCs w:val="19"/>
                <w:color w:val="auto"/>
              </w:rPr>
            </w:pPr>
          </w:p>
        </w:tc>
      </w:tr>
    </w:tbl>
    <w:p>
      <w:pPr>
        <w:spacing w:after="0" w:line="107" w:lineRule="exact"/>
        <w:rPr>
          <w:sz w:val="20"/>
          <w:szCs w:val="20"/>
          <w:color w:val="auto"/>
        </w:rPr>
      </w:pPr>
    </w:p>
    <w:p>
      <w:pPr>
        <w:ind w:left="1140" w:right="160" w:hanging="376"/>
        <w:spacing w:after="0" w:line="256" w:lineRule="auto"/>
        <w:tabs>
          <w:tab w:leader="none" w:pos="11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Does not include unvested restricted stock units, which do not carry voting rights prior to the issuance of shares on settlement of the awards.</w:t>
      </w:r>
    </w:p>
    <w:p>
      <w:pPr>
        <w:spacing w:after="0" w:line="1" w:lineRule="exact"/>
        <w:rPr>
          <w:rFonts w:ascii="Arial" w:cs="Arial" w:eastAsia="Arial" w:hAnsi="Arial"/>
          <w:sz w:val="16"/>
          <w:szCs w:val="16"/>
          <w:color w:val="auto"/>
        </w:rPr>
      </w:pPr>
    </w:p>
    <w:p>
      <w:pPr>
        <w:ind w:left="1140" w:hanging="376"/>
        <w:spacing w:after="0"/>
        <w:tabs>
          <w:tab w:leader="none" w:pos="11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757 shares held by spouse.</w:t>
      </w:r>
    </w:p>
    <w:p>
      <w:pPr>
        <w:spacing w:after="0" w:line="5" w:lineRule="exact"/>
        <w:rPr>
          <w:rFonts w:ascii="Arial" w:cs="Arial" w:eastAsia="Arial" w:hAnsi="Arial"/>
          <w:sz w:val="16"/>
          <w:szCs w:val="16"/>
          <w:color w:val="auto"/>
        </w:rPr>
      </w:pPr>
    </w:p>
    <w:p>
      <w:pPr>
        <w:ind w:left="1140" w:hanging="376"/>
        <w:spacing w:after="0"/>
        <w:tabs>
          <w:tab w:leader="none" w:pos="11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8,350 shares owned together with spouse through family trusts and related entities.</w:t>
      </w:r>
    </w:p>
    <w:p>
      <w:pPr>
        <w:spacing w:after="0" w:line="5" w:lineRule="exact"/>
        <w:rPr>
          <w:rFonts w:ascii="Arial" w:cs="Arial" w:eastAsia="Arial" w:hAnsi="Arial"/>
          <w:sz w:val="16"/>
          <w:szCs w:val="16"/>
          <w:color w:val="auto"/>
        </w:rPr>
      </w:pPr>
    </w:p>
    <w:p>
      <w:pPr>
        <w:ind w:left="1140" w:hanging="376"/>
        <w:spacing w:after="0"/>
        <w:tabs>
          <w:tab w:leader="none" w:pos="11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61,728 shares jointly owned with spouse.</w:t>
      </w:r>
    </w:p>
    <w:p>
      <w:pPr>
        <w:spacing w:after="0" w:line="5" w:lineRule="exact"/>
        <w:rPr>
          <w:rFonts w:ascii="Arial" w:cs="Arial" w:eastAsia="Arial" w:hAnsi="Arial"/>
          <w:sz w:val="16"/>
          <w:szCs w:val="16"/>
          <w:color w:val="auto"/>
        </w:rPr>
      </w:pPr>
    </w:p>
    <w:p>
      <w:pPr>
        <w:ind w:left="1140" w:hanging="376"/>
        <w:spacing w:after="0"/>
        <w:tabs>
          <w:tab w:leader="none" w:pos="11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8,030 shares held by spouse.</w:t>
      </w:r>
    </w:p>
    <w:p>
      <w:pPr>
        <w:spacing w:after="0" w:line="131"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54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460"/>
          </w:cols>
          <w:pgMar w:left="320" w:top="482" w:right="11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tbl>
      <w:tblPr>
        <w:tblLayout w:type="fixed"/>
        <w:tblInd w:w="770" w:type="dxa"/>
        <w:tblCellMar>
          <w:top w:w="0" w:type="dxa"/>
          <w:left w:w="0" w:type="dxa"/>
          <w:bottom w:w="0" w:type="dxa"/>
          <w:right w:w="0" w:type="dxa"/>
        </w:tblCellMar>
      </w:tblPr>
      <w:tr>
        <w:trPr>
          <w:trHeight w:val="203"/>
        </w:trPr>
        <w:tc>
          <w:tcPr>
            <w:tcW w:w="270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Non-Employee Director</w:t>
            </w:r>
          </w:p>
        </w:tc>
        <w:tc>
          <w:tcPr>
            <w:tcW w:w="216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Shares Owned</w:t>
            </w:r>
          </w:p>
        </w:tc>
        <w:tc>
          <w:tcPr>
            <w:tcW w:w="20" w:type="dxa"/>
            <w:vAlign w:val="bottom"/>
            <w:tcBorders>
              <w:top w:val="single" w:sz="8" w:color="auto"/>
              <w:bottom w:val="single" w:sz="8" w:color="auto"/>
            </w:tcBorders>
            <w:shd w:val="clear" w:color="auto" w:fill="000000"/>
          </w:tcPr>
          <w:p>
            <w:pPr>
              <w:spacing w:after="0"/>
              <w:rPr>
                <w:sz w:val="17"/>
                <w:szCs w:val="17"/>
                <w:color w:val="auto"/>
              </w:rPr>
            </w:pPr>
          </w:p>
        </w:tc>
      </w:tr>
      <w:tr>
        <w:trPr>
          <w:trHeight w:val="223"/>
        </w:trPr>
        <w:tc>
          <w:tcPr>
            <w:tcW w:w="270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M.J. Angelakis</w:t>
            </w:r>
          </w:p>
        </w:tc>
        <w:tc>
          <w:tcPr>
            <w:tcW w:w="2160" w:type="dxa"/>
            <w:vAlign w:val="bottom"/>
            <w:shd w:val="clear" w:color="auto" w:fill="D4DBEB"/>
          </w:tcPr>
          <w:p>
            <w:pPr>
              <w:jc w:val="right"/>
              <w:ind w:right="380"/>
              <w:spacing w:after="0" w:line="222" w:lineRule="exact"/>
              <w:rPr>
                <w:sz w:val="20"/>
                <w:szCs w:val="20"/>
                <w:color w:val="auto"/>
              </w:rPr>
            </w:pPr>
            <w:r>
              <w:rPr>
                <w:rFonts w:ascii="Arial" w:cs="Arial" w:eastAsia="Arial" w:hAnsi="Arial"/>
                <w:sz w:val="16"/>
                <w:szCs w:val="16"/>
                <w:color w:val="auto"/>
              </w:rPr>
              <w:t>53,792</w:t>
            </w:r>
            <w:r>
              <w:rPr>
                <w:rFonts w:ascii="Arial" w:cs="Arial" w:eastAsia="Arial" w:hAnsi="Arial"/>
                <w:sz w:val="24"/>
                <w:szCs w:val="24"/>
                <w:color w:val="auto"/>
                <w:vertAlign w:val="superscript"/>
              </w:rPr>
              <w:t>(1)</w:t>
            </w:r>
          </w:p>
        </w:tc>
        <w:tc>
          <w:tcPr>
            <w:tcW w:w="20" w:type="dxa"/>
            <w:vAlign w:val="bottom"/>
          </w:tcPr>
          <w:p>
            <w:pPr>
              <w:spacing w:after="0"/>
              <w:rPr>
                <w:sz w:val="19"/>
                <w:szCs w:val="19"/>
                <w:color w:val="auto"/>
              </w:rPr>
            </w:pPr>
          </w:p>
        </w:tc>
      </w:tr>
      <w:tr>
        <w:trPr>
          <w:trHeight w:val="229"/>
        </w:trPr>
        <w:tc>
          <w:tcPr>
            <w:tcW w:w="270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S.K. Avery</w:t>
            </w:r>
          </w:p>
        </w:tc>
        <w:tc>
          <w:tcPr>
            <w:tcW w:w="2160" w:type="dxa"/>
            <w:vAlign w:val="bottom"/>
          </w:tcPr>
          <w:p>
            <w:pPr>
              <w:jc w:val="right"/>
              <w:ind w:right="520"/>
              <w:spacing w:after="0"/>
              <w:rPr>
                <w:sz w:val="20"/>
                <w:szCs w:val="20"/>
                <w:color w:val="auto"/>
              </w:rPr>
            </w:pPr>
            <w:r>
              <w:rPr>
                <w:rFonts w:ascii="Arial" w:cs="Arial" w:eastAsia="Arial" w:hAnsi="Arial"/>
                <w:sz w:val="16"/>
                <w:szCs w:val="16"/>
                <w:color w:val="auto"/>
              </w:rPr>
              <w:t>23,000</w:t>
            </w:r>
          </w:p>
        </w:tc>
        <w:tc>
          <w:tcPr>
            <w:tcW w:w="20" w:type="dxa"/>
            <w:vAlign w:val="bottom"/>
          </w:tcPr>
          <w:p>
            <w:pPr>
              <w:spacing w:after="0"/>
              <w:rPr>
                <w:sz w:val="19"/>
                <w:szCs w:val="19"/>
                <w:color w:val="auto"/>
              </w:rPr>
            </w:pPr>
          </w:p>
        </w:tc>
      </w:tr>
      <w:tr>
        <w:trPr>
          <w:trHeight w:val="230"/>
        </w:trPr>
        <w:tc>
          <w:tcPr>
            <w:tcW w:w="270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A.F. Braly</w:t>
            </w:r>
          </w:p>
        </w:tc>
        <w:tc>
          <w:tcPr>
            <w:tcW w:w="2160" w:type="dxa"/>
            <w:vAlign w:val="bottom"/>
            <w:shd w:val="clear" w:color="auto" w:fill="D4DBEB"/>
          </w:tcPr>
          <w:p>
            <w:pPr>
              <w:jc w:val="right"/>
              <w:ind w:right="380"/>
              <w:spacing w:after="0" w:line="229" w:lineRule="exact"/>
              <w:rPr>
                <w:sz w:val="20"/>
                <w:szCs w:val="20"/>
                <w:color w:val="auto"/>
              </w:rPr>
            </w:pPr>
            <w:r>
              <w:rPr>
                <w:rFonts w:ascii="Arial" w:cs="Arial" w:eastAsia="Arial" w:hAnsi="Arial"/>
                <w:sz w:val="16"/>
                <w:szCs w:val="16"/>
                <w:color w:val="auto"/>
              </w:rPr>
              <w:t>27,575</w:t>
            </w:r>
            <w:r>
              <w:rPr>
                <w:rFonts w:ascii="Arial" w:cs="Arial" w:eastAsia="Arial" w:hAnsi="Arial"/>
                <w:sz w:val="24"/>
                <w:szCs w:val="24"/>
                <w:color w:val="auto"/>
                <w:vertAlign w:val="superscript"/>
              </w:rPr>
              <w:t>(2)</w:t>
            </w:r>
          </w:p>
        </w:tc>
        <w:tc>
          <w:tcPr>
            <w:tcW w:w="20" w:type="dxa"/>
            <w:vAlign w:val="bottom"/>
          </w:tcPr>
          <w:p>
            <w:pPr>
              <w:spacing w:after="0"/>
              <w:rPr>
                <w:sz w:val="19"/>
                <w:szCs w:val="19"/>
                <w:color w:val="auto"/>
              </w:rPr>
            </w:pPr>
          </w:p>
        </w:tc>
      </w:tr>
      <w:tr>
        <w:trPr>
          <w:trHeight w:val="229"/>
        </w:trPr>
        <w:tc>
          <w:tcPr>
            <w:tcW w:w="270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U.M. Burns</w:t>
            </w:r>
          </w:p>
        </w:tc>
        <w:tc>
          <w:tcPr>
            <w:tcW w:w="2160" w:type="dxa"/>
            <w:vAlign w:val="bottom"/>
          </w:tcPr>
          <w:p>
            <w:pPr>
              <w:jc w:val="right"/>
              <w:ind w:right="520"/>
              <w:spacing w:after="0"/>
              <w:rPr>
                <w:sz w:val="20"/>
                <w:szCs w:val="20"/>
                <w:color w:val="auto"/>
              </w:rPr>
            </w:pPr>
            <w:r>
              <w:rPr>
                <w:rFonts w:ascii="Arial" w:cs="Arial" w:eastAsia="Arial" w:hAnsi="Arial"/>
                <w:sz w:val="16"/>
                <w:szCs w:val="16"/>
                <w:color w:val="auto"/>
              </w:rPr>
              <w:t>35,706</w:t>
            </w:r>
          </w:p>
        </w:tc>
        <w:tc>
          <w:tcPr>
            <w:tcW w:w="20" w:type="dxa"/>
            <w:vAlign w:val="bottom"/>
          </w:tcPr>
          <w:p>
            <w:pPr>
              <w:spacing w:after="0"/>
              <w:rPr>
                <w:sz w:val="19"/>
                <w:szCs w:val="19"/>
                <w:color w:val="auto"/>
              </w:rPr>
            </w:pPr>
          </w:p>
        </w:tc>
      </w:tr>
      <w:tr>
        <w:trPr>
          <w:trHeight w:val="230"/>
        </w:trPr>
        <w:tc>
          <w:tcPr>
            <w:tcW w:w="270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G.J. Goff</w:t>
            </w:r>
          </w:p>
        </w:tc>
        <w:tc>
          <w:tcPr>
            <w:tcW w:w="2160" w:type="dxa"/>
            <w:vAlign w:val="bottom"/>
            <w:shd w:val="clear" w:color="auto" w:fill="D4DBEB"/>
          </w:tcPr>
          <w:p>
            <w:pPr>
              <w:jc w:val="right"/>
              <w:ind w:right="380"/>
              <w:spacing w:after="0" w:line="229" w:lineRule="exact"/>
              <w:rPr>
                <w:sz w:val="20"/>
                <w:szCs w:val="20"/>
                <w:color w:val="auto"/>
              </w:rPr>
            </w:pPr>
            <w:r>
              <w:rPr>
                <w:rFonts w:ascii="Arial" w:cs="Arial" w:eastAsia="Arial" w:hAnsi="Arial"/>
                <w:sz w:val="16"/>
                <w:szCs w:val="16"/>
                <w:color w:val="auto"/>
              </w:rPr>
              <w:t>23,462</w:t>
            </w:r>
            <w:r>
              <w:rPr>
                <w:rFonts w:ascii="Arial" w:cs="Arial" w:eastAsia="Arial" w:hAnsi="Arial"/>
                <w:sz w:val="24"/>
                <w:szCs w:val="24"/>
                <w:color w:val="auto"/>
                <w:vertAlign w:val="superscript"/>
              </w:rPr>
              <w:t>(3)</w:t>
            </w:r>
          </w:p>
        </w:tc>
        <w:tc>
          <w:tcPr>
            <w:tcW w:w="20" w:type="dxa"/>
            <w:vAlign w:val="bottom"/>
          </w:tcPr>
          <w:p>
            <w:pPr>
              <w:spacing w:after="0"/>
              <w:rPr>
                <w:sz w:val="19"/>
                <w:szCs w:val="19"/>
                <w:color w:val="auto"/>
              </w:rPr>
            </w:pPr>
          </w:p>
        </w:tc>
      </w:tr>
      <w:tr>
        <w:trPr>
          <w:trHeight w:val="229"/>
        </w:trPr>
        <w:tc>
          <w:tcPr>
            <w:tcW w:w="270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J.D. Harris II</w:t>
            </w:r>
          </w:p>
        </w:tc>
        <w:tc>
          <w:tcPr>
            <w:tcW w:w="2160" w:type="dxa"/>
            <w:vAlign w:val="bottom"/>
          </w:tcPr>
          <w:p>
            <w:pPr>
              <w:jc w:val="right"/>
              <w:ind w:right="380"/>
              <w:spacing w:after="0" w:line="229" w:lineRule="exact"/>
              <w:rPr>
                <w:sz w:val="20"/>
                <w:szCs w:val="20"/>
                <w:color w:val="auto"/>
              </w:rPr>
            </w:pPr>
            <w:r>
              <w:rPr>
                <w:rFonts w:ascii="Arial" w:cs="Arial" w:eastAsia="Arial" w:hAnsi="Arial"/>
                <w:sz w:val="16"/>
                <w:szCs w:val="16"/>
                <w:color w:val="auto"/>
              </w:rPr>
              <w:t>8,250</w:t>
            </w:r>
            <w:r>
              <w:rPr>
                <w:rFonts w:ascii="Arial" w:cs="Arial" w:eastAsia="Arial" w:hAnsi="Arial"/>
                <w:sz w:val="24"/>
                <w:szCs w:val="24"/>
                <w:color w:val="auto"/>
                <w:vertAlign w:val="superscript"/>
              </w:rPr>
              <w:t>(4)</w:t>
            </w:r>
          </w:p>
        </w:tc>
        <w:tc>
          <w:tcPr>
            <w:tcW w:w="20" w:type="dxa"/>
            <w:vAlign w:val="bottom"/>
          </w:tcPr>
          <w:p>
            <w:pPr>
              <w:spacing w:after="0"/>
              <w:rPr>
                <w:sz w:val="19"/>
                <w:szCs w:val="19"/>
                <w:color w:val="auto"/>
              </w:rPr>
            </w:pPr>
          </w:p>
        </w:tc>
      </w:tr>
      <w:tr>
        <w:trPr>
          <w:trHeight w:val="229"/>
        </w:trPr>
        <w:tc>
          <w:tcPr>
            <w:tcW w:w="270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K.H. Hietala</w:t>
            </w:r>
          </w:p>
        </w:tc>
        <w:tc>
          <w:tcPr>
            <w:tcW w:w="2160" w:type="dxa"/>
            <w:vAlign w:val="bottom"/>
            <w:shd w:val="clear" w:color="auto" w:fill="D4DBEB"/>
          </w:tcPr>
          <w:p>
            <w:pPr>
              <w:jc w:val="right"/>
              <w:ind w:right="520"/>
              <w:spacing w:after="0"/>
              <w:rPr>
                <w:sz w:val="20"/>
                <w:szCs w:val="20"/>
                <w:color w:val="auto"/>
              </w:rPr>
            </w:pPr>
            <w:r>
              <w:rPr>
                <w:rFonts w:ascii="Arial" w:cs="Arial" w:eastAsia="Arial" w:hAnsi="Arial"/>
                <w:sz w:val="16"/>
                <w:szCs w:val="16"/>
                <w:color w:val="auto"/>
              </w:rPr>
              <w:t>13,000</w:t>
            </w:r>
          </w:p>
        </w:tc>
        <w:tc>
          <w:tcPr>
            <w:tcW w:w="20" w:type="dxa"/>
            <w:vAlign w:val="bottom"/>
          </w:tcPr>
          <w:p>
            <w:pPr>
              <w:spacing w:after="0"/>
              <w:rPr>
                <w:sz w:val="19"/>
                <w:szCs w:val="19"/>
                <w:color w:val="auto"/>
              </w:rPr>
            </w:pPr>
          </w:p>
        </w:tc>
      </w:tr>
      <w:tr>
        <w:trPr>
          <w:trHeight w:val="230"/>
        </w:trPr>
        <w:tc>
          <w:tcPr>
            <w:tcW w:w="270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J.L. Hooley</w:t>
            </w:r>
          </w:p>
        </w:tc>
        <w:tc>
          <w:tcPr>
            <w:tcW w:w="2160" w:type="dxa"/>
            <w:vAlign w:val="bottom"/>
          </w:tcPr>
          <w:p>
            <w:pPr>
              <w:jc w:val="right"/>
              <w:ind w:right="520"/>
              <w:spacing w:after="0"/>
              <w:rPr>
                <w:sz w:val="20"/>
                <w:szCs w:val="20"/>
                <w:color w:val="auto"/>
              </w:rPr>
            </w:pPr>
            <w:r>
              <w:rPr>
                <w:rFonts w:ascii="Arial" w:cs="Arial" w:eastAsia="Arial" w:hAnsi="Arial"/>
                <w:sz w:val="16"/>
                <w:szCs w:val="16"/>
                <w:color w:val="auto"/>
              </w:rPr>
              <w:t>15,500</w:t>
            </w:r>
          </w:p>
        </w:tc>
        <w:tc>
          <w:tcPr>
            <w:tcW w:w="20" w:type="dxa"/>
            <w:vAlign w:val="bottom"/>
          </w:tcPr>
          <w:p>
            <w:pPr>
              <w:spacing w:after="0"/>
              <w:rPr>
                <w:sz w:val="19"/>
                <w:szCs w:val="19"/>
                <w:color w:val="auto"/>
              </w:rPr>
            </w:pPr>
          </w:p>
        </w:tc>
      </w:tr>
      <w:tr>
        <w:trPr>
          <w:trHeight w:val="229"/>
        </w:trPr>
        <w:tc>
          <w:tcPr>
            <w:tcW w:w="270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S.A. Kandarian</w:t>
            </w:r>
          </w:p>
        </w:tc>
        <w:tc>
          <w:tcPr>
            <w:tcW w:w="2160" w:type="dxa"/>
            <w:vAlign w:val="bottom"/>
            <w:shd w:val="clear" w:color="auto" w:fill="D4DBEB"/>
          </w:tcPr>
          <w:p>
            <w:pPr>
              <w:jc w:val="right"/>
              <w:ind w:right="520"/>
              <w:spacing w:after="0"/>
              <w:rPr>
                <w:sz w:val="20"/>
                <w:szCs w:val="20"/>
                <w:color w:val="auto"/>
              </w:rPr>
            </w:pPr>
            <w:r>
              <w:rPr>
                <w:rFonts w:ascii="Arial" w:cs="Arial" w:eastAsia="Arial" w:hAnsi="Arial"/>
                <w:sz w:val="16"/>
                <w:szCs w:val="16"/>
                <w:color w:val="auto"/>
              </w:rPr>
              <w:t>20,500</w:t>
            </w:r>
          </w:p>
        </w:tc>
        <w:tc>
          <w:tcPr>
            <w:tcW w:w="20" w:type="dxa"/>
            <w:vAlign w:val="bottom"/>
          </w:tcPr>
          <w:p>
            <w:pPr>
              <w:spacing w:after="0"/>
              <w:rPr>
                <w:sz w:val="19"/>
                <w:szCs w:val="19"/>
                <w:color w:val="auto"/>
              </w:rPr>
            </w:pPr>
          </w:p>
        </w:tc>
      </w:tr>
      <w:tr>
        <w:trPr>
          <w:trHeight w:val="229"/>
        </w:trPr>
        <w:tc>
          <w:tcPr>
            <w:tcW w:w="270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A.A. Karsner</w:t>
            </w:r>
          </w:p>
        </w:tc>
        <w:tc>
          <w:tcPr>
            <w:tcW w:w="2160" w:type="dxa"/>
            <w:vAlign w:val="bottom"/>
          </w:tcPr>
          <w:p>
            <w:pPr>
              <w:jc w:val="right"/>
              <w:ind w:right="520"/>
              <w:spacing w:after="0"/>
              <w:rPr>
                <w:sz w:val="20"/>
                <w:szCs w:val="20"/>
                <w:color w:val="auto"/>
              </w:rPr>
            </w:pPr>
            <w:r>
              <w:rPr>
                <w:rFonts w:ascii="Arial" w:cs="Arial" w:eastAsia="Arial" w:hAnsi="Arial"/>
                <w:sz w:val="16"/>
                <w:szCs w:val="16"/>
                <w:color w:val="auto"/>
              </w:rPr>
              <w:t>30,000</w:t>
            </w:r>
          </w:p>
        </w:tc>
        <w:tc>
          <w:tcPr>
            <w:tcW w:w="20" w:type="dxa"/>
            <w:vAlign w:val="bottom"/>
          </w:tcPr>
          <w:p>
            <w:pPr>
              <w:spacing w:after="0"/>
              <w:rPr>
                <w:sz w:val="19"/>
                <w:szCs w:val="19"/>
                <w:color w:val="auto"/>
              </w:rPr>
            </w:pPr>
          </w:p>
        </w:tc>
      </w:tr>
      <w:tr>
        <w:trPr>
          <w:trHeight w:val="230"/>
        </w:trPr>
        <w:tc>
          <w:tcPr>
            <w:tcW w:w="270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L.W. Kellner</w:t>
            </w:r>
          </w:p>
        </w:tc>
        <w:tc>
          <w:tcPr>
            <w:tcW w:w="2160" w:type="dxa"/>
            <w:vAlign w:val="bottom"/>
            <w:shd w:val="clear" w:color="auto" w:fill="D4DBEB"/>
          </w:tcPr>
          <w:p>
            <w:pPr>
              <w:jc w:val="right"/>
              <w:ind w:right="380"/>
              <w:spacing w:after="0" w:line="229" w:lineRule="exact"/>
              <w:rPr>
                <w:sz w:val="20"/>
                <w:szCs w:val="20"/>
                <w:color w:val="auto"/>
              </w:rPr>
            </w:pPr>
            <w:r>
              <w:rPr>
                <w:rFonts w:ascii="Arial" w:cs="Arial" w:eastAsia="Arial" w:hAnsi="Arial"/>
                <w:sz w:val="16"/>
                <w:szCs w:val="16"/>
                <w:color w:val="auto"/>
              </w:rPr>
              <w:t>8,000</w:t>
            </w:r>
            <w:r>
              <w:rPr>
                <w:rFonts w:ascii="Arial" w:cs="Arial" w:eastAsia="Arial" w:hAnsi="Arial"/>
                <w:sz w:val="24"/>
                <w:szCs w:val="24"/>
                <w:color w:val="auto"/>
                <w:vertAlign w:val="superscript"/>
              </w:rPr>
              <w:t>(5)</w:t>
            </w:r>
          </w:p>
        </w:tc>
        <w:tc>
          <w:tcPr>
            <w:tcW w:w="20" w:type="dxa"/>
            <w:vAlign w:val="bottom"/>
          </w:tcPr>
          <w:p>
            <w:pPr>
              <w:spacing w:after="0"/>
              <w:rPr>
                <w:sz w:val="19"/>
                <w:szCs w:val="19"/>
                <w:color w:val="auto"/>
              </w:rPr>
            </w:pPr>
          </w:p>
        </w:tc>
      </w:tr>
      <w:tr>
        <w:trPr>
          <w:trHeight w:val="229"/>
        </w:trPr>
        <w:tc>
          <w:tcPr>
            <w:tcW w:w="270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J.W. Ubben</w:t>
            </w:r>
          </w:p>
        </w:tc>
        <w:tc>
          <w:tcPr>
            <w:tcW w:w="2160" w:type="dxa"/>
            <w:vAlign w:val="bottom"/>
          </w:tcPr>
          <w:p>
            <w:pPr>
              <w:jc w:val="right"/>
              <w:ind w:right="380"/>
              <w:spacing w:after="0" w:line="229" w:lineRule="exact"/>
              <w:rPr>
                <w:sz w:val="20"/>
                <w:szCs w:val="20"/>
                <w:color w:val="auto"/>
              </w:rPr>
            </w:pPr>
            <w:r>
              <w:rPr>
                <w:rFonts w:ascii="Arial" w:cs="Arial" w:eastAsia="Arial" w:hAnsi="Arial"/>
                <w:sz w:val="16"/>
                <w:szCs w:val="16"/>
                <w:color w:val="auto"/>
              </w:rPr>
              <w:t>1,190,000</w:t>
            </w:r>
            <w:r>
              <w:rPr>
                <w:rFonts w:ascii="Arial" w:cs="Arial" w:eastAsia="Arial" w:hAnsi="Arial"/>
                <w:sz w:val="24"/>
                <w:szCs w:val="24"/>
                <w:color w:val="auto"/>
                <w:vertAlign w:val="superscript"/>
              </w:rPr>
              <w:t>(6)</w:t>
            </w:r>
          </w:p>
        </w:tc>
        <w:tc>
          <w:tcPr>
            <w:tcW w:w="20" w:type="dxa"/>
            <w:vAlign w:val="bottom"/>
          </w:tcPr>
          <w:p>
            <w:pPr>
              <w:spacing w:after="0"/>
              <w:rPr>
                <w:sz w:val="19"/>
                <w:szCs w:val="19"/>
                <w:color w:val="auto"/>
              </w:rPr>
            </w:pPr>
          </w:p>
        </w:tc>
      </w:tr>
    </w:tbl>
    <w:p>
      <w:pPr>
        <w:spacing w:after="0" w:line="107" w:lineRule="exact"/>
        <w:rPr>
          <w:sz w:val="20"/>
          <w:szCs w:val="20"/>
          <w:color w:val="auto"/>
        </w:rPr>
      </w:pPr>
    </w:p>
    <w:p>
      <w:pPr>
        <w:ind w:left="1140" w:hanging="376"/>
        <w:spacing w:after="0" w:line="256" w:lineRule="auto"/>
        <w:tabs>
          <w:tab w:leader="none" w:pos="11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20,000 shares jointly owned with spouse. Also includes 20,792 shares in a charitable family trust for which Mr. Angelakis serves as co-trustee.</w:t>
      </w:r>
    </w:p>
    <w:p>
      <w:pPr>
        <w:spacing w:after="0" w:line="1" w:lineRule="exact"/>
        <w:rPr>
          <w:rFonts w:ascii="Arial" w:cs="Arial" w:eastAsia="Arial" w:hAnsi="Arial"/>
          <w:sz w:val="16"/>
          <w:szCs w:val="16"/>
          <w:color w:val="auto"/>
        </w:rPr>
      </w:pPr>
    </w:p>
    <w:p>
      <w:pPr>
        <w:ind w:left="1140" w:right="660" w:hanging="376"/>
        <w:spacing w:after="0" w:line="246" w:lineRule="auto"/>
        <w:tabs>
          <w:tab w:leader="none" w:pos="11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1,175 shares owned by spouse and 900 shares held in trusts for family members for which Ms. Braly serves as co-trustee.</w:t>
      </w:r>
    </w:p>
    <w:p>
      <w:pPr>
        <w:ind w:left="1140" w:right="120" w:hanging="376"/>
        <w:spacing w:after="0" w:line="246" w:lineRule="auto"/>
        <w:tabs>
          <w:tab w:leader="none" w:pos="11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10,041 shares jointly owned with spouse. Also includes 421 shares held in trusts for family members for which Mr. Goff serves as co-trustee.</w:t>
      </w:r>
    </w:p>
    <w:p>
      <w:pPr>
        <w:ind w:left="1140" w:right="340" w:hanging="376"/>
        <w:spacing w:after="0" w:line="246" w:lineRule="auto"/>
        <w:tabs>
          <w:tab w:leader="none" w:pos="11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Mr. Harris joined the Board in January 2023 and received a one-time grant of 8,000 shares on that date; includes 250 shares jointly owned with spouse.</w:t>
      </w:r>
    </w:p>
    <w:p>
      <w:pPr>
        <w:ind w:left="1140" w:hanging="376"/>
        <w:spacing w:after="0"/>
        <w:tabs>
          <w:tab w:leader="none" w:pos="11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Mr. Kellner joined the Board in January 2023, and received a one-time grant of 8,000 shares on that date.</w:t>
      </w:r>
    </w:p>
    <w:p>
      <w:pPr>
        <w:spacing w:after="0" w:line="5" w:lineRule="exact"/>
        <w:rPr>
          <w:rFonts w:ascii="Arial" w:cs="Arial" w:eastAsia="Arial" w:hAnsi="Arial"/>
          <w:sz w:val="16"/>
          <w:szCs w:val="16"/>
          <w:color w:val="auto"/>
        </w:rPr>
      </w:pPr>
    </w:p>
    <w:p>
      <w:pPr>
        <w:ind w:left="1140" w:hanging="376"/>
        <w:spacing w:after="0" w:line="256" w:lineRule="auto"/>
        <w:tabs>
          <w:tab w:leader="none" w:pos="11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shares held by certain funds managed by Inclusive Capital Partners, L.P. Mr. Ubben is Founder, Portfolio Manager, and Managing Partner of Inclusive Capital Partners, L.P. Mr. Ubben disclaims beneficial ownership of the reported securities except to the extent of his pecuniary interest therein.</w:t>
      </w:r>
    </w:p>
    <w:p>
      <w:pPr>
        <w:spacing w:after="0" w:line="173" w:lineRule="exact"/>
        <w:rPr>
          <w:sz w:val="20"/>
          <w:szCs w:val="20"/>
          <w:color w:val="auto"/>
        </w:rPr>
      </w:pPr>
    </w:p>
    <w:p>
      <w:pPr>
        <w:jc w:val="both"/>
        <w:ind w:left="760" w:right="160"/>
        <w:spacing w:after="0" w:line="253" w:lineRule="auto"/>
        <w:rPr>
          <w:sz w:val="20"/>
          <w:szCs w:val="20"/>
          <w:color w:val="auto"/>
        </w:rPr>
      </w:pPr>
      <w:r>
        <w:rPr>
          <w:rFonts w:ascii="Arial" w:cs="Arial" w:eastAsia="Arial" w:hAnsi="Arial"/>
          <w:sz w:val="18"/>
          <w:szCs w:val="18"/>
          <w:color w:val="auto"/>
        </w:rPr>
        <w:t>On February 28, 2023, ExxonMobil’s incumbent directors and executive officers (23 people) together owned 2,276,298 shares of ExxonMobil stock and zero shares covered by exercisable options, representing less than 0.06 percent of the outstanding shares.</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Related Person Transactions and Procedures</w:t>
      </w:r>
    </w:p>
    <w:p>
      <w:pPr>
        <w:spacing w:after="0" w:line="104" w:lineRule="exact"/>
        <w:rPr>
          <w:sz w:val="20"/>
          <w:szCs w:val="20"/>
          <w:color w:val="auto"/>
        </w:rPr>
      </w:pPr>
    </w:p>
    <w:p>
      <w:pPr>
        <w:jc w:val="both"/>
        <w:ind w:left="760" w:right="320"/>
        <w:spacing w:after="0" w:line="301" w:lineRule="auto"/>
        <w:rPr>
          <w:sz w:val="20"/>
          <w:szCs w:val="20"/>
          <w:color w:val="auto"/>
        </w:rPr>
      </w:pPr>
      <w:r>
        <w:rPr>
          <w:rFonts w:ascii="Arial" w:cs="Arial" w:eastAsia="Arial" w:hAnsi="Arial"/>
          <w:sz w:val="17"/>
          <w:szCs w:val="17"/>
          <w:color w:val="auto"/>
        </w:rPr>
        <w:t>In accordance with SEC rules, ExxonMobil maintains Guidelines for Review of Related Person Transactions (Related Person Transaction Guidelines). These guidelines are available on the Corporate Governance section of our website.</w:t>
      </w:r>
    </w:p>
    <w:p>
      <w:pPr>
        <w:spacing w:after="0" w:line="131" w:lineRule="exact"/>
        <w:rPr>
          <w:sz w:val="20"/>
          <w:szCs w:val="20"/>
          <w:color w:val="auto"/>
        </w:rPr>
      </w:pPr>
    </w:p>
    <w:p>
      <w:pPr>
        <w:ind w:left="760" w:right="80"/>
        <w:spacing w:after="0" w:line="244" w:lineRule="auto"/>
        <w:rPr>
          <w:sz w:val="20"/>
          <w:szCs w:val="20"/>
          <w:color w:val="auto"/>
        </w:rPr>
      </w:pPr>
      <w:r>
        <w:rPr>
          <w:rFonts w:ascii="Arial" w:cs="Arial" w:eastAsia="Arial" w:hAnsi="Arial"/>
          <w:sz w:val="18"/>
          <w:szCs w:val="18"/>
          <w:color w:val="auto"/>
        </w:rPr>
        <w:t>All executive officers, directors, and director nominees are required to identify, to the best of their knowledge after reasonable inquiry, business and financial affiliations involving themselves or their immediate family members that could reasonably be expected to give rise to a reportable related person transaction. Covered persons must also advise the Secretary of the Corporation promptly of any change in the information provided, and will be asked periodically to review and reaffirm their information.</w:t>
      </w:r>
    </w:p>
    <w:p>
      <w:pPr>
        <w:spacing w:after="0" w:line="176" w:lineRule="exact"/>
        <w:rPr>
          <w:sz w:val="20"/>
          <w:szCs w:val="20"/>
          <w:color w:val="auto"/>
        </w:rPr>
      </w:pPr>
    </w:p>
    <w:p>
      <w:pPr>
        <w:ind w:left="760" w:right="160"/>
        <w:spacing w:after="0"/>
        <w:rPr>
          <w:sz w:val="20"/>
          <w:szCs w:val="20"/>
          <w:color w:val="auto"/>
        </w:rPr>
      </w:pPr>
      <w:r>
        <w:rPr>
          <w:rFonts w:ascii="Arial" w:cs="Arial" w:eastAsia="Arial" w:hAnsi="Arial"/>
          <w:sz w:val="18"/>
          <w:szCs w:val="18"/>
          <w:color w:val="auto"/>
        </w:rPr>
        <w:t>Based on this information, the Company’s own records are reviewed and follow-up inquiries are made as may be necessary to identify potentially reportable transactions. A report summarizing such transactions is then provided to the Nominating and Governance Committee. The Committee oversees the Related Person Transaction Guidelines and reviews specific items to assess materiality and make a recommendation to the Board as to whether an identified transaction is required to be reported and/or should be ratified or approved. The Board shall only approve or ratify a transaction that is deemed to be in the best interests of the Corporation. A director will abstain from the decision on any transactions involving that director or his or her immediate family members.</w:t>
      </w:r>
    </w:p>
    <w:p>
      <w:pPr>
        <w:spacing w:after="0" w:line="185" w:lineRule="exact"/>
        <w:rPr>
          <w:sz w:val="20"/>
          <w:szCs w:val="20"/>
          <w:color w:val="auto"/>
        </w:rPr>
      </w:pPr>
    </w:p>
    <w:p>
      <w:pPr>
        <w:ind w:left="760" w:right="180"/>
        <w:spacing w:after="0" w:line="247" w:lineRule="auto"/>
        <w:rPr>
          <w:sz w:val="20"/>
          <w:szCs w:val="20"/>
          <w:color w:val="auto"/>
        </w:rPr>
      </w:pPr>
      <w:r>
        <w:rPr>
          <w:rFonts w:ascii="Arial" w:cs="Arial" w:eastAsia="Arial" w:hAnsi="Arial"/>
          <w:sz w:val="18"/>
          <w:szCs w:val="18"/>
          <w:color w:val="auto"/>
        </w:rPr>
        <w:t>Under SEC rules, certain transactions are deemed not to involve a material interest (including interests solely as a non-employee director). In addition, based on a consideration of ExxonMobil’s facts and circumstances, the Committee will presume that the following transactions do not involve a material interest and do not require further ratification or approval:</w:t>
      </w:r>
    </w:p>
    <w:p>
      <w:pPr>
        <w:spacing w:after="0" w:line="79" w:lineRule="exact"/>
        <w:rPr>
          <w:sz w:val="20"/>
          <w:szCs w:val="20"/>
          <w:color w:val="auto"/>
        </w:rPr>
      </w:pPr>
    </w:p>
    <w:p>
      <w:pPr>
        <w:ind w:left="1140" w:right="320" w:hanging="376"/>
        <w:spacing w:after="0" w:line="246" w:lineRule="auto"/>
        <w:tabs>
          <w:tab w:leader="none" w:pos="114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Transactions in the ordinary course of business with an entity for which a related person serves as an executive officer,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(1) the affected person did not participate in the decision on the part of ExxonMobil to enter into such transactions; and (2) the amount involved in any related transactions in a year is less than 2 percent of the entity’s gross revenues;</w:t>
      </w:r>
    </w:p>
    <w:p>
      <w:pPr>
        <w:spacing w:after="0" w:line="89"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40</w:t>
      </w:r>
      <w:r>
        <w:rPr>
          <w:sz w:val="20"/>
          <w:szCs w:val="20"/>
          <w:color w:val="auto"/>
        </w:rPr>
        <w:tab/>
      </w:r>
      <w:r>
        <w:rPr>
          <w:sz w:val="1"/>
          <w:szCs w:val="1"/>
          <w:color w:val="auto"/>
        </w:rPr>
        <w:drawing>
          <wp:inline distT="0" distB="0" distL="0" distR="0">
            <wp:extent cx="737235" cy="145415"/>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2023 Proxy Statement</w:t>
      </w:r>
    </w:p>
    <w:p>
      <w:pPr>
        <w:sectPr>
          <w:pgSz w:w="11900" w:h="16838" w:orient="portrait"/>
          <w:cols w:equalWidth="0" w:num="1">
            <w:col w:w="10400"/>
          </w:cols>
          <w:pgMar w:left="320" w:top="482" w:right="11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140" w:right="420" w:hanging="376"/>
        <w:spacing w:after="0" w:line="252" w:lineRule="auto"/>
        <w:tabs>
          <w:tab w:leader="none" w:pos="114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Grants or membership payments in the ordinary course of business to nonprofit organizations,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(1) the affected person did not participate in the decision on the part of ExxonMobil to make such payments; and (2) the amount of grants in a year is less than 2 percent of the recipient’s gross revenues;</w:t>
      </w:r>
    </w:p>
    <w:p>
      <w:pPr>
        <w:spacing w:after="0" w:line="76"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Payments under ExxonMobil plans and arrangements that are available generally to U.S. salaried employees; and</w:t>
      </w:r>
    </w:p>
    <w:p>
      <w:pPr>
        <w:spacing w:after="0" w:line="129" w:lineRule="exact"/>
        <w:rPr>
          <w:rFonts w:ascii="Times New Roman" w:cs="Times New Roman" w:eastAsia="Times New Roman" w:hAnsi="Times New Roman"/>
          <w:sz w:val="18"/>
          <w:szCs w:val="18"/>
          <w:color w:val="auto"/>
        </w:rPr>
      </w:pPr>
    </w:p>
    <w:p>
      <w:pPr>
        <w:ind w:left="1140" w:right="580" w:hanging="376"/>
        <w:spacing w:after="0" w:line="300" w:lineRule="auto"/>
        <w:tabs>
          <w:tab w:leader="none" w:pos="114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 xml:space="preserve">Employment by ExxonMobil of a family member of an executive officer,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the executive officer does not participate in decisions regarding the hiring, performance evaluation, or compensation of the family member.</w:t>
      </w:r>
    </w:p>
    <w:p>
      <w:pPr>
        <w:spacing w:after="0" w:line="131" w:lineRule="exact"/>
        <w:rPr>
          <w:sz w:val="20"/>
          <w:szCs w:val="20"/>
          <w:color w:val="auto"/>
        </w:rPr>
      </w:pPr>
    </w:p>
    <w:p>
      <w:pPr>
        <w:ind w:left="760" w:right="280"/>
        <w:spacing w:after="0" w:line="271" w:lineRule="auto"/>
        <w:rPr>
          <w:sz w:val="20"/>
          <w:szCs w:val="20"/>
          <w:color w:val="auto"/>
        </w:rPr>
      </w:pPr>
      <w:r>
        <w:rPr>
          <w:rFonts w:ascii="Arial" w:cs="Arial" w:eastAsia="Arial" w:hAnsi="Arial"/>
          <w:sz w:val="18"/>
          <w:szCs w:val="18"/>
          <w:color w:val="auto"/>
        </w:rPr>
        <w:t>Transactions or relationships not covered by the above standards will be assessed by the Nominating and Governance Committee on the basis of the specific facts and circumstances.</w:t>
      </w:r>
    </w:p>
    <w:p>
      <w:pPr>
        <w:spacing w:after="0" w:line="154" w:lineRule="exact"/>
        <w:rPr>
          <w:sz w:val="20"/>
          <w:szCs w:val="20"/>
          <w:color w:val="auto"/>
        </w:rPr>
      </w:pPr>
    </w:p>
    <w:p>
      <w:pPr>
        <w:ind w:left="760" w:right="100"/>
        <w:spacing w:after="0" w:line="271" w:lineRule="auto"/>
        <w:rPr>
          <w:sz w:val="20"/>
          <w:szCs w:val="20"/>
          <w:color w:val="auto"/>
        </w:rPr>
      </w:pPr>
      <w:r>
        <w:rPr>
          <w:rFonts w:ascii="Arial" w:cs="Arial" w:eastAsia="Arial" w:hAnsi="Arial"/>
          <w:sz w:val="18"/>
          <w:szCs w:val="18"/>
          <w:color w:val="auto"/>
        </w:rPr>
        <w:t>Unless otherwise noted, the following disclosures are made as of February 21, 2023, which is the date of the most recent Nominating and Governance Committee review of potential related person transactions.</w:t>
      </w:r>
    </w:p>
    <w:p>
      <w:pPr>
        <w:spacing w:after="0" w:line="154" w:lineRule="exact"/>
        <w:rPr>
          <w:sz w:val="20"/>
          <w:szCs w:val="20"/>
          <w:color w:val="auto"/>
        </w:rPr>
      </w:pPr>
    </w:p>
    <w:p>
      <w:pPr>
        <w:ind w:left="760" w:right="120"/>
        <w:spacing w:after="0" w:line="247" w:lineRule="auto"/>
        <w:rPr>
          <w:sz w:val="20"/>
          <w:szCs w:val="20"/>
          <w:color w:val="auto"/>
        </w:rPr>
      </w:pPr>
      <w:r>
        <w:rPr>
          <w:rFonts w:ascii="Arial" w:cs="Arial" w:eastAsia="Arial" w:hAnsi="Arial"/>
          <w:sz w:val="18"/>
          <w:szCs w:val="18"/>
          <w:color w:val="auto"/>
        </w:rPr>
        <w:t>ExxonMobil and its affiliates have more than 62,000 employees around the world, and employees related by birth or marriage may be found at all levels of the organization. ExxonMobil employees do not receive preferential treatment by reason of being related to an executive officer, and executive officers do not participate in hiring, performance evaluation, or compensation decisions for family members.</w:t>
      </w:r>
    </w:p>
    <w:p>
      <w:pPr>
        <w:spacing w:after="0" w:line="174" w:lineRule="exact"/>
        <w:rPr>
          <w:sz w:val="20"/>
          <w:szCs w:val="20"/>
          <w:color w:val="auto"/>
        </w:rPr>
      </w:pPr>
    </w:p>
    <w:p>
      <w:pPr>
        <w:ind w:left="760"/>
        <w:spacing w:after="0" w:line="252" w:lineRule="auto"/>
        <w:rPr>
          <w:sz w:val="20"/>
          <w:szCs w:val="20"/>
          <w:color w:val="auto"/>
        </w:rPr>
      </w:pPr>
      <w:r>
        <w:rPr>
          <w:rFonts w:ascii="Arial" w:cs="Arial" w:eastAsia="Arial" w:hAnsi="Arial"/>
          <w:sz w:val="17"/>
          <w:szCs w:val="17"/>
          <w:color w:val="auto"/>
        </w:rPr>
        <w:t>Several current ExxonMobil executive officers and retirees who served as executive officers in 2022 have family members who are employed by the Corporation or its affiliates and whose current annualized compensation (including benefits) exceeds the SEC disclosure threshold of $120,000: L.D. DuCharme (President – ExxonMobil Technology and Engineering Company) has a spouse employed by ExxonMobil Upstream Company; L.M. Mallon (President – ExxonMobil Upstream Company) has a son employed by ExxonMobil Upstream Company; K.T. McKee (President – ExxonMobil Product Solutions Company) has a spouse employed by ExxonMobil Product Solutions Company; and D.L. Talley (Vice President</w:t>
      </w:r>
    </w:p>
    <w:p>
      <w:pPr>
        <w:spacing w:after="0" w:line="2" w:lineRule="exact"/>
        <w:rPr>
          <w:sz w:val="20"/>
          <w:szCs w:val="20"/>
          <w:color w:val="auto"/>
        </w:rPr>
      </w:pPr>
    </w:p>
    <w:p>
      <w:pPr>
        <w:ind w:left="760"/>
        <w:spacing w:after="0" w:line="239" w:lineRule="auto"/>
        <w:rPr>
          <w:sz w:val="20"/>
          <w:szCs w:val="20"/>
          <w:color w:val="auto"/>
        </w:rPr>
      </w:pPr>
      <w:r>
        <w:rPr>
          <w:rFonts w:ascii="Arial" w:cs="Arial" w:eastAsia="Arial" w:hAnsi="Arial"/>
          <w:sz w:val="18"/>
          <w:szCs w:val="18"/>
          <w:color w:val="auto"/>
        </w:rPr>
        <w:t>– Corporate Strategic Planning) has a brother employed by ExxonMobil Global Projects Company. Each employee mentioned above received total cash compensation in 2022 between $120,000 and $785,000. Pay earned was comparable to that of employees in similar positions. Employees are eligible to participate in benefit programs on the same basis as other eligible employees. Consistent with ExxonMobil’s guidelines described above, these relationships are not considered to be material within the related person transaction rules.</w:t>
      </w:r>
    </w:p>
    <w:p>
      <w:pPr>
        <w:spacing w:after="0" w:line="180" w:lineRule="exact"/>
        <w:rPr>
          <w:sz w:val="20"/>
          <w:szCs w:val="20"/>
          <w:color w:val="auto"/>
        </w:rPr>
      </w:pPr>
    </w:p>
    <w:p>
      <w:pPr>
        <w:ind w:left="760"/>
        <w:spacing w:after="0" w:line="247" w:lineRule="auto"/>
        <w:rPr>
          <w:sz w:val="20"/>
          <w:szCs w:val="20"/>
          <w:color w:val="auto"/>
        </w:rPr>
      </w:pPr>
      <w:r>
        <w:rPr>
          <w:rFonts w:ascii="Arial" w:cs="Arial" w:eastAsia="Arial" w:hAnsi="Arial"/>
          <w:sz w:val="18"/>
          <w:szCs w:val="18"/>
          <w:color w:val="auto"/>
        </w:rPr>
        <w:t>The Nominating and Governance Committee identified no transactions, relationships, or arrangements involving ExxonMobil’s non-employee directors or their immediate family members that could reasonably be expected to give rise to a reportable related person transaction under the SEC rules or ExxonMobil standards described above. See Director Independence on page 27.</w:t>
      </w:r>
    </w:p>
    <w:p>
      <w:pPr>
        <w:spacing w:after="0" w:line="174" w:lineRule="exact"/>
        <w:rPr>
          <w:sz w:val="20"/>
          <w:szCs w:val="20"/>
          <w:color w:val="auto"/>
        </w:rPr>
      </w:pPr>
    </w:p>
    <w:p>
      <w:pPr>
        <w:ind w:left="760" w:right="180"/>
        <w:spacing w:after="0" w:line="253" w:lineRule="auto"/>
        <w:rPr>
          <w:sz w:val="20"/>
          <w:szCs w:val="20"/>
          <w:color w:val="auto"/>
        </w:rPr>
      </w:pPr>
      <w:r>
        <w:rPr>
          <w:rFonts w:ascii="Arial" w:cs="Arial" w:eastAsia="Arial" w:hAnsi="Arial"/>
          <w:sz w:val="18"/>
          <w:szCs w:val="18"/>
          <w:color w:val="auto"/>
        </w:rPr>
        <w:t>The Committee also determined that no related person transactions occurred during the year involving any of the investors who have reported ownership of more than 5 percent of ExxonMobil’s outstanding common stock. See Certain Beneficial Owners on page 39.</w:t>
      </w:r>
    </w:p>
    <w:p>
      <w:pPr>
        <w:spacing w:after="0" w:line="169" w:lineRule="exact"/>
        <w:rPr>
          <w:sz w:val="20"/>
          <w:szCs w:val="20"/>
          <w:color w:val="auto"/>
        </w:rPr>
      </w:pPr>
    </w:p>
    <w:p>
      <w:pPr>
        <w:ind w:left="760" w:right="120"/>
        <w:spacing w:after="0" w:line="253" w:lineRule="auto"/>
        <w:rPr>
          <w:sz w:val="20"/>
          <w:szCs w:val="20"/>
          <w:color w:val="auto"/>
        </w:rPr>
      </w:pPr>
      <w:r>
        <w:rPr>
          <w:rFonts w:ascii="Arial" w:cs="Arial" w:eastAsia="Arial" w:hAnsi="Arial"/>
          <w:sz w:val="18"/>
          <w:szCs w:val="18"/>
          <w:color w:val="auto"/>
        </w:rPr>
        <w:t>ExxonMobil is not aware of any related person transactions required to be reported under applicable SEC rules since the beginning of the last fiscal year where our policies and procedures did not require review, or where such policies and procedures were not followed.</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2B4C9B"/>
        </w:rPr>
        <w:t>AUDIT COMMITTEE REPORT</w:t>
      </w:r>
    </w:p>
    <w:p>
      <w:pPr>
        <w:spacing w:after="0" w:line="128" w:lineRule="exact"/>
        <w:rPr>
          <w:sz w:val="20"/>
          <w:szCs w:val="20"/>
          <w:color w:val="auto"/>
        </w:rPr>
      </w:pPr>
    </w:p>
    <w:p>
      <w:pPr>
        <w:ind w:left="760" w:right="40"/>
        <w:spacing w:after="0"/>
        <w:rPr>
          <w:sz w:val="20"/>
          <w:szCs w:val="20"/>
          <w:color w:val="auto"/>
        </w:rPr>
      </w:pPr>
      <w:r>
        <w:rPr>
          <w:rFonts w:ascii="Arial" w:cs="Arial" w:eastAsia="Arial" w:hAnsi="Arial"/>
          <w:sz w:val="18"/>
          <w:szCs w:val="18"/>
          <w:color w:val="auto"/>
        </w:rPr>
        <w:t xml:space="preserve">The primary function of the Audit Committee is oversight of the Corporation’s financial reporting process, public financial reports, internal accounting and financial controls, and the independent audit of the annual consolidated financial statements. The Committee acts under a charter which can be found on the ExxonMobil website at </w:t>
      </w:r>
      <w:r>
        <w:rPr>
          <w:rFonts w:ascii="Arial" w:cs="Arial" w:eastAsia="Arial" w:hAnsi="Arial"/>
          <w:sz w:val="18"/>
          <w:szCs w:val="18"/>
          <w:i w:val="1"/>
          <w:iCs w:val="1"/>
          <w:color w:val="auto"/>
        </w:rPr>
        <w:t xml:space="preserve">exxonmobil.com/auditcommitteecharter. </w:t>
      </w:r>
      <w:r>
        <w:rPr>
          <w:rFonts w:ascii="Arial" w:cs="Arial" w:eastAsia="Arial" w:hAnsi="Arial"/>
          <w:sz w:val="18"/>
          <w:szCs w:val="18"/>
          <w:color w:val="auto"/>
        </w:rPr>
        <w:t>The adequacy of the charter is reviewed at least annually. All members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 Committee are independent directors, and the Committee met 10 times in 2022. In these meetings, as discussed in more detail below, it had extensive reports and discussions with the independent auditors, internal auditors, and members of management.</w:t>
      </w:r>
    </w:p>
    <w:p>
      <w:pPr>
        <w:spacing w:after="0" w:line="116"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54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480"/>
          </w:cols>
          <w:pgMar w:left="320" w:top="482" w:right="10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760" w:right="80"/>
        <w:spacing w:after="0" w:line="239" w:lineRule="auto"/>
        <w:rPr>
          <w:sz w:val="20"/>
          <w:szCs w:val="20"/>
          <w:color w:val="auto"/>
        </w:rPr>
      </w:pPr>
      <w:r>
        <w:rPr>
          <w:rFonts w:ascii="Arial" w:cs="Arial" w:eastAsia="Arial" w:hAnsi="Arial"/>
          <w:sz w:val="18"/>
          <w:szCs w:val="18"/>
          <w:color w:val="auto"/>
        </w:rPr>
        <w:t xml:space="preserve">In performing its oversight function, the Committee reviewed and discussed the consolidated financial statements with management and PricewaterhouseCoopers LLP (PwC), the independent auditors. Management and PwC indicated that the Corporation’s consolidated financial statements were fairly stated in accordance with generally accepted accounting principles. The Committee discussed significant accounting policies applied by the Corporation in its financial statements, as well as alternative treatments. It also discussed with PwC matters covered by Public Company Accounting Oversight Board (PCAOB) standards and the Commission, including PCAOB AS 1301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 In addition, the Committee reviewed and discussed management’s report on internal control over financial reporting and the related audits performed by PwC, which confirmed the effectiveness of the Corporation’s internal control over financial reporting.</w:t>
      </w:r>
    </w:p>
    <w:p>
      <w:pPr>
        <w:spacing w:after="0" w:line="183" w:lineRule="exact"/>
        <w:rPr>
          <w:sz w:val="20"/>
          <w:szCs w:val="20"/>
          <w:color w:val="auto"/>
        </w:rPr>
      </w:pPr>
    </w:p>
    <w:p>
      <w:pPr>
        <w:ind w:left="760" w:right="20"/>
        <w:spacing w:after="0" w:line="247" w:lineRule="auto"/>
        <w:rPr>
          <w:sz w:val="20"/>
          <w:szCs w:val="20"/>
          <w:color w:val="auto"/>
        </w:rPr>
      </w:pPr>
      <w:r>
        <w:rPr>
          <w:rFonts w:ascii="Arial" w:cs="Arial" w:eastAsia="Arial" w:hAnsi="Arial"/>
          <w:sz w:val="18"/>
          <w:szCs w:val="18"/>
          <w:color w:val="auto"/>
        </w:rPr>
        <w:t>The Audit Committee also reviewed the written disclosure and the letter from PwC required by the PCAOB rules regarding PwC’s communications with the Audit Committee concerning independence, and has discussed with PwC its independence from the Corporation and management. The Committee considered the non-audit services provided by PwC to the Corporation, and concluded that the auditors’ independence has been maintained.</w:t>
      </w:r>
    </w:p>
    <w:p>
      <w:pPr>
        <w:spacing w:after="0" w:line="174" w:lineRule="exact"/>
        <w:rPr>
          <w:sz w:val="20"/>
          <w:szCs w:val="20"/>
          <w:color w:val="auto"/>
        </w:rPr>
      </w:pPr>
    </w:p>
    <w:p>
      <w:pPr>
        <w:ind w:left="760"/>
        <w:spacing w:after="0" w:line="247" w:lineRule="auto"/>
        <w:rPr>
          <w:sz w:val="20"/>
          <w:szCs w:val="20"/>
          <w:color w:val="auto"/>
        </w:rPr>
      </w:pPr>
      <w:r>
        <w:rPr>
          <w:rFonts w:ascii="Arial" w:cs="Arial" w:eastAsia="Arial" w:hAnsi="Arial"/>
          <w:sz w:val="18"/>
          <w:szCs w:val="18"/>
          <w:color w:val="auto"/>
        </w:rPr>
        <w:t>The Committee discussed with the Corporation’s internal auditors and PwC the overall scope and plans for their respective audits; furthermore, it met regularly with the internal auditors and PwC, both with and without management present. Discussions included the results of their examinations, their evaluations of the Corporation’s internal controls, and the overall quality of the Corporation’s financial reporting.</w:t>
      </w:r>
    </w:p>
    <w:p>
      <w:pPr>
        <w:spacing w:after="0" w:line="174" w:lineRule="exact"/>
        <w:rPr>
          <w:sz w:val="20"/>
          <w:szCs w:val="20"/>
          <w:color w:val="auto"/>
        </w:rPr>
      </w:pPr>
    </w:p>
    <w:p>
      <w:pPr>
        <w:ind w:left="760" w:right="120"/>
        <w:spacing w:after="0" w:line="247" w:lineRule="auto"/>
        <w:rPr>
          <w:sz w:val="20"/>
          <w:szCs w:val="20"/>
          <w:color w:val="auto"/>
        </w:rPr>
      </w:pPr>
      <w:r>
        <w:rPr>
          <w:rFonts w:ascii="Arial" w:cs="Arial" w:eastAsia="Arial" w:hAnsi="Arial"/>
          <w:sz w:val="18"/>
          <w:szCs w:val="18"/>
          <w:color w:val="auto"/>
        </w:rPr>
        <w:t>The Audit Committee met with the Corporation’s management to discuss the comprehensive, long-standing risk management and compliance processes of the Corporation, and reviewed several topics of interest. The Committee also reviewed the Company’s cybersecurity assurance program including mitigations for evolving risk areas and external maturity assessment results.</w:t>
      </w:r>
    </w:p>
    <w:p>
      <w:pPr>
        <w:spacing w:after="0" w:line="174" w:lineRule="exact"/>
        <w:rPr>
          <w:sz w:val="20"/>
          <w:szCs w:val="20"/>
          <w:color w:val="auto"/>
        </w:rPr>
      </w:pPr>
    </w:p>
    <w:p>
      <w:pPr>
        <w:ind w:left="760" w:right="460"/>
        <w:spacing w:after="0" w:line="247" w:lineRule="auto"/>
        <w:rPr>
          <w:sz w:val="20"/>
          <w:szCs w:val="20"/>
          <w:color w:val="auto"/>
        </w:rPr>
      </w:pPr>
      <w:r>
        <w:rPr>
          <w:rFonts w:ascii="Arial" w:cs="Arial" w:eastAsia="Arial" w:hAnsi="Arial"/>
          <w:sz w:val="18"/>
          <w:szCs w:val="18"/>
          <w:color w:val="auto"/>
        </w:rPr>
        <w:t xml:space="preserve">Based on the reviews and discussions referred to above, in reliance on management and PwC, and subject to the limitations of its role described below, the Audit Committee recommended to the Board, and the Board approved, the inclusion of the audited financial statements in the Corporation’s </w:t>
      </w:r>
      <w:r>
        <w:rPr>
          <w:rFonts w:ascii="Arial" w:cs="Arial" w:eastAsia="Arial" w:hAnsi="Arial"/>
          <w:sz w:val="18"/>
          <w:szCs w:val="18"/>
          <w:i w:val="1"/>
          <w:iCs w:val="1"/>
          <w:color w:val="auto"/>
        </w:rPr>
        <w:t>Annual Report on Form 10-K</w:t>
      </w:r>
      <w:r>
        <w:rPr>
          <w:rFonts w:ascii="Arial" w:cs="Arial" w:eastAsia="Arial" w:hAnsi="Arial"/>
          <w:sz w:val="18"/>
          <w:szCs w:val="18"/>
          <w:color w:val="auto"/>
        </w:rPr>
        <w:t xml:space="preserve"> for the year ended December 31, 2022, for filing with the SEC.</w:t>
      </w:r>
    </w:p>
    <w:p>
      <w:pPr>
        <w:spacing w:after="0" w:line="174" w:lineRule="exact"/>
        <w:rPr>
          <w:sz w:val="20"/>
          <w:szCs w:val="20"/>
          <w:color w:val="auto"/>
        </w:rPr>
      </w:pPr>
    </w:p>
    <w:p>
      <w:pPr>
        <w:ind w:left="760" w:right="80"/>
        <w:spacing w:after="0" w:line="238" w:lineRule="auto"/>
        <w:rPr>
          <w:sz w:val="20"/>
          <w:szCs w:val="20"/>
          <w:color w:val="auto"/>
        </w:rPr>
      </w:pPr>
      <w:r>
        <w:rPr>
          <w:rFonts w:ascii="Arial" w:cs="Arial" w:eastAsia="Arial" w:hAnsi="Arial"/>
          <w:sz w:val="18"/>
          <w:szCs w:val="18"/>
          <w:color w:val="auto"/>
        </w:rPr>
        <w:t>In carrying out its responsibilities, the Audit Committee looks to management and the independent auditors. Management is responsible for the preparation and fair presentation of the Corporation’s financial statements and for maintaining effective internal control. Management is also responsible for assessing and maintaining the effectiveness of internal control over the financial reporting process in compliance with Sarbanes-Oxley Section 404 requirements. The independent auditors are responsible for auditing the Corporation’s annual financial statements, and expressing an opinion as to whether the statements are fairly stated in conformity with generally accepted accounting principles. In addition, the independent auditors are responsible for auditing the Corporation’s internal control over financial reporting and for expressing an opinion on the effectiveness of internal control over financial reporting. The independent auditors perform their responsibilities in accordance with the standards of the PCAOB. Audit Committee members are not professionally engaged in the practice of accounting or auditing, and are not experts under the Securities Act of 1933 in either of those fields or in auditor independence.</w:t>
      </w:r>
    </w:p>
    <w:p>
      <w:pPr>
        <w:spacing w:after="0" w:line="186" w:lineRule="exact"/>
        <w:rPr>
          <w:sz w:val="20"/>
          <w:szCs w:val="20"/>
          <w:color w:val="auto"/>
        </w:rPr>
      </w:pPr>
    </w:p>
    <w:p>
      <w:pPr>
        <w:ind w:left="760" w:right="280"/>
        <w:spacing w:after="0" w:line="244" w:lineRule="auto"/>
        <w:rPr>
          <w:sz w:val="20"/>
          <w:szCs w:val="20"/>
          <w:color w:val="auto"/>
        </w:rPr>
      </w:pPr>
      <w:r>
        <w:rPr>
          <w:rFonts w:ascii="Arial" w:cs="Arial" w:eastAsia="Arial" w:hAnsi="Arial"/>
          <w:sz w:val="18"/>
          <w:szCs w:val="18"/>
          <w:color w:val="auto"/>
        </w:rPr>
        <w:t>The Audit Committee has also appointed PwC to audit the Corporation’s financial statements for 2023, subject to shareholder ratification of that appointment. The Committee, along with the other members of the Board, management, the Controller, and the General Auditor, annually evaluates PwC’s qualifications, performance and independence, including the performance of the lead audit partner, in deciding whether to retain PwC. That evaluation includes consideration of:</w:t>
      </w:r>
    </w:p>
    <w:p>
      <w:pPr>
        <w:spacing w:after="0" w:line="82" w:lineRule="exact"/>
        <w:rPr>
          <w:sz w:val="20"/>
          <w:szCs w:val="20"/>
          <w:color w:val="auto"/>
        </w:rPr>
      </w:pPr>
    </w:p>
    <w:p>
      <w:pPr>
        <w:ind w:left="1140" w:right="240" w:hanging="376"/>
        <w:spacing w:after="0" w:line="270" w:lineRule="auto"/>
        <w:tabs>
          <w:tab w:leader="none" w:pos="114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PwC’s quality control, including any material issues identified by that quality control or a governmental/professional authority along with PwC’s plan to deal with any such issues;</w:t>
      </w:r>
    </w:p>
    <w:p>
      <w:pPr>
        <w:spacing w:after="0" w:line="5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All relationships between PwC and ExxonMobil covered by the PCAOB;</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PwC’s expertise in the global oil and gas industry; and</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quality of PwC’s audit plans.</w:t>
      </w:r>
    </w:p>
    <w:p>
      <w:pPr>
        <w:spacing w:after="0" w:line="224" w:lineRule="exact"/>
        <w:rPr>
          <w:sz w:val="20"/>
          <w:szCs w:val="20"/>
          <w:color w:val="auto"/>
        </w:rPr>
      </w:pPr>
    </w:p>
    <w:p>
      <w:pPr>
        <w:ind w:left="760" w:right="40"/>
        <w:spacing w:after="0" w:line="253" w:lineRule="auto"/>
        <w:rPr>
          <w:sz w:val="20"/>
          <w:szCs w:val="20"/>
          <w:color w:val="auto"/>
        </w:rPr>
      </w:pPr>
      <w:r>
        <w:rPr>
          <w:rFonts w:ascii="Arial" w:cs="Arial" w:eastAsia="Arial" w:hAnsi="Arial"/>
          <w:sz w:val="18"/>
          <w:szCs w:val="18"/>
          <w:color w:val="auto"/>
        </w:rPr>
        <w:t>The Committee believes that PwC’s tenure as ExxonMobil’s independent registered public accounting firm is a benefit to audit quality given PwC’s experience with ExxonMobil and knowledge of the business, as well as the effectiveness of their audit plans, which build on that established knowledge.</w:t>
      </w:r>
    </w:p>
    <w:p>
      <w:pPr>
        <w:spacing w:after="0" w:line="81"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42</w:t>
      </w:r>
      <w:r>
        <w:rPr>
          <w:sz w:val="20"/>
          <w:szCs w:val="20"/>
          <w:color w:val="auto"/>
        </w:rPr>
        <w:tab/>
      </w:r>
      <w:r>
        <w:rPr>
          <w:sz w:val="1"/>
          <w:szCs w:val="1"/>
          <w:color w:val="auto"/>
        </w:rPr>
        <w:drawing>
          <wp:inline distT="0" distB="0" distL="0" distR="0">
            <wp:extent cx="737235" cy="146050"/>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2023 Proxy Statement</w:t>
      </w:r>
    </w:p>
    <w:p>
      <w:pPr>
        <w:sectPr>
          <w:pgSz w:w="11900" w:h="16838" w:orient="portrait"/>
          <w:cols w:equalWidth="0" w:num="1">
            <w:col w:w="10480"/>
          </w:cols>
          <w:pgMar w:left="320" w:top="482" w:right="10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760" w:right="500"/>
        <w:spacing w:after="0" w:line="275" w:lineRule="auto"/>
        <w:rPr>
          <w:sz w:val="20"/>
          <w:szCs w:val="20"/>
          <w:color w:val="auto"/>
        </w:rPr>
      </w:pPr>
      <w:r>
        <w:rPr>
          <w:rFonts w:ascii="Arial" w:cs="Arial" w:eastAsia="Arial" w:hAnsi="Arial"/>
          <w:sz w:val="17"/>
          <w:szCs w:val="17"/>
          <w:color w:val="auto"/>
        </w:rPr>
        <w:t>Based on its annual evaluation of PwC’s qualifications, performance, and independence, as well as frequent private meetings with the lead partner, the Audit Committee believes that the continued retention of PwC as ExxonMobil’s independent registered public accounting firm is in the best interest of the Corporation and its stockholders.</w:t>
      </w:r>
    </w:p>
    <w:p>
      <w:pPr>
        <w:sectPr>
          <w:pgSz w:w="11900" w:h="16838" w:orient="portrait"/>
          <w:cols w:equalWidth="0" w:num="1">
            <w:col w:w="10440"/>
          </w:cols>
          <w:pgMar w:left="320" w:top="482" w:right="1139" w:bottom="1440" w:gutter="0" w:footer="0" w:header="0"/>
        </w:sectPr>
      </w:pPr>
    </w:p>
    <w:p>
      <w:pPr>
        <w:spacing w:after="0" w:line="17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Ursula M. Burns, Chair</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Michael J. Angelakis</w:t>
      </w:r>
    </w:p>
    <w:p>
      <w:pPr>
        <w:ind w:left="760"/>
        <w:spacing w:after="0"/>
        <w:rPr>
          <w:sz w:val="20"/>
          <w:szCs w:val="20"/>
          <w:color w:val="auto"/>
        </w:rPr>
      </w:pPr>
      <w:r>
        <w:rPr>
          <w:rFonts w:ascii="Arial" w:cs="Arial" w:eastAsia="Arial" w:hAnsi="Arial"/>
          <w:sz w:val="18"/>
          <w:szCs w:val="18"/>
          <w:color w:val="auto"/>
        </w:rPr>
        <w:t>Gregory J. Goff</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John D. Harris II</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Kaisa H. Hietala</w:t>
      </w:r>
    </w:p>
    <w:p>
      <w:pPr>
        <w:spacing w:after="0" w:line="391" w:lineRule="exact"/>
        <w:rPr>
          <w:sz w:val="20"/>
          <w:szCs w:val="20"/>
          <w:color w:val="auto"/>
        </w:rPr>
      </w:pPr>
    </w:p>
    <w:p>
      <w:pPr>
        <w:sectPr>
          <w:pgSz w:w="11900" w:h="16838" w:orient="portrait"/>
          <w:cols w:equalWidth="0" w:num="2">
            <w:col w:w="5100" w:space="720"/>
            <w:col w:w="4620"/>
          </w:cols>
          <w:pgMar w:left="320" w:top="482" w:right="1139" w:bottom="1440" w:gutter="0" w:footer="0" w:header="0"/>
          <w:type w:val="continuous"/>
        </w:sectPr>
      </w:pPr>
    </w:p>
    <w:p>
      <w:pPr>
        <w:ind w:left="760"/>
        <w:spacing w:after="0"/>
        <w:rPr>
          <w:sz w:val="20"/>
          <w:szCs w:val="20"/>
          <w:color w:val="auto"/>
        </w:rPr>
      </w:pPr>
      <w:r>
        <w:rPr>
          <w:rFonts w:ascii="Arial" w:cs="Arial" w:eastAsia="Arial" w:hAnsi="Arial"/>
          <w:sz w:val="20"/>
          <w:szCs w:val="20"/>
          <w:b w:val="1"/>
          <w:bCs w:val="1"/>
          <w:color w:val="auto"/>
        </w:rPr>
        <w:t>Item 2 – Ratification of Independent Auditors</w:t>
      </w:r>
    </w:p>
    <w:p>
      <w:pPr>
        <w:spacing w:after="0" w:line="9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Audit Committee has appointed PricewaterhouseCoopers LLP to audit ExxonMobil’s financial statements for 2023.</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are asking you to ratify that appointment.</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Total Fees</w:t>
      </w:r>
    </w:p>
    <w:p>
      <w:pPr>
        <w:spacing w:after="0" w:line="104" w:lineRule="exact"/>
        <w:rPr>
          <w:sz w:val="20"/>
          <w:szCs w:val="20"/>
          <w:color w:val="auto"/>
        </w:rPr>
      </w:pPr>
    </w:p>
    <w:p>
      <w:pPr>
        <w:ind w:left="760" w:right="400"/>
        <w:spacing w:after="0" w:line="244" w:lineRule="auto"/>
        <w:rPr>
          <w:sz w:val="20"/>
          <w:szCs w:val="20"/>
          <w:color w:val="auto"/>
        </w:rPr>
      </w:pPr>
      <w:r>
        <w:rPr>
          <w:rFonts w:ascii="Arial" w:cs="Arial" w:eastAsia="Arial" w:hAnsi="Arial"/>
          <w:sz w:val="18"/>
          <w:szCs w:val="18"/>
          <w:color w:val="auto"/>
        </w:rPr>
        <w:t xml:space="preserve">The total fees for PwC professional services rendered to ExxonMobil for the year ended December 31, 2022, were $41.9 million, an increase of $1.0 million from 2021. The Audit Committee reviewed and pre-approved all services in accordance with the service pre-approval policies and procedures, which can be found on the ExxonMobil website at </w:t>
      </w:r>
      <w:r>
        <w:rPr>
          <w:rFonts w:ascii="Arial" w:cs="Arial" w:eastAsia="Arial" w:hAnsi="Arial"/>
          <w:sz w:val="18"/>
          <w:szCs w:val="18"/>
          <w:i w:val="1"/>
          <w:iCs w:val="1"/>
          <w:color w:val="auto"/>
        </w:rPr>
        <w:t xml:space="preserve">exxonmobil.com/pre-approval. </w:t>
      </w:r>
      <w:r>
        <w:rPr>
          <w:rFonts w:ascii="Arial" w:cs="Arial" w:eastAsia="Arial" w:hAnsi="Arial"/>
          <w:sz w:val="18"/>
          <w:szCs w:val="18"/>
          <w:color w:val="auto"/>
        </w:rPr>
        <w:t>The Audit Committee did not use the “de minimis” exception to pre-approval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under SEC rules. The following table summarizes the fees, which are described in more detail below.</w:t>
      </w:r>
    </w:p>
    <w:p>
      <w:pPr>
        <w:spacing w:after="0" w:line="208" w:lineRule="exact"/>
        <w:rPr>
          <w:sz w:val="20"/>
          <w:szCs w:val="20"/>
          <w:color w:val="auto"/>
        </w:rPr>
      </w:pPr>
    </w:p>
    <w:tbl>
      <w:tblPr>
        <w:tblLayout w:type="fixed"/>
        <w:tblInd w:w="3540" w:type="dxa"/>
        <w:tblCellMar>
          <w:top w:w="0" w:type="dxa"/>
          <w:left w:w="0" w:type="dxa"/>
          <w:bottom w:w="0" w:type="dxa"/>
          <w:right w:w="0" w:type="dxa"/>
        </w:tblCellMar>
      </w:tblPr>
      <w:tr>
        <w:trPr>
          <w:trHeight w:val="203"/>
        </w:trPr>
        <w:tc>
          <w:tcPr>
            <w:tcW w:w="140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Arial" w:cs="Arial" w:eastAsia="Arial" w:hAnsi="Arial"/>
                <w:sz w:val="16"/>
                <w:szCs w:val="16"/>
                <w:b w:val="1"/>
                <w:bCs w:val="1"/>
                <w:color w:val="auto"/>
              </w:rPr>
              <w:t>2022</w:t>
            </w:r>
          </w:p>
        </w:tc>
        <w:tc>
          <w:tcPr>
            <w:tcW w:w="14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2021</w:t>
            </w:r>
          </w:p>
        </w:tc>
        <w:tc>
          <w:tcPr>
            <w:tcW w:w="340" w:type="dxa"/>
            <w:vAlign w:val="bottom"/>
          </w:tcPr>
          <w:p>
            <w:pPr>
              <w:spacing w:after="0"/>
              <w:rPr>
                <w:sz w:val="17"/>
                <w:szCs w:val="17"/>
                <w:color w:val="auto"/>
              </w:rPr>
            </w:pPr>
          </w:p>
        </w:tc>
      </w:tr>
      <w:tr>
        <w:trPr>
          <w:trHeight w:val="192"/>
        </w:trPr>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140" w:type="dxa"/>
            <w:vAlign w:val="bottom"/>
            <w:tcBorders>
              <w:top w:val="single" w:sz="8" w:color="auto"/>
            </w:tcBorders>
            <w:gridSpan w:val="4"/>
          </w:tcPr>
          <w:p>
            <w:pPr>
              <w:ind w:left="300"/>
              <w:spacing w:after="0"/>
              <w:rPr>
                <w:sz w:val="20"/>
                <w:szCs w:val="20"/>
                <w:color w:val="auto"/>
              </w:rPr>
            </w:pPr>
            <w:r>
              <w:rPr>
                <w:rFonts w:ascii="Arial" w:cs="Arial" w:eastAsia="Arial" w:hAnsi="Arial"/>
                <w:sz w:val="14"/>
                <w:szCs w:val="14"/>
                <w:color w:val="auto"/>
              </w:rPr>
              <w:t>(millions of dollars)</w:t>
            </w:r>
          </w:p>
        </w:tc>
      </w:tr>
      <w:tr>
        <w:trPr>
          <w:trHeight w:val="220"/>
        </w:trPr>
        <w:tc>
          <w:tcPr>
            <w:tcW w:w="1400" w:type="dxa"/>
            <w:vAlign w:val="bottom"/>
            <w:shd w:val="clear" w:color="auto" w:fill="D4DBEB"/>
          </w:tcPr>
          <w:p>
            <w:pPr>
              <w:ind w:left="20"/>
              <w:spacing w:after="0"/>
              <w:rPr>
                <w:sz w:val="20"/>
                <w:szCs w:val="20"/>
                <w:color w:val="auto"/>
              </w:rPr>
            </w:pPr>
            <w:r>
              <w:rPr>
                <w:rFonts w:ascii="Arial" w:cs="Arial" w:eastAsia="Arial" w:hAnsi="Arial"/>
                <w:sz w:val="18"/>
                <w:szCs w:val="18"/>
                <w:color w:val="auto"/>
              </w:rPr>
              <w:t>Audit Fees</w:t>
            </w:r>
          </w:p>
        </w:tc>
        <w:tc>
          <w:tcPr>
            <w:tcW w:w="1040" w:type="dxa"/>
            <w:vAlign w:val="bottom"/>
            <w:gridSpan w:val="3"/>
            <w:shd w:val="clear" w:color="auto" w:fill="D4DBEB"/>
          </w:tcPr>
          <w:p>
            <w:pPr>
              <w:jc w:val="right"/>
              <w:spacing w:after="0"/>
              <w:rPr>
                <w:sz w:val="20"/>
                <w:szCs w:val="20"/>
                <w:color w:val="auto"/>
              </w:rPr>
            </w:pPr>
            <w:r>
              <w:rPr>
                <w:rFonts w:ascii="Arial" w:cs="Arial" w:eastAsia="Arial" w:hAnsi="Arial"/>
                <w:sz w:val="18"/>
                <w:szCs w:val="18"/>
                <w:color w:val="auto"/>
              </w:rPr>
              <w:t>35.4</w:t>
            </w:r>
          </w:p>
        </w:tc>
        <w:tc>
          <w:tcPr>
            <w:tcW w:w="1400" w:type="dxa"/>
            <w:vAlign w:val="bottom"/>
            <w:gridSpan w:val="2"/>
            <w:shd w:val="clear" w:color="auto" w:fill="D4DBEB"/>
          </w:tcPr>
          <w:p>
            <w:pPr>
              <w:jc w:val="right"/>
              <w:spacing w:after="0"/>
              <w:rPr>
                <w:sz w:val="20"/>
                <w:szCs w:val="20"/>
                <w:color w:val="auto"/>
              </w:rPr>
            </w:pPr>
            <w:r>
              <w:rPr>
                <w:rFonts w:ascii="Arial" w:cs="Arial" w:eastAsia="Arial" w:hAnsi="Arial"/>
                <w:sz w:val="18"/>
                <w:szCs w:val="18"/>
                <w:color w:val="auto"/>
              </w:rPr>
              <w:t>34.1</w:t>
            </w:r>
          </w:p>
        </w:tc>
        <w:tc>
          <w:tcPr>
            <w:tcW w:w="340" w:type="dxa"/>
            <w:vAlign w:val="bottom"/>
            <w:shd w:val="clear" w:color="auto" w:fill="D4DBEB"/>
          </w:tcPr>
          <w:p>
            <w:pPr>
              <w:spacing w:after="0"/>
              <w:rPr>
                <w:sz w:val="19"/>
                <w:szCs w:val="19"/>
                <w:color w:val="auto"/>
              </w:rPr>
            </w:pPr>
          </w:p>
        </w:tc>
      </w:tr>
      <w:tr>
        <w:trPr>
          <w:trHeight w:val="197"/>
        </w:trPr>
        <w:tc>
          <w:tcPr>
            <w:tcW w:w="1400" w:type="dxa"/>
            <w:vAlign w:val="bottom"/>
          </w:tcPr>
          <w:p>
            <w:pPr>
              <w:ind w:left="20"/>
              <w:spacing w:after="0" w:line="197" w:lineRule="exact"/>
              <w:rPr>
                <w:sz w:val="20"/>
                <w:szCs w:val="20"/>
                <w:color w:val="auto"/>
              </w:rPr>
            </w:pPr>
            <w:r>
              <w:rPr>
                <w:rFonts w:ascii="Arial" w:cs="Arial" w:eastAsia="Arial" w:hAnsi="Arial"/>
                <w:sz w:val="18"/>
                <w:szCs w:val="18"/>
                <w:color w:val="auto"/>
              </w:rPr>
              <w:t>Audit-Related</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35"/>
        </w:trPr>
        <w:tc>
          <w:tcPr>
            <w:tcW w:w="1400" w:type="dxa"/>
            <w:vAlign w:val="bottom"/>
          </w:tcPr>
          <w:p>
            <w:pPr>
              <w:ind w:left="20"/>
              <w:spacing w:after="0"/>
              <w:rPr>
                <w:sz w:val="20"/>
                <w:szCs w:val="20"/>
                <w:color w:val="auto"/>
              </w:rPr>
            </w:pPr>
            <w:r>
              <w:rPr>
                <w:rFonts w:ascii="Arial" w:cs="Arial" w:eastAsia="Arial" w:hAnsi="Arial"/>
                <w:sz w:val="18"/>
                <w:szCs w:val="18"/>
                <w:color w:val="auto"/>
              </w:rPr>
              <w:t>Fees</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20"/>
                <w:szCs w:val="20"/>
                <w:color w:val="auto"/>
              </w:rPr>
            </w:pPr>
          </w:p>
        </w:tc>
      </w:tr>
      <w:tr>
        <w:trPr>
          <w:trHeight w:val="216"/>
        </w:trPr>
        <w:tc>
          <w:tcPr>
            <w:tcW w:w="1400" w:type="dxa"/>
            <w:vAlign w:val="bottom"/>
            <w:shd w:val="clear" w:color="auto" w:fill="D4DBEB"/>
          </w:tcPr>
          <w:p>
            <w:pPr>
              <w:ind w:left="20"/>
              <w:spacing w:after="0"/>
              <w:rPr>
                <w:sz w:val="20"/>
                <w:szCs w:val="20"/>
                <w:color w:val="auto"/>
              </w:rPr>
            </w:pPr>
            <w:r>
              <w:rPr>
                <w:rFonts w:ascii="Arial" w:cs="Arial" w:eastAsia="Arial" w:hAnsi="Arial"/>
                <w:sz w:val="18"/>
                <w:szCs w:val="18"/>
                <w:color w:val="auto"/>
              </w:rPr>
              <w:t>Tax Fees</w:t>
            </w:r>
          </w:p>
        </w:tc>
        <w:tc>
          <w:tcPr>
            <w:tcW w:w="1040" w:type="dxa"/>
            <w:vAlign w:val="bottom"/>
            <w:gridSpan w:val="3"/>
            <w:shd w:val="clear" w:color="auto" w:fill="D4DBEB"/>
          </w:tcPr>
          <w:p>
            <w:pPr>
              <w:jc w:val="right"/>
              <w:spacing w:after="0"/>
              <w:rPr>
                <w:sz w:val="20"/>
                <w:szCs w:val="20"/>
                <w:color w:val="auto"/>
              </w:rPr>
            </w:pPr>
            <w:r>
              <w:rPr>
                <w:rFonts w:ascii="Arial" w:cs="Arial" w:eastAsia="Arial" w:hAnsi="Arial"/>
                <w:sz w:val="18"/>
                <w:szCs w:val="18"/>
                <w:color w:val="auto"/>
              </w:rPr>
              <w:t>0.7</w:t>
            </w:r>
          </w:p>
        </w:tc>
        <w:tc>
          <w:tcPr>
            <w:tcW w:w="1400" w:type="dxa"/>
            <w:vAlign w:val="bottom"/>
            <w:gridSpan w:val="2"/>
            <w:shd w:val="clear" w:color="auto" w:fill="D4DBEB"/>
          </w:tcPr>
          <w:p>
            <w:pPr>
              <w:jc w:val="right"/>
              <w:spacing w:after="0"/>
              <w:rPr>
                <w:sz w:val="20"/>
                <w:szCs w:val="20"/>
                <w:color w:val="auto"/>
              </w:rPr>
            </w:pPr>
            <w:r>
              <w:rPr>
                <w:rFonts w:ascii="Arial" w:cs="Arial" w:eastAsia="Arial" w:hAnsi="Arial"/>
                <w:sz w:val="18"/>
                <w:szCs w:val="18"/>
                <w:color w:val="auto"/>
              </w:rPr>
              <w:t>1.0</w:t>
            </w:r>
          </w:p>
        </w:tc>
        <w:tc>
          <w:tcPr>
            <w:tcW w:w="340" w:type="dxa"/>
            <w:vAlign w:val="bottom"/>
            <w:shd w:val="clear" w:color="auto" w:fill="D4DBEB"/>
          </w:tcPr>
          <w:p>
            <w:pPr>
              <w:spacing w:after="0"/>
              <w:rPr>
                <w:sz w:val="18"/>
                <w:szCs w:val="18"/>
                <w:color w:val="auto"/>
              </w:rPr>
            </w:pPr>
          </w:p>
        </w:tc>
      </w:tr>
      <w:tr>
        <w:trPr>
          <w:trHeight w:val="216"/>
        </w:trPr>
        <w:tc>
          <w:tcPr>
            <w:tcW w:w="1400" w:type="dxa"/>
            <w:vAlign w:val="bottom"/>
          </w:tcPr>
          <w:p>
            <w:pPr>
              <w:ind w:left="20"/>
              <w:spacing w:after="0"/>
              <w:rPr>
                <w:sz w:val="20"/>
                <w:szCs w:val="20"/>
                <w:color w:val="auto"/>
              </w:rPr>
            </w:pPr>
            <w:r>
              <w:rPr>
                <w:rFonts w:ascii="Arial" w:cs="Arial" w:eastAsia="Arial" w:hAnsi="Arial"/>
                <w:sz w:val="18"/>
                <w:szCs w:val="18"/>
                <w:color w:val="auto"/>
              </w:rPr>
              <w:t>All Other Fees</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0"/>
        </w:trPr>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43"/>
        </w:trPr>
        <w:tc>
          <w:tcPr>
            <w:tcW w:w="1400" w:type="dxa"/>
            <w:vAlign w:val="bottom"/>
            <w:shd w:val="clear" w:color="auto" w:fill="D4DBEB"/>
          </w:tcPr>
          <w:p>
            <w:pPr>
              <w:ind w:left="20"/>
              <w:spacing w:after="0"/>
              <w:rPr>
                <w:sz w:val="20"/>
                <w:szCs w:val="20"/>
                <w:color w:val="auto"/>
              </w:rPr>
            </w:pPr>
            <w:r>
              <w:rPr>
                <w:rFonts w:ascii="Arial" w:cs="Arial" w:eastAsia="Arial" w:hAnsi="Arial"/>
                <w:sz w:val="18"/>
                <w:szCs w:val="18"/>
                <w:color w:val="auto"/>
              </w:rPr>
              <w:t>Total</w:t>
            </w:r>
          </w:p>
        </w:tc>
        <w:tc>
          <w:tcPr>
            <w:tcW w:w="1040" w:type="dxa"/>
            <w:vAlign w:val="bottom"/>
            <w:gridSpan w:val="3"/>
            <w:shd w:val="clear" w:color="auto" w:fill="D4DBEB"/>
          </w:tcPr>
          <w:p>
            <w:pPr>
              <w:jc w:val="right"/>
              <w:spacing w:after="0"/>
              <w:rPr>
                <w:sz w:val="20"/>
                <w:szCs w:val="20"/>
                <w:color w:val="auto"/>
              </w:rPr>
            </w:pPr>
            <w:r>
              <w:rPr>
                <w:rFonts w:ascii="Arial" w:cs="Arial" w:eastAsia="Arial" w:hAnsi="Arial"/>
                <w:sz w:val="18"/>
                <w:szCs w:val="18"/>
                <w:color w:val="auto"/>
              </w:rPr>
              <w:t>41.9</w:t>
            </w:r>
          </w:p>
        </w:tc>
        <w:tc>
          <w:tcPr>
            <w:tcW w:w="1400" w:type="dxa"/>
            <w:vAlign w:val="bottom"/>
            <w:gridSpan w:val="2"/>
            <w:shd w:val="clear" w:color="auto" w:fill="D4DBEB"/>
          </w:tcPr>
          <w:p>
            <w:pPr>
              <w:jc w:val="right"/>
              <w:spacing w:after="0"/>
              <w:rPr>
                <w:sz w:val="20"/>
                <w:szCs w:val="20"/>
                <w:color w:val="auto"/>
              </w:rPr>
            </w:pPr>
            <w:r>
              <w:rPr>
                <w:rFonts w:ascii="Arial" w:cs="Arial" w:eastAsia="Arial" w:hAnsi="Arial"/>
                <w:sz w:val="18"/>
                <w:szCs w:val="18"/>
                <w:color w:val="auto"/>
              </w:rPr>
              <w:t>40.9</w:t>
            </w:r>
          </w:p>
        </w:tc>
        <w:tc>
          <w:tcPr>
            <w:tcW w:w="340" w:type="dxa"/>
            <w:vAlign w:val="bottom"/>
            <w:shd w:val="clear" w:color="auto" w:fill="D4DBEB"/>
          </w:tcPr>
          <w:p>
            <w:pPr>
              <w:spacing w:after="0"/>
              <w:rPr>
                <w:sz w:val="21"/>
                <w:szCs w:val="21"/>
                <w:color w:val="auto"/>
              </w:rPr>
            </w:pPr>
          </w:p>
        </w:tc>
      </w:tr>
    </w:tbl>
    <w:p>
      <w:pPr>
        <w:spacing w:after="0" w:line="19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Audit Fees</w:t>
      </w:r>
    </w:p>
    <w:p>
      <w:pPr>
        <w:spacing w:after="0" w:line="104" w:lineRule="exact"/>
        <w:rPr>
          <w:sz w:val="20"/>
          <w:szCs w:val="20"/>
          <w:color w:val="auto"/>
        </w:rPr>
      </w:pPr>
    </w:p>
    <w:p>
      <w:pPr>
        <w:ind w:left="760" w:right="40"/>
        <w:spacing w:after="0" w:line="253" w:lineRule="auto"/>
        <w:rPr>
          <w:sz w:val="20"/>
          <w:szCs w:val="20"/>
          <w:color w:val="auto"/>
        </w:rPr>
      </w:pPr>
      <w:r>
        <w:rPr>
          <w:rFonts w:ascii="Arial" w:cs="Arial" w:eastAsia="Arial" w:hAnsi="Arial"/>
          <w:sz w:val="18"/>
          <w:szCs w:val="18"/>
          <w:color w:val="auto"/>
        </w:rPr>
        <w:t>The aggregate fees for PwC professional services rendered for the annual audits of ExxonMobil’s financial statements for the year ended December 31, 2022, and for the reviews of the financial statements included in our quarterly reports on Form 10-Q for that year, were $35.4 million (versus $34.1 million for 2021).</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Audit-Related Fees</w:t>
      </w:r>
    </w:p>
    <w:p>
      <w:pPr>
        <w:spacing w:after="0" w:line="104" w:lineRule="exact"/>
        <w:rPr>
          <w:sz w:val="20"/>
          <w:szCs w:val="20"/>
          <w:color w:val="auto"/>
        </w:rPr>
      </w:pPr>
    </w:p>
    <w:p>
      <w:pPr>
        <w:ind w:left="760"/>
        <w:spacing w:after="0" w:line="253" w:lineRule="auto"/>
        <w:rPr>
          <w:sz w:val="20"/>
          <w:szCs w:val="20"/>
          <w:color w:val="auto"/>
        </w:rPr>
      </w:pPr>
      <w:r>
        <w:rPr>
          <w:rFonts w:ascii="Arial" w:cs="Arial" w:eastAsia="Arial" w:hAnsi="Arial"/>
          <w:sz w:val="18"/>
          <w:szCs w:val="18"/>
          <w:color w:val="auto"/>
        </w:rPr>
        <w:t>The aggregate fees for PwC Audit-Related services rendered to ExxonMobil for the year ended December 31, 2022, were $5.8 million (versus $5.8 million for 2021). Audit-related services were mainly related to benefit plan audits and other attestation procedures.</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Tax Fees</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aggregate fees for PwC Tax services rendered to ExxonMobil for the year ended December 31, 2022, were</w:t>
      </w:r>
    </w:p>
    <w:p>
      <w:pPr>
        <w:spacing w:after="0" w:line="14" w:lineRule="exact"/>
        <w:rPr>
          <w:sz w:val="20"/>
          <w:szCs w:val="20"/>
          <w:color w:val="auto"/>
        </w:rPr>
      </w:pPr>
    </w:p>
    <w:p>
      <w:pPr>
        <w:ind w:left="760" w:right="200"/>
        <w:spacing w:after="0" w:line="250" w:lineRule="auto"/>
        <w:rPr>
          <w:sz w:val="20"/>
          <w:szCs w:val="20"/>
          <w:color w:val="auto"/>
        </w:rPr>
      </w:pPr>
      <w:r>
        <w:rPr>
          <w:rFonts w:ascii="Arial" w:cs="Arial" w:eastAsia="Arial" w:hAnsi="Arial"/>
          <w:sz w:val="18"/>
          <w:szCs w:val="18"/>
          <w:color w:val="auto"/>
        </w:rPr>
        <w:t>$0.7 million (versus $1.0 million for 2021). These services were mainly related to assisting various ExxonMobil affiliates with the preparation of local tax filings and related services.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All Other Fees</w:t>
      </w:r>
    </w:p>
    <w:p>
      <w:pPr>
        <w:spacing w:after="0" w:line="104" w:lineRule="exact"/>
        <w:rPr>
          <w:sz w:val="20"/>
          <w:szCs w:val="20"/>
          <w:color w:val="auto"/>
        </w:rPr>
      </w:pPr>
    </w:p>
    <w:p>
      <w:pPr>
        <w:jc w:val="both"/>
        <w:ind w:left="760" w:right="420"/>
        <w:spacing w:after="0" w:line="301" w:lineRule="auto"/>
        <w:rPr>
          <w:sz w:val="20"/>
          <w:szCs w:val="20"/>
          <w:color w:val="auto"/>
        </w:rPr>
      </w:pPr>
      <w:r>
        <w:rPr>
          <w:rFonts w:ascii="Arial" w:cs="Arial" w:eastAsia="Arial" w:hAnsi="Arial"/>
          <w:sz w:val="17"/>
          <w:szCs w:val="17"/>
          <w:color w:val="auto"/>
        </w:rPr>
        <w:t>The aggregate fees for PwC services rendered to ExxonMobil, other than the services described above under “Audit Fees,” “Audit-Related Fees,” and “Tax Fees,” for the year ended December 31, 2022, were zero (also zero for 2021).</w:t>
      </w:r>
    </w:p>
    <w:p>
      <w:pPr>
        <w:spacing w:after="0" w:line="131" w:lineRule="exact"/>
        <w:rPr>
          <w:sz w:val="20"/>
          <w:szCs w:val="20"/>
          <w:color w:val="auto"/>
        </w:rPr>
      </w:pPr>
    </w:p>
    <w:p>
      <w:pPr>
        <w:ind w:left="760" w:right="460"/>
        <w:spacing w:after="0" w:line="271" w:lineRule="auto"/>
        <w:rPr>
          <w:sz w:val="20"/>
          <w:szCs w:val="20"/>
          <w:color w:val="auto"/>
        </w:rPr>
      </w:pPr>
      <w:r>
        <w:rPr>
          <w:rFonts w:ascii="Arial" w:cs="Arial" w:eastAsia="Arial" w:hAnsi="Arial"/>
          <w:sz w:val="18"/>
          <w:szCs w:val="18"/>
          <w:color w:val="auto"/>
        </w:rPr>
        <w:t>We believe PwC is well qualified to perform this work. A PwC representative will be at the annual meeting to answer appropriate questions and to make a statement if desired.</w:t>
      </w:r>
    </w:p>
    <w:p>
      <w:pPr>
        <w:spacing w:after="0" w:line="154"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2B4C9B"/>
        </w:rPr>
        <w:t>The Audit Committee recommends you vote FOR this proposal.</w:t>
      </w:r>
    </w:p>
    <w:p>
      <w:pPr>
        <w:spacing w:after="0" w:line="143"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54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440"/>
          </w:cols>
          <w:pgMar w:left="320" w:top="482" w:right="11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2B4C9B"/>
        </w:rPr>
        <w:t>COMPENSATION COMMITTEE REPORT</w:t>
      </w:r>
    </w:p>
    <w:p>
      <w:pPr>
        <w:spacing w:after="0" w:line="128" w:lineRule="exact"/>
        <w:rPr>
          <w:sz w:val="20"/>
          <w:szCs w:val="20"/>
          <w:color w:val="auto"/>
        </w:rPr>
      </w:pPr>
    </w:p>
    <w:p>
      <w:pPr>
        <w:jc w:val="both"/>
        <w:ind w:left="760" w:right="60"/>
        <w:spacing w:after="0" w:line="244" w:lineRule="auto"/>
        <w:rPr>
          <w:sz w:val="20"/>
          <w:szCs w:val="20"/>
          <w:color w:val="auto"/>
        </w:rPr>
      </w:pPr>
      <w:r>
        <w:rPr>
          <w:rFonts w:ascii="Arial" w:cs="Arial" w:eastAsia="Arial" w:hAnsi="Arial"/>
          <w:sz w:val="18"/>
          <w:szCs w:val="18"/>
          <w:color w:val="auto"/>
        </w:rPr>
        <w:t xml:space="preserve">The Compensation Committee of the Board of Directors has reviewed and discussed the Compensation Discussion and Analysis with management of the Corporation. Based on that review and discussion, we recommended to the Board that the Compensation Discussion and Analysis be included in the Corporation’s proxy statement for the 2023 annual meeting of shareholders, and also incorporated by reference in the Corporation’s </w:t>
      </w:r>
      <w:r>
        <w:rPr>
          <w:rFonts w:ascii="Arial" w:cs="Arial" w:eastAsia="Arial" w:hAnsi="Arial"/>
          <w:sz w:val="18"/>
          <w:szCs w:val="18"/>
          <w:i w:val="1"/>
          <w:iCs w:val="1"/>
          <w:color w:val="auto"/>
        </w:rPr>
        <w:t>Annual Report on Form 10-K</w:t>
      </w:r>
      <w:r>
        <w:rPr>
          <w:rFonts w:ascii="Arial" w:cs="Arial" w:eastAsia="Arial" w:hAnsi="Arial"/>
          <w:sz w:val="18"/>
          <w:szCs w:val="18"/>
          <w:color w:val="auto"/>
        </w:rPr>
        <w:t xml:space="preserve"> for the year ended December 31, 2022.</w:t>
      </w:r>
    </w:p>
    <w:p>
      <w:pPr>
        <w:sectPr>
          <w:pgSz w:w="11900" w:h="16838" w:orient="portrait"/>
          <w:cols w:equalWidth="0" w:num="1">
            <w:col w:w="10480"/>
          </w:cols>
          <w:pgMar w:left="320" w:top="482" w:right="1099" w:bottom="1440" w:gutter="0" w:footer="0" w:header="0"/>
        </w:sectPr>
      </w:pPr>
    </w:p>
    <w:p>
      <w:pPr>
        <w:spacing w:after="0" w:line="20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Angela F. Braly, Chair</w:t>
      </w:r>
    </w:p>
    <w:p>
      <w:pPr>
        <w:spacing w:after="0" w:line="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John D. Harris II</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Joseph L. Hooley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Steven A. Kandarian</w:t>
      </w:r>
    </w:p>
    <w:p>
      <w:pPr>
        <w:spacing w:after="0" w:line="189" w:lineRule="exact"/>
        <w:rPr>
          <w:sz w:val="20"/>
          <w:szCs w:val="20"/>
          <w:color w:val="auto"/>
        </w:rPr>
      </w:pPr>
    </w:p>
    <w:p>
      <w:pPr>
        <w:sectPr>
          <w:pgSz w:w="11900" w:h="16838" w:orient="portrait"/>
          <w:cols w:equalWidth="0" w:num="2">
            <w:col w:w="5100" w:space="720"/>
            <w:col w:w="4660"/>
          </w:cols>
          <w:pgMar w:left="320" w:top="482" w:right="1099" w:bottom="1440" w:gutter="0" w:footer="0" w:header="0"/>
          <w:type w:val="continuous"/>
        </w:sectPr>
      </w:pPr>
    </w:p>
    <w:p>
      <w:pPr>
        <w:ind w:left="760"/>
        <w:spacing w:after="0"/>
        <w:rPr>
          <w:sz w:val="20"/>
          <w:szCs w:val="20"/>
          <w:color w:val="auto"/>
        </w:rPr>
      </w:pPr>
      <w:r>
        <w:rPr>
          <w:rFonts w:ascii="Arial" w:cs="Arial" w:eastAsia="Arial" w:hAnsi="Arial"/>
          <w:sz w:val="20"/>
          <w:szCs w:val="20"/>
          <w:b w:val="1"/>
          <w:bCs w:val="1"/>
          <w:color w:val="auto"/>
        </w:rPr>
        <w:t>Item 3 – Advisory Vote to Approve Executive Compensation</w:t>
      </w:r>
    </w:p>
    <w:p>
      <w:pPr>
        <w:spacing w:after="0" w:line="99" w:lineRule="exact"/>
        <w:rPr>
          <w:sz w:val="20"/>
          <w:szCs w:val="20"/>
          <w:color w:val="auto"/>
        </w:rPr>
      </w:pPr>
    </w:p>
    <w:p>
      <w:pPr>
        <w:ind w:left="760" w:right="20"/>
        <w:spacing w:after="0" w:line="271" w:lineRule="auto"/>
        <w:rPr>
          <w:sz w:val="20"/>
          <w:szCs w:val="20"/>
          <w:color w:val="auto"/>
        </w:rPr>
      </w:pPr>
      <w:r>
        <w:rPr>
          <w:rFonts w:ascii="Arial" w:cs="Arial" w:eastAsia="Arial" w:hAnsi="Arial"/>
          <w:sz w:val="18"/>
          <w:szCs w:val="18"/>
          <w:color w:val="auto"/>
        </w:rPr>
        <w:t>At the meeting, shareholders will be asked to vote on a non-binding resolution to approve the compensation of the Named Executive Officers (NEOs) listed in the Summary Compensation Table.</w:t>
      </w:r>
    </w:p>
    <w:p>
      <w:pPr>
        <w:spacing w:after="0" w:line="154" w:lineRule="exact"/>
        <w:rPr>
          <w:sz w:val="20"/>
          <w:szCs w:val="20"/>
          <w:color w:val="auto"/>
        </w:rPr>
      </w:pPr>
    </w:p>
    <w:p>
      <w:pPr>
        <w:ind w:left="760" w:right="440"/>
        <w:spacing w:after="0" w:line="271" w:lineRule="auto"/>
        <w:rPr>
          <w:sz w:val="20"/>
          <w:szCs w:val="20"/>
          <w:color w:val="auto"/>
        </w:rPr>
      </w:pPr>
      <w:r>
        <w:rPr>
          <w:rFonts w:ascii="Arial" w:cs="Arial" w:eastAsia="Arial" w:hAnsi="Arial"/>
          <w:sz w:val="18"/>
          <w:szCs w:val="18"/>
          <w:color w:val="auto"/>
        </w:rPr>
        <w:t>When casting your vote, we encourage you to consider the detailed information in the Compensation Discussion and Analysis beginning on page 45.</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Board supports the overall design of the compensation program, on the basis that the program:</w:t>
      </w:r>
    </w:p>
    <w:p>
      <w:pPr>
        <w:spacing w:after="0" w:line="117" w:lineRule="exact"/>
        <w:rPr>
          <w:sz w:val="20"/>
          <w:szCs w:val="20"/>
          <w:color w:val="auto"/>
        </w:rPr>
      </w:pPr>
    </w:p>
    <w:p>
      <w:pPr>
        <w:ind w:left="1140" w:hanging="376"/>
        <w:spacing w:after="0"/>
        <w:tabs>
          <w:tab w:leader="none" w:pos="114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Is aligned with the Company’s business model and shareholder returns over the long term;</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Delivers pay that is highly performance based and tied to company and individual performance; and</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Enables the Compensation Committee to leverage its experience and judgment to deliver market competitive pay.</w:t>
      </w:r>
    </w:p>
    <w:p>
      <w:pPr>
        <w:spacing w:after="0" w:line="224" w:lineRule="exact"/>
        <w:rPr>
          <w:sz w:val="20"/>
          <w:szCs w:val="20"/>
          <w:color w:val="auto"/>
        </w:rPr>
      </w:pPr>
    </w:p>
    <w:p>
      <w:pPr>
        <w:ind w:left="760"/>
        <w:spacing w:after="0" w:line="247" w:lineRule="auto"/>
        <w:rPr>
          <w:sz w:val="20"/>
          <w:szCs w:val="20"/>
          <w:color w:val="auto"/>
        </w:rPr>
      </w:pPr>
      <w:r>
        <w:rPr>
          <w:rFonts w:ascii="Arial" w:cs="Arial" w:eastAsia="Arial" w:hAnsi="Arial"/>
          <w:sz w:val="18"/>
          <w:szCs w:val="18"/>
          <w:color w:val="auto"/>
        </w:rPr>
        <w:t>We continue to listen and respond to the feedback we receive from shareholders during our shareholder engagement process. In response, this disclosure builds on the enhancements introduced last year, focused on better illustrating the tie between business and individual performance and pay decisions. Furthermore, operating metrics have been updated to reflect the Company’s ongoing commitment to reducing emissions intensity.</w:t>
      </w:r>
    </w:p>
    <w:p>
      <w:pPr>
        <w:spacing w:after="0" w:line="174"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2B4C9B"/>
        </w:rPr>
        <w:t>The Board recommends an advisory vote FOR the following resolution:</w:t>
      </w:r>
    </w:p>
    <w:p>
      <w:pPr>
        <w:spacing w:after="0" w:line="212" w:lineRule="exact"/>
        <w:rPr>
          <w:sz w:val="20"/>
          <w:szCs w:val="20"/>
          <w:color w:val="auto"/>
        </w:rPr>
      </w:pPr>
    </w:p>
    <w:p>
      <w:pPr>
        <w:ind w:left="760" w:right="20"/>
        <w:spacing w:after="0" w:line="253" w:lineRule="auto"/>
        <w:rPr>
          <w:sz w:val="20"/>
          <w:szCs w:val="20"/>
          <w:color w:val="auto"/>
        </w:rPr>
      </w:pPr>
      <w:r>
        <w:rPr>
          <w:rFonts w:ascii="Arial" w:cs="Arial" w:eastAsia="Arial" w:hAnsi="Arial"/>
          <w:sz w:val="18"/>
          <w:szCs w:val="18"/>
          <w:color w:val="auto"/>
        </w:rPr>
        <w:t>RESOLVED: That shareholders approve the compensation of the Named Executive Officers as disclosed pursuant to Item 402 of SEC Regulation S-K, including the Compensation Discussion and Analysis, compensation tables, accompanying narrative, and additional compensation disclosures included in this proxy statement.</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Item 4 – Frequency of Advisory Vote on Executive Compensation</w:t>
      </w:r>
    </w:p>
    <w:p>
      <w:pPr>
        <w:spacing w:after="0" w:line="99" w:lineRule="exact"/>
        <w:rPr>
          <w:sz w:val="20"/>
          <w:szCs w:val="20"/>
          <w:color w:val="auto"/>
        </w:rPr>
      </w:pPr>
    </w:p>
    <w:p>
      <w:pPr>
        <w:ind w:left="760" w:right="440"/>
        <w:spacing w:after="0" w:line="271" w:lineRule="auto"/>
        <w:rPr>
          <w:sz w:val="20"/>
          <w:szCs w:val="20"/>
          <w:color w:val="auto"/>
        </w:rPr>
      </w:pPr>
      <w:r>
        <w:rPr>
          <w:rFonts w:ascii="Arial" w:cs="Arial" w:eastAsia="Arial" w:hAnsi="Arial"/>
          <w:sz w:val="18"/>
          <w:szCs w:val="18"/>
          <w:color w:val="auto"/>
        </w:rPr>
        <w:t>At the meeting, shareholders will be asked to vote on a non-binding resolution as to whether future advisory votes on executive compensation, similar to the preceding resolution, should be held every one, two, or three years.</w:t>
      </w:r>
    </w:p>
    <w:p>
      <w:pPr>
        <w:spacing w:after="0" w:line="154" w:lineRule="exact"/>
        <w:rPr>
          <w:sz w:val="20"/>
          <w:szCs w:val="20"/>
          <w:color w:val="auto"/>
        </w:rPr>
      </w:pPr>
    </w:p>
    <w:p>
      <w:pPr>
        <w:ind w:left="760"/>
        <w:spacing w:after="0" w:line="253" w:lineRule="auto"/>
        <w:rPr>
          <w:sz w:val="20"/>
          <w:szCs w:val="20"/>
          <w:color w:val="auto"/>
        </w:rPr>
      </w:pPr>
      <w:r>
        <w:rPr>
          <w:rFonts w:ascii="Arial" w:cs="Arial" w:eastAsia="Arial" w:hAnsi="Arial"/>
          <w:sz w:val="18"/>
          <w:szCs w:val="18"/>
          <w:color w:val="auto"/>
        </w:rPr>
        <w:t>The Board remains committed to ensuring the Company’s executive compensation program aligns with its business model and shareholders’ interests. We have a long-standing philosophy that executive compensation should be based on long-term performance, aligned with the investment lead times and risk profile of the business.</w:t>
      </w:r>
    </w:p>
    <w:p>
      <w:pPr>
        <w:spacing w:after="0" w:line="169" w:lineRule="exact"/>
        <w:rPr>
          <w:sz w:val="20"/>
          <w:szCs w:val="20"/>
          <w:color w:val="auto"/>
        </w:rPr>
      </w:pPr>
    </w:p>
    <w:p>
      <w:pPr>
        <w:ind w:left="760" w:right="60"/>
        <w:spacing w:after="0" w:line="253" w:lineRule="auto"/>
        <w:rPr>
          <w:sz w:val="20"/>
          <w:szCs w:val="20"/>
          <w:color w:val="auto"/>
        </w:rPr>
      </w:pPr>
      <w:r>
        <w:rPr>
          <w:rFonts w:ascii="Arial" w:cs="Arial" w:eastAsia="Arial" w:hAnsi="Arial"/>
          <w:sz w:val="18"/>
          <w:szCs w:val="18"/>
          <w:color w:val="auto"/>
        </w:rPr>
        <w:t xml:space="preserve">Consistent with our commitment to excellence in governance and responsiveness to shareholders, </w:t>
      </w:r>
      <w:r>
        <w:rPr>
          <w:rFonts w:ascii="Arial" w:cs="Arial" w:eastAsia="Arial" w:hAnsi="Arial"/>
          <w:sz w:val="18"/>
          <w:szCs w:val="18"/>
          <w:b w:val="1"/>
          <w:bCs w:val="1"/>
          <w:color w:val="auto"/>
        </w:rPr>
        <w:t>the Board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recommends that future advisory votes on executive compensation be held every year </w:t>
      </w:r>
      <w:r>
        <w:rPr>
          <w:rFonts w:ascii="Arial" w:cs="Arial" w:eastAsia="Arial" w:hAnsi="Arial"/>
          <w:sz w:val="18"/>
          <w:szCs w:val="18"/>
          <w:color w:val="auto"/>
        </w:rPr>
        <w:t>but will follow the frequency</w:t>
      </w:r>
      <w:r>
        <w:rPr>
          <w:rFonts w:ascii="Arial" w:cs="Arial" w:eastAsia="Arial" w:hAnsi="Arial"/>
          <w:sz w:val="18"/>
          <w:szCs w:val="18"/>
          <w:b w:val="1"/>
          <w:bCs w:val="1"/>
          <w:color w:val="auto"/>
        </w:rPr>
        <w:t xml:space="preserve"> </w:t>
      </w:r>
      <w:r>
        <w:rPr>
          <w:rFonts w:ascii="Arial" w:cs="Arial" w:eastAsia="Arial" w:hAnsi="Arial"/>
          <w:sz w:val="18"/>
          <w:szCs w:val="18"/>
          <w:color w:val="auto"/>
        </w:rPr>
        <w:t>that receives the plurality of votes cast by shareholders on this non-binding resolution.</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Shareholders may vote for any of the three choices provided on the form of proxy (1, 2, or 3 years) or abstain from voting.</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vote on this item is not a vote for or against the Board’s recommendation.</w:t>
      </w:r>
    </w:p>
    <w:p>
      <w:pPr>
        <w:spacing w:after="0" w:line="194"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2B4C9B"/>
        </w:rPr>
        <w:t>The Board recommends a vote FOR One-Year Frequency on this proposal.</w:t>
      </w:r>
    </w:p>
    <w:p>
      <w:pPr>
        <w:spacing w:after="0" w:line="124"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44</w:t>
      </w:r>
      <w:r>
        <w:rPr>
          <w:sz w:val="20"/>
          <w:szCs w:val="20"/>
          <w:color w:val="auto"/>
        </w:rPr>
        <w:tab/>
      </w:r>
      <w:r>
        <w:rPr>
          <w:sz w:val="1"/>
          <w:szCs w:val="1"/>
          <w:color w:val="auto"/>
        </w:rPr>
        <w:drawing>
          <wp:inline distT="0" distB="0" distL="0" distR="0">
            <wp:extent cx="737235" cy="145415"/>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2023 Proxy Statement</w:t>
      </w:r>
    </w:p>
    <w:p>
      <w:pPr>
        <w:sectPr>
          <w:pgSz w:w="11900" w:h="16838" w:orient="portrait"/>
          <w:cols w:equalWidth="0" w:num="1">
            <w:col w:w="10480"/>
          </w:cols>
          <w:pgMar w:left="320" w:top="482" w:right="109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336550</wp:posOffset>
            </wp:positionV>
            <wp:extent cx="5648960" cy="773239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648960" cy="7732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54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380"/>
          </w:cols>
          <w:pgMar w:left="320" w:top="482" w:right="11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208280</wp:posOffset>
            </wp:positionV>
            <wp:extent cx="6172200" cy="827278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172200" cy="827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left="940"/>
        <w:spacing w:after="0"/>
        <w:tabs>
          <w:tab w:leader="none" w:pos="1580" w:val="left"/>
        </w:tabs>
        <w:rPr>
          <w:sz w:val="20"/>
          <w:szCs w:val="20"/>
          <w:color w:val="auto"/>
        </w:rPr>
      </w:pPr>
      <w:r>
        <w:rPr>
          <w:rFonts w:ascii="Arial" w:cs="Arial" w:eastAsia="Arial" w:hAnsi="Arial"/>
          <w:sz w:val="18"/>
          <w:szCs w:val="18"/>
          <w:color w:val="auto"/>
        </w:rPr>
        <w:t>46</w:t>
      </w:r>
      <w:r>
        <w:rPr>
          <w:sz w:val="20"/>
          <w:szCs w:val="20"/>
          <w:color w:val="auto"/>
        </w:rPr>
        <w:tab/>
      </w:r>
      <w:r>
        <w:rPr>
          <w:sz w:val="1"/>
          <w:szCs w:val="1"/>
          <w:color w:val="auto"/>
        </w:rPr>
        <w:drawing>
          <wp:inline distT="0" distB="0" distL="0" distR="0">
            <wp:extent cx="737235" cy="13716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37235" cy="13716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2023 Proxy Statement</w:t>
      </w:r>
    </w:p>
    <w:p>
      <w:pPr>
        <w:sectPr>
          <w:pgSz w:w="11900" w:h="16838" w:orient="portrait"/>
          <w:cols w:equalWidth="0" w:num="1">
            <w:col w:w="10139"/>
          </w:cols>
          <w:pgMar w:left="320" w:top="482"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671195</wp:posOffset>
            </wp:positionV>
            <wp:extent cx="5666105" cy="73634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666105"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60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380"/>
          </w:cols>
          <w:pgMar w:left="320" w:top="482" w:right="11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208280</wp:posOffset>
            </wp:positionV>
            <wp:extent cx="5657850" cy="7774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657850" cy="7774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left="780"/>
        <w:spacing w:after="0"/>
        <w:tabs>
          <w:tab w:leader="none" w:pos="1486" w:val="left"/>
        </w:tabs>
        <w:rPr>
          <w:sz w:val="20"/>
          <w:szCs w:val="20"/>
          <w:color w:val="auto"/>
        </w:rPr>
      </w:pPr>
      <w:r>
        <w:rPr>
          <w:rFonts w:ascii="Arial" w:cs="Arial" w:eastAsia="Arial" w:hAnsi="Arial"/>
          <w:sz w:val="18"/>
          <w:szCs w:val="18"/>
          <w:color w:val="auto"/>
        </w:rPr>
        <w:t>48</w:t>
      </w:r>
      <w:r>
        <w:rPr>
          <w:sz w:val="20"/>
          <w:szCs w:val="20"/>
          <w:color w:val="auto"/>
        </w:rPr>
        <w:tab/>
      </w:r>
      <w:r>
        <w:rPr>
          <w:sz w:val="1"/>
          <w:szCs w:val="1"/>
          <w:color w:val="auto"/>
        </w:rPr>
        <w:drawing>
          <wp:inline distT="0" distB="0" distL="0" distR="0">
            <wp:extent cx="737235" cy="146050"/>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2023 Proxy Statement</w:t>
      </w:r>
    </w:p>
    <w:p>
      <w:pPr>
        <w:sectPr>
          <w:pgSz w:w="11900" w:h="16838" w:orient="portrait"/>
          <w:cols w:equalWidth="0" w:num="1">
            <w:col w:w="10139"/>
          </w:cols>
          <w:pgMar w:left="320" w:top="482"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54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380"/>
          </w:cols>
          <w:pgMar w:left="320" w:top="482" w:right="11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679450</wp:posOffset>
            </wp:positionV>
            <wp:extent cx="5657850" cy="73463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657850" cy="7346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780"/>
        <w:spacing w:after="0"/>
        <w:tabs>
          <w:tab w:leader="none" w:pos="1486" w:val="left"/>
        </w:tabs>
        <w:rPr>
          <w:sz w:val="20"/>
          <w:szCs w:val="20"/>
          <w:color w:val="auto"/>
        </w:rPr>
      </w:pPr>
      <w:r>
        <w:rPr>
          <w:rFonts w:ascii="Arial" w:cs="Arial" w:eastAsia="Arial" w:hAnsi="Arial"/>
          <w:sz w:val="18"/>
          <w:szCs w:val="18"/>
          <w:color w:val="auto"/>
        </w:rPr>
        <w:t>50</w:t>
      </w:r>
      <w:r>
        <w:rPr>
          <w:sz w:val="20"/>
          <w:szCs w:val="20"/>
          <w:color w:val="auto"/>
        </w:rPr>
        <w:tab/>
      </w:r>
      <w:r>
        <w:rPr>
          <w:sz w:val="1"/>
          <w:szCs w:val="1"/>
          <w:color w:val="auto"/>
        </w:rPr>
        <w:drawing>
          <wp:inline distT="0" distB="0" distL="0" distR="0">
            <wp:extent cx="737235" cy="146050"/>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2023 Proxy Statement</w:t>
      </w:r>
    </w:p>
    <w:p>
      <w:pPr>
        <w:sectPr>
          <w:pgSz w:w="11900" w:h="16838" w:orient="portrait"/>
          <w:cols w:equalWidth="0" w:num="1">
            <w:col w:w="10139"/>
          </w:cols>
          <w:pgMar w:left="320" w:top="482"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671195</wp:posOffset>
            </wp:positionV>
            <wp:extent cx="5666105" cy="73463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666105" cy="7346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54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380"/>
          </w:cols>
          <w:pgMar w:left="320" w:top="482" w:right="11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671195</wp:posOffset>
            </wp:positionV>
            <wp:extent cx="5717540" cy="73209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717540" cy="7320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left="780"/>
        <w:spacing w:after="0"/>
        <w:tabs>
          <w:tab w:leader="none" w:pos="1486" w:val="left"/>
        </w:tabs>
        <w:rPr>
          <w:sz w:val="20"/>
          <w:szCs w:val="20"/>
          <w:color w:val="auto"/>
        </w:rPr>
      </w:pPr>
      <w:r>
        <w:rPr>
          <w:rFonts w:ascii="Arial" w:cs="Arial" w:eastAsia="Arial" w:hAnsi="Arial"/>
          <w:sz w:val="18"/>
          <w:szCs w:val="18"/>
          <w:color w:val="auto"/>
        </w:rPr>
        <w:t>52</w:t>
      </w:r>
      <w:r>
        <w:rPr>
          <w:sz w:val="20"/>
          <w:szCs w:val="20"/>
          <w:color w:val="auto"/>
        </w:rPr>
        <w:tab/>
      </w:r>
      <w:r>
        <w:rPr>
          <w:sz w:val="1"/>
          <w:szCs w:val="1"/>
          <w:color w:val="auto"/>
        </w:rPr>
        <w:drawing>
          <wp:inline distT="0" distB="0" distL="0" distR="0">
            <wp:extent cx="737235" cy="146050"/>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2023 Proxy Statement</w:t>
      </w:r>
    </w:p>
    <w:p>
      <w:pPr>
        <w:sectPr>
          <w:pgSz w:w="11900" w:h="16838" w:orient="portrait"/>
          <w:cols w:equalWidth="0" w:num="1">
            <w:col w:w="10139"/>
          </w:cols>
          <w:pgMar w:left="320" w:top="482"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671195</wp:posOffset>
            </wp:positionV>
            <wp:extent cx="5640705" cy="73463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640705" cy="7346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54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380"/>
          </w:cols>
          <w:pgMar w:left="320" w:top="482" w:right="11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679450</wp:posOffset>
            </wp:positionV>
            <wp:extent cx="5657850" cy="731202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657850" cy="7312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left="780"/>
        <w:spacing w:after="0"/>
        <w:tabs>
          <w:tab w:leader="none" w:pos="1486" w:val="left"/>
        </w:tabs>
        <w:rPr>
          <w:sz w:val="20"/>
          <w:szCs w:val="20"/>
          <w:color w:val="auto"/>
        </w:rPr>
      </w:pPr>
      <w:r>
        <w:rPr>
          <w:rFonts w:ascii="Arial" w:cs="Arial" w:eastAsia="Arial" w:hAnsi="Arial"/>
          <w:sz w:val="18"/>
          <w:szCs w:val="18"/>
          <w:color w:val="auto"/>
        </w:rPr>
        <w:t>54</w:t>
      </w:r>
      <w:r>
        <w:rPr>
          <w:sz w:val="20"/>
          <w:szCs w:val="20"/>
          <w:color w:val="auto"/>
        </w:rPr>
        <w:tab/>
      </w:r>
      <w:r>
        <w:rPr>
          <w:sz w:val="1"/>
          <w:szCs w:val="1"/>
          <w:color w:val="auto"/>
        </w:rPr>
        <w:drawing>
          <wp:inline distT="0" distB="0" distL="0" distR="0">
            <wp:extent cx="737235" cy="146050"/>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2023 Proxy Statement</w:t>
      </w:r>
    </w:p>
    <w:p>
      <w:pPr>
        <w:sectPr>
          <w:pgSz w:w="11900" w:h="16838" w:orient="portrait"/>
          <w:cols w:equalWidth="0" w:num="1">
            <w:col w:w="10139"/>
          </w:cols>
          <w:pgMar w:left="320" w:top="482"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208280</wp:posOffset>
            </wp:positionV>
            <wp:extent cx="5666105" cy="775779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666105" cy="775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54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380"/>
          </w:cols>
          <w:pgMar w:left="320" w:top="482" w:right="11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679450</wp:posOffset>
            </wp:positionV>
            <wp:extent cx="5657850" cy="7277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657850" cy="7277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780"/>
        <w:spacing w:after="0"/>
        <w:tabs>
          <w:tab w:leader="none" w:pos="1486" w:val="left"/>
        </w:tabs>
        <w:rPr>
          <w:sz w:val="20"/>
          <w:szCs w:val="20"/>
          <w:color w:val="auto"/>
        </w:rPr>
      </w:pPr>
      <w:r>
        <w:rPr>
          <w:rFonts w:ascii="Arial" w:cs="Arial" w:eastAsia="Arial" w:hAnsi="Arial"/>
          <w:sz w:val="18"/>
          <w:szCs w:val="18"/>
          <w:color w:val="auto"/>
        </w:rPr>
        <w:t>56</w:t>
      </w:r>
      <w:r>
        <w:rPr>
          <w:sz w:val="20"/>
          <w:szCs w:val="20"/>
          <w:color w:val="auto"/>
        </w:rPr>
        <w:tab/>
      </w:r>
      <w:r>
        <w:rPr>
          <w:sz w:val="1"/>
          <w:szCs w:val="1"/>
          <w:color w:val="auto"/>
        </w:rPr>
        <w:drawing>
          <wp:inline distT="0" distB="0" distL="0" distR="0">
            <wp:extent cx="737235" cy="145415"/>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2023 Proxy Statement</w:t>
      </w:r>
    </w:p>
    <w:p>
      <w:pPr>
        <w:sectPr>
          <w:pgSz w:w="11900" w:h="16838" w:orient="portrait"/>
          <w:cols w:equalWidth="0" w:num="1">
            <w:col w:w="10139"/>
          </w:cols>
          <w:pgMar w:left="320" w:top="482"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679450</wp:posOffset>
            </wp:positionV>
            <wp:extent cx="5666105" cy="71666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666105" cy="7166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54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380"/>
          </w:cols>
          <w:pgMar w:left="320" w:top="482" w:right="11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679450</wp:posOffset>
            </wp:positionV>
            <wp:extent cx="5692140" cy="74237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692140" cy="7423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780"/>
        <w:spacing w:after="0"/>
        <w:tabs>
          <w:tab w:leader="none" w:pos="1486" w:val="left"/>
        </w:tabs>
        <w:rPr>
          <w:sz w:val="20"/>
          <w:szCs w:val="20"/>
          <w:color w:val="auto"/>
        </w:rPr>
      </w:pPr>
      <w:r>
        <w:rPr>
          <w:rFonts w:ascii="Arial" w:cs="Arial" w:eastAsia="Arial" w:hAnsi="Arial"/>
          <w:sz w:val="18"/>
          <w:szCs w:val="18"/>
          <w:color w:val="auto"/>
        </w:rPr>
        <w:t>58</w:t>
      </w:r>
      <w:r>
        <w:rPr>
          <w:sz w:val="20"/>
          <w:szCs w:val="20"/>
          <w:color w:val="auto"/>
        </w:rPr>
        <w:tab/>
      </w:r>
      <w:r>
        <w:rPr>
          <w:sz w:val="1"/>
          <w:szCs w:val="1"/>
          <w:color w:val="auto"/>
        </w:rPr>
        <w:drawing>
          <wp:inline distT="0" distB="0" distL="0" distR="0">
            <wp:extent cx="737235" cy="145415"/>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2023 Proxy Statement</w:t>
      </w:r>
    </w:p>
    <w:p>
      <w:pPr>
        <w:sectPr>
          <w:pgSz w:w="11900" w:h="16838" w:orient="portrait"/>
          <w:cols w:equalWidth="0" w:num="1">
            <w:col w:w="10139"/>
          </w:cols>
          <w:pgMar w:left="320" w:top="482"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679450</wp:posOffset>
            </wp:positionV>
            <wp:extent cx="5683250" cy="70548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683250" cy="7054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60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380"/>
          </w:cols>
          <w:pgMar w:left="320" w:top="482" w:right="11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679450</wp:posOffset>
            </wp:positionV>
            <wp:extent cx="5666105" cy="69780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666105" cy="6978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780"/>
        <w:spacing w:after="0"/>
        <w:tabs>
          <w:tab w:leader="none" w:pos="1486" w:val="left"/>
        </w:tabs>
        <w:rPr>
          <w:sz w:val="20"/>
          <w:szCs w:val="20"/>
          <w:color w:val="auto"/>
        </w:rPr>
      </w:pPr>
      <w:r>
        <w:rPr>
          <w:rFonts w:ascii="Arial" w:cs="Arial" w:eastAsia="Arial" w:hAnsi="Arial"/>
          <w:sz w:val="18"/>
          <w:szCs w:val="18"/>
          <w:color w:val="auto"/>
        </w:rPr>
        <w:t>60</w:t>
      </w:r>
      <w:r>
        <w:rPr>
          <w:sz w:val="20"/>
          <w:szCs w:val="20"/>
          <w:color w:val="auto"/>
        </w:rPr>
        <w:tab/>
      </w:r>
      <w:r>
        <w:rPr>
          <w:sz w:val="1"/>
          <w:szCs w:val="1"/>
          <w:color w:val="auto"/>
        </w:rPr>
        <w:drawing>
          <wp:inline distT="0" distB="0" distL="0" distR="0">
            <wp:extent cx="737235" cy="146050"/>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2023 Proxy Statement</w:t>
      </w:r>
    </w:p>
    <w:p>
      <w:pPr>
        <w:sectPr>
          <w:pgSz w:w="11900" w:h="16838" w:orient="portrait"/>
          <w:cols w:equalWidth="0" w:num="1">
            <w:col w:w="10139"/>
          </w:cols>
          <w:pgMar w:left="320" w:top="482"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679450</wp:posOffset>
            </wp:positionV>
            <wp:extent cx="5657850" cy="69348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657850" cy="6934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60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380"/>
          </w:cols>
          <w:pgMar w:left="320" w:top="482" w:right="11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208280</wp:posOffset>
            </wp:positionV>
            <wp:extent cx="5666105" cy="57092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666105" cy="5709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780"/>
        <w:spacing w:after="0"/>
        <w:tabs>
          <w:tab w:leader="none" w:pos="1486" w:val="left"/>
        </w:tabs>
        <w:rPr>
          <w:sz w:val="20"/>
          <w:szCs w:val="20"/>
          <w:color w:val="auto"/>
        </w:rPr>
      </w:pPr>
      <w:r>
        <w:rPr>
          <w:rFonts w:ascii="Arial" w:cs="Arial" w:eastAsia="Arial" w:hAnsi="Arial"/>
          <w:sz w:val="18"/>
          <w:szCs w:val="18"/>
          <w:color w:val="auto"/>
        </w:rPr>
        <w:t>62</w:t>
      </w:r>
      <w:r>
        <w:rPr>
          <w:sz w:val="20"/>
          <w:szCs w:val="20"/>
          <w:color w:val="auto"/>
        </w:rPr>
        <w:tab/>
      </w:r>
      <w:r>
        <w:rPr>
          <w:sz w:val="1"/>
          <w:szCs w:val="1"/>
          <w:color w:val="auto"/>
        </w:rPr>
        <w:drawing>
          <wp:inline distT="0" distB="0" distL="0" distR="0">
            <wp:extent cx="737235" cy="145415"/>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2023 Proxy Statement</w:t>
      </w:r>
    </w:p>
    <w:p>
      <w:pPr>
        <w:sectPr>
          <w:pgSz w:w="11900" w:h="16838" w:orient="portrait"/>
          <w:cols w:equalWidth="0" w:num="1">
            <w:col w:w="10139"/>
          </w:cols>
          <w:pgMar w:left="320" w:top="482"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679450</wp:posOffset>
            </wp:positionV>
            <wp:extent cx="5674995" cy="542607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674995" cy="5426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60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380"/>
          </w:cols>
          <w:pgMar w:left="320" w:top="482" w:right="11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208280</wp:posOffset>
            </wp:positionV>
            <wp:extent cx="5666105" cy="753491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666105" cy="7534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780"/>
        <w:spacing w:after="0"/>
        <w:tabs>
          <w:tab w:leader="none" w:pos="1486" w:val="left"/>
        </w:tabs>
        <w:rPr>
          <w:sz w:val="20"/>
          <w:szCs w:val="20"/>
          <w:color w:val="auto"/>
        </w:rPr>
      </w:pPr>
      <w:r>
        <w:rPr>
          <w:rFonts w:ascii="Arial" w:cs="Arial" w:eastAsia="Arial" w:hAnsi="Arial"/>
          <w:sz w:val="18"/>
          <w:szCs w:val="18"/>
          <w:color w:val="auto"/>
        </w:rPr>
        <w:t>64</w:t>
      </w:r>
      <w:r>
        <w:rPr>
          <w:sz w:val="20"/>
          <w:szCs w:val="20"/>
          <w:color w:val="auto"/>
        </w:rPr>
        <w:tab/>
      </w:r>
      <w:r>
        <w:rPr>
          <w:sz w:val="1"/>
          <w:szCs w:val="1"/>
          <w:color w:val="auto"/>
        </w:rPr>
        <w:drawing>
          <wp:inline distT="0" distB="0" distL="0" distR="0">
            <wp:extent cx="737235" cy="145415"/>
            <wp:effectExtent l="0" t="0" r="0" b="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2023 Proxy Statement</w:t>
      </w:r>
    </w:p>
    <w:p>
      <w:pPr>
        <w:sectPr>
          <w:pgSz w:w="11900" w:h="16838" w:orient="portrait"/>
          <w:cols w:equalWidth="0" w:num="1">
            <w:col w:w="10139"/>
          </w:cols>
          <w:pgMar w:left="320" w:top="482"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679450</wp:posOffset>
            </wp:positionV>
            <wp:extent cx="5648960" cy="41148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648960"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60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380"/>
          </w:cols>
          <w:pgMar w:left="320" w:top="482" w:right="11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208280</wp:posOffset>
            </wp:positionV>
            <wp:extent cx="5657850" cy="75266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657850" cy="7526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780"/>
        <w:spacing w:after="0"/>
        <w:tabs>
          <w:tab w:leader="none" w:pos="1486" w:val="left"/>
        </w:tabs>
        <w:rPr>
          <w:sz w:val="20"/>
          <w:szCs w:val="20"/>
          <w:color w:val="auto"/>
        </w:rPr>
      </w:pPr>
      <w:r>
        <w:rPr>
          <w:rFonts w:ascii="Arial" w:cs="Arial" w:eastAsia="Arial" w:hAnsi="Arial"/>
          <w:sz w:val="18"/>
          <w:szCs w:val="18"/>
          <w:color w:val="auto"/>
        </w:rPr>
        <w:t>66</w:t>
      </w:r>
      <w:r>
        <w:rPr>
          <w:sz w:val="20"/>
          <w:szCs w:val="20"/>
          <w:color w:val="auto"/>
        </w:rPr>
        <w:tab/>
      </w:r>
      <w:r>
        <w:rPr>
          <w:sz w:val="1"/>
          <w:szCs w:val="1"/>
          <w:color w:val="auto"/>
        </w:rPr>
        <w:drawing>
          <wp:inline distT="0" distB="0" distL="0" distR="0">
            <wp:extent cx="737235" cy="146050"/>
            <wp:effectExtent l="0" t="0" r="0" b="0"/>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2023 Proxy Statement</w:t>
      </w:r>
    </w:p>
    <w:p>
      <w:pPr>
        <w:sectPr>
          <w:pgSz w:w="11900" w:h="16838" w:orient="portrait"/>
          <w:cols w:equalWidth="0" w:num="1">
            <w:col w:w="10139"/>
          </w:cols>
          <w:pgMar w:left="320" w:top="482"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208280</wp:posOffset>
            </wp:positionV>
            <wp:extent cx="5589270" cy="772350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589270" cy="7723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60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380"/>
          </w:cols>
          <w:pgMar w:left="320" w:top="482" w:right="11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208280</wp:posOffset>
            </wp:positionV>
            <wp:extent cx="5666105" cy="67633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666105" cy="6763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left="780"/>
        <w:spacing w:after="0"/>
        <w:tabs>
          <w:tab w:leader="none" w:pos="1486" w:val="left"/>
        </w:tabs>
        <w:rPr>
          <w:sz w:val="20"/>
          <w:szCs w:val="20"/>
          <w:color w:val="auto"/>
        </w:rPr>
      </w:pPr>
      <w:r>
        <w:rPr>
          <w:rFonts w:ascii="Arial" w:cs="Arial" w:eastAsia="Arial" w:hAnsi="Arial"/>
          <w:sz w:val="18"/>
          <w:szCs w:val="18"/>
          <w:color w:val="auto"/>
        </w:rPr>
        <w:t>68</w:t>
      </w:r>
      <w:r>
        <w:rPr>
          <w:sz w:val="20"/>
          <w:szCs w:val="20"/>
          <w:color w:val="auto"/>
        </w:rPr>
        <w:tab/>
      </w:r>
      <w:r>
        <w:rPr>
          <w:sz w:val="1"/>
          <w:szCs w:val="1"/>
          <w:color w:val="auto"/>
        </w:rPr>
        <w:drawing>
          <wp:inline distT="0" distB="0" distL="0" distR="0">
            <wp:extent cx="737235" cy="146050"/>
            <wp:effectExtent l="0" t="0" r="0" b="0"/>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2023 Proxy Statement</w:t>
      </w:r>
    </w:p>
    <w:p>
      <w:pPr>
        <w:sectPr>
          <w:pgSz w:w="11900" w:h="16838" w:orient="portrait"/>
          <w:cols w:equalWidth="0" w:num="1">
            <w:col w:w="10139"/>
          </w:cols>
          <w:pgMar w:left="320" w:top="482"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679450</wp:posOffset>
            </wp:positionV>
            <wp:extent cx="5683250" cy="613791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683250" cy="6137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60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380"/>
          </w:cols>
          <w:pgMar w:left="320" w:top="482" w:right="11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679450</wp:posOffset>
            </wp:positionV>
            <wp:extent cx="5657850" cy="673798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657850" cy="6737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780"/>
        <w:spacing w:after="0"/>
        <w:tabs>
          <w:tab w:leader="none" w:pos="1486" w:val="left"/>
        </w:tabs>
        <w:rPr>
          <w:sz w:val="20"/>
          <w:szCs w:val="20"/>
          <w:color w:val="auto"/>
        </w:rPr>
      </w:pPr>
      <w:r>
        <w:rPr>
          <w:rFonts w:ascii="Arial" w:cs="Arial" w:eastAsia="Arial" w:hAnsi="Arial"/>
          <w:sz w:val="18"/>
          <w:szCs w:val="18"/>
          <w:color w:val="auto"/>
        </w:rPr>
        <w:t>70</w:t>
      </w:r>
      <w:r>
        <w:rPr>
          <w:sz w:val="20"/>
          <w:szCs w:val="20"/>
          <w:color w:val="auto"/>
        </w:rPr>
        <w:tab/>
      </w:r>
      <w:r>
        <w:rPr>
          <w:sz w:val="1"/>
          <w:szCs w:val="1"/>
          <w:color w:val="auto"/>
        </w:rPr>
        <w:drawing>
          <wp:inline distT="0" distB="0" distL="0" distR="0">
            <wp:extent cx="737235" cy="146050"/>
            <wp:effectExtent l="0" t="0" r="0" b="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2023 Proxy Statement</w:t>
      </w:r>
    </w:p>
    <w:p>
      <w:pPr>
        <w:sectPr>
          <w:pgSz w:w="11900" w:h="16838" w:orient="portrait"/>
          <w:cols w:equalWidth="0" w:num="1">
            <w:col w:w="10139"/>
          </w:cols>
          <w:pgMar w:left="320" w:top="482"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679450</wp:posOffset>
            </wp:positionV>
            <wp:extent cx="5657850" cy="726948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657850" cy="7269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54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380"/>
          </w:cols>
          <w:pgMar w:left="320" w:top="482" w:right="11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679450</wp:posOffset>
            </wp:positionV>
            <wp:extent cx="5683250" cy="61550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683250" cy="6155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780"/>
        <w:spacing w:after="0"/>
        <w:tabs>
          <w:tab w:leader="none" w:pos="1486" w:val="left"/>
        </w:tabs>
        <w:rPr>
          <w:sz w:val="20"/>
          <w:szCs w:val="20"/>
          <w:color w:val="auto"/>
        </w:rPr>
      </w:pPr>
      <w:r>
        <w:rPr>
          <w:rFonts w:ascii="Arial" w:cs="Arial" w:eastAsia="Arial" w:hAnsi="Arial"/>
          <w:sz w:val="18"/>
          <w:szCs w:val="18"/>
          <w:color w:val="auto"/>
        </w:rPr>
        <w:t>72</w:t>
      </w:r>
      <w:r>
        <w:rPr>
          <w:sz w:val="20"/>
          <w:szCs w:val="20"/>
          <w:color w:val="auto"/>
        </w:rPr>
        <w:tab/>
      </w:r>
      <w:r>
        <w:rPr>
          <w:sz w:val="1"/>
          <w:szCs w:val="1"/>
          <w:color w:val="auto"/>
        </w:rPr>
        <w:drawing>
          <wp:inline distT="0" distB="0" distL="0" distR="0">
            <wp:extent cx="737235" cy="146050"/>
            <wp:effectExtent l="0" t="0" r="0" b="0"/>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2023 Proxy Statement</w:t>
      </w:r>
    </w:p>
    <w:p>
      <w:pPr>
        <w:sectPr>
          <w:pgSz w:w="11900" w:h="16838" w:orient="portrait"/>
          <w:cols w:equalWidth="0" w:num="1">
            <w:col w:w="10139"/>
          </w:cols>
          <w:pgMar w:left="320" w:top="482"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679450</wp:posOffset>
            </wp:positionV>
            <wp:extent cx="5674995" cy="643763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674995" cy="6437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60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380"/>
          </w:cols>
          <w:pgMar w:left="320" w:top="482" w:right="11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679450</wp:posOffset>
            </wp:positionV>
            <wp:extent cx="5657850" cy="642937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657850" cy="6429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left="780"/>
        <w:spacing w:after="0"/>
        <w:tabs>
          <w:tab w:leader="none" w:pos="1486" w:val="left"/>
        </w:tabs>
        <w:rPr>
          <w:sz w:val="20"/>
          <w:szCs w:val="20"/>
          <w:color w:val="auto"/>
        </w:rPr>
      </w:pPr>
      <w:r>
        <w:rPr>
          <w:rFonts w:ascii="Arial" w:cs="Arial" w:eastAsia="Arial" w:hAnsi="Arial"/>
          <w:sz w:val="18"/>
          <w:szCs w:val="18"/>
          <w:color w:val="auto"/>
        </w:rPr>
        <w:t>74</w:t>
      </w:r>
      <w:r>
        <w:rPr>
          <w:sz w:val="20"/>
          <w:szCs w:val="20"/>
          <w:color w:val="auto"/>
        </w:rPr>
        <w:tab/>
      </w:r>
      <w:r>
        <w:rPr>
          <w:sz w:val="1"/>
          <w:szCs w:val="1"/>
          <w:color w:val="auto"/>
        </w:rPr>
        <w:drawing>
          <wp:inline distT="0" distB="0" distL="0" distR="0">
            <wp:extent cx="737235" cy="145415"/>
            <wp:effectExtent l="0" t="0" r="0" b="0"/>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2023 Proxy Statement</w:t>
      </w:r>
    </w:p>
    <w:p>
      <w:pPr>
        <w:sectPr>
          <w:pgSz w:w="11900" w:h="16838" w:orient="portrait"/>
          <w:cols w:equalWidth="0" w:num="1">
            <w:col w:w="10139"/>
          </w:cols>
          <w:pgMar w:left="320" w:top="482"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679450</wp:posOffset>
            </wp:positionV>
            <wp:extent cx="5657850" cy="66351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657850" cy="6635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54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380"/>
          </w:cols>
          <w:pgMar w:left="320" w:top="482" w:right="11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679450</wp:posOffset>
            </wp:positionV>
            <wp:extent cx="5683250" cy="66605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683250" cy="6660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left="780"/>
        <w:spacing w:after="0"/>
        <w:tabs>
          <w:tab w:leader="none" w:pos="1486" w:val="left"/>
        </w:tabs>
        <w:rPr>
          <w:sz w:val="20"/>
          <w:szCs w:val="20"/>
          <w:color w:val="auto"/>
        </w:rPr>
      </w:pPr>
      <w:r>
        <w:rPr>
          <w:rFonts w:ascii="Arial" w:cs="Arial" w:eastAsia="Arial" w:hAnsi="Arial"/>
          <w:sz w:val="18"/>
          <w:szCs w:val="18"/>
          <w:color w:val="auto"/>
        </w:rPr>
        <w:t>76</w:t>
      </w:r>
      <w:r>
        <w:rPr>
          <w:sz w:val="20"/>
          <w:szCs w:val="20"/>
          <w:color w:val="auto"/>
        </w:rPr>
        <w:tab/>
      </w:r>
      <w:r>
        <w:rPr>
          <w:sz w:val="1"/>
          <w:szCs w:val="1"/>
          <w:color w:val="auto"/>
        </w:rPr>
        <w:drawing>
          <wp:inline distT="0" distB="0" distL="0" distR="0">
            <wp:extent cx="737235" cy="146050"/>
            <wp:effectExtent l="0" t="0" r="0" b="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2023 Proxy Statement</w:t>
      </w:r>
    </w:p>
    <w:p>
      <w:pPr>
        <w:sectPr>
          <w:pgSz w:w="11900" w:h="16838" w:orient="portrait"/>
          <w:cols w:equalWidth="0" w:num="1">
            <w:col w:w="10139"/>
          </w:cols>
          <w:pgMar w:left="320" w:top="482"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2B4C9B"/>
        </w:rPr>
        <w:t>SHAREHOLDER PROPOSALS</w:t>
      </w:r>
    </w:p>
    <w:p>
      <w:pPr>
        <w:spacing w:after="0" w:line="317" w:lineRule="exact"/>
        <w:rPr>
          <w:sz w:val="20"/>
          <w:szCs w:val="20"/>
          <w:color w:val="auto"/>
        </w:rPr>
      </w:pPr>
    </w:p>
    <w:p>
      <w:pPr>
        <w:ind w:left="760" w:right="200"/>
        <w:spacing w:after="0" w:line="244" w:lineRule="auto"/>
        <w:rPr>
          <w:sz w:val="20"/>
          <w:szCs w:val="20"/>
          <w:color w:val="auto"/>
        </w:rPr>
      </w:pPr>
      <w:r>
        <w:rPr>
          <w:rFonts w:ascii="Arial" w:cs="Arial" w:eastAsia="Arial" w:hAnsi="Arial"/>
          <w:sz w:val="18"/>
          <w:szCs w:val="18"/>
          <w:color w:val="auto"/>
        </w:rPr>
        <w:t>We expect Items 5 through 17 to be presented by shareholders at the annual meeting. Following SEC rules, other than minor formatting changes, we are reprinting the proposals and supporting statements as they were submitted to us. We take no responsibility for them. Upon oral or written request to the Secretary at the address listed under Contact Information on page 7, we will provide information about the sponsors’ shareholdings, as well as the names, addresses, and shareholdings of any co-sponsors.</w:t>
      </w:r>
    </w:p>
    <w:p>
      <w:pPr>
        <w:spacing w:after="0" w:line="176" w:lineRule="exact"/>
        <w:rPr>
          <w:sz w:val="20"/>
          <w:szCs w:val="20"/>
          <w:color w:val="auto"/>
        </w:rPr>
      </w:pPr>
    </w:p>
    <w:p>
      <w:pPr>
        <w:ind w:left="760"/>
        <w:spacing w:after="0" w:line="244" w:lineRule="auto"/>
        <w:rPr>
          <w:sz w:val="20"/>
          <w:szCs w:val="20"/>
          <w:color w:val="auto"/>
        </w:rPr>
      </w:pPr>
      <w:r>
        <w:rPr>
          <w:rFonts w:ascii="Arial" w:cs="Arial" w:eastAsia="Arial" w:hAnsi="Arial"/>
          <w:sz w:val="18"/>
          <w:szCs w:val="18"/>
          <w:color w:val="auto"/>
        </w:rPr>
        <w:t>The SEC’s shareholder proposal rules were designed to give shareholders access to directors, management, and fellow shareholders so their voices can be heard. We fully support shareholder engagement and advocacy. We consistently work to engage with all proponents each year. In addition, we have significantly expanded our efforts in shareholder engagement over the past several years. We also respect that our shareholders may have viewpoints and perspectives that differ from management and the Board, and we always consider their feedback.</w:t>
      </w:r>
    </w:p>
    <w:p>
      <w:pPr>
        <w:spacing w:after="0" w:line="176" w:lineRule="exact"/>
        <w:rPr>
          <w:sz w:val="20"/>
          <w:szCs w:val="20"/>
          <w:color w:val="auto"/>
        </w:rPr>
      </w:pPr>
    </w:p>
    <w:p>
      <w:pPr>
        <w:ind w:left="760" w:right="60"/>
        <w:spacing w:after="0" w:line="238" w:lineRule="auto"/>
        <w:rPr>
          <w:sz w:val="20"/>
          <w:szCs w:val="20"/>
          <w:color w:val="auto"/>
        </w:rPr>
      </w:pPr>
      <w:r>
        <w:rPr>
          <w:rFonts w:ascii="Arial" w:cs="Arial" w:eastAsia="Arial" w:hAnsi="Arial"/>
          <w:sz w:val="18"/>
          <w:szCs w:val="18"/>
          <w:color w:val="auto"/>
        </w:rPr>
        <w:t>Each year, the Board and management team spend a significant amount of time considering each shareholder proposal. We annually form a taskforce including subject matter experts; members of our Investor Relations, Public and Government Affairs, and Law functions; external advisors; and outside legal counsel to deliberate on each proposal to fully understand each request and determine whether the proposal would generate shareholder value and is in the best interest of the Company. We then spend time developing and reviewing potential responses to each of the proposals. Our CEO and Chief Financial Officer (CFO), individually, spend numerous hours evaluating and participating in those discussions and reviews. This taskforce and management make recommendations to the Board, which also carefully reviews and discusses each proposal. The Board’s and Company’s view is that the shareholder proposals below (10 of which call for additional reports beyond the Company’s already lengthy disclosures and fail to provide decision-useful disclosures) are not in the best interest of the Company and do not enhance shareholder value. To the contrary, the countless hours that the Board, CEO, CFO, management committee, and taskforce members spend discussing and deliberating each proposal detract from time that would have been better spent on other activities in support of the Company’s strategy to further generate shareholder value.</w:t>
      </w:r>
    </w:p>
    <w:p>
      <w:pPr>
        <w:spacing w:after="0" w:line="180" w:lineRule="exact"/>
        <w:rPr>
          <w:sz w:val="20"/>
          <w:szCs w:val="20"/>
          <w:color w:val="auto"/>
        </w:rPr>
      </w:pPr>
    </w:p>
    <w:p>
      <w:pPr>
        <w:ind w:left="760" w:right="40"/>
        <w:spacing w:after="0" w:line="271" w:lineRule="auto"/>
        <w:rPr>
          <w:sz w:val="20"/>
          <w:szCs w:val="20"/>
          <w:color w:val="auto"/>
        </w:rPr>
      </w:pPr>
      <w:r>
        <w:rPr>
          <w:rFonts w:ascii="Arial" w:cs="Arial" w:eastAsia="Arial" w:hAnsi="Arial"/>
          <w:sz w:val="18"/>
          <w:szCs w:val="18"/>
          <w:color w:val="auto"/>
        </w:rPr>
        <w:t>Unfortunately, there are some anti-oil and natural gas activists who use the SEC’s shareholder proposal process to further their own interests, which are often in conflict with the interests of many of the Company’s other shareholders.</w:t>
      </w:r>
    </w:p>
    <w:p>
      <w:pPr>
        <w:spacing w:after="0" w:line="154" w:lineRule="exact"/>
        <w:rPr>
          <w:sz w:val="20"/>
          <w:szCs w:val="20"/>
          <w:color w:val="auto"/>
        </w:rPr>
      </w:pPr>
    </w:p>
    <w:p>
      <w:pPr>
        <w:ind w:left="760" w:right="60"/>
        <w:spacing w:after="0" w:line="216" w:lineRule="auto"/>
        <w:rPr>
          <w:sz w:val="20"/>
          <w:szCs w:val="20"/>
          <w:color w:val="auto"/>
        </w:rPr>
      </w:pPr>
      <w:r>
        <w:rPr>
          <w:rFonts w:ascii="Arial" w:cs="Arial" w:eastAsia="Arial" w:hAnsi="Arial"/>
          <w:sz w:val="18"/>
          <w:szCs w:val="18"/>
          <w:color w:val="auto"/>
        </w:rPr>
        <w:t xml:space="preserve">These activist firms, by their own admission, prefer not to own fossil fuels stocks yet acquire a minimal ownership stake in the Company with the sole purpose of targeting campaigns and pressuring investors to support resolutions ultimately designed to eliminate oil and gas investments necessary to meet society’s needs. These campaigns can create a burden on our long-term shareholders, and undermine the advancement of constructive Environment, Social, and Governance (ESG) objectives. For instance, the founder of </w:t>
      </w:r>
      <w:r>
        <w:rPr>
          <w:rFonts w:ascii="Arial" w:cs="Arial" w:eastAsia="Arial" w:hAnsi="Arial"/>
          <w:sz w:val="18"/>
          <w:szCs w:val="18"/>
          <w:i w:val="1"/>
          <w:iCs w:val="1"/>
          <w:color w:val="auto"/>
        </w:rPr>
        <w:t>Follow This</w:t>
      </w:r>
      <w:r>
        <w:rPr>
          <w:rFonts w:ascii="Arial" w:cs="Arial" w:eastAsia="Arial" w:hAnsi="Arial"/>
          <w:sz w:val="18"/>
          <w:szCs w:val="18"/>
          <w:color w:val="auto"/>
        </w:rPr>
        <w:t xml:space="preserve"> has previously stated, “We buy shares in order to work on our mission to stop climate change, not to make a financial profit.”</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He has also stated that his Scope 3 proposals are a “Trojan horse,”</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designed to eliminate fossil fuel investments and production. Of the 13 proposals below, several are put forth by anti-oil and gas activists.</w:t>
      </w:r>
    </w:p>
    <w:p>
      <w:pPr>
        <w:spacing w:after="0" w:line="180" w:lineRule="exact"/>
        <w:rPr>
          <w:sz w:val="20"/>
          <w:szCs w:val="20"/>
          <w:color w:val="auto"/>
        </w:rPr>
      </w:pPr>
    </w:p>
    <w:p>
      <w:pPr>
        <w:ind w:left="760" w:right="20"/>
        <w:spacing w:after="0"/>
        <w:rPr>
          <w:sz w:val="20"/>
          <w:szCs w:val="20"/>
          <w:color w:val="auto"/>
        </w:rPr>
      </w:pPr>
      <w:r>
        <w:rPr>
          <w:rFonts w:ascii="Arial" w:cs="Arial" w:eastAsia="Arial" w:hAnsi="Arial"/>
          <w:sz w:val="18"/>
          <w:szCs w:val="18"/>
          <w:color w:val="auto"/>
        </w:rPr>
        <w:t>We believe their activity is inconsistent with investors’ and fiduciaries’ goal of enhancing the economic value of their investments and advancing constructive ESG objectives. Forcing our company to stop oil and natural gas development would do nothing to reduce global demand. In fact, it would encourage less carbon-efficient, non-public, or less experienced operators, including those without our commitment to reducing greenhouse gas emissions, to step in to fill the supply void. Alternatively, reducing our production would cause reduced global supply before there are viable alternatives at scale. This would significantly drive up prices and hurt the global economy and broader society in ways that are not accounted for by anti-oil and gas activists. We are working to solve the “and” equation: delivering the energy and products society needs and lead industry in reducing greenhouse gas emissions.</w:t>
      </w:r>
    </w:p>
    <w:p>
      <w:pPr>
        <w:spacing w:after="0" w:line="180" w:lineRule="exact"/>
        <w:rPr>
          <w:sz w:val="20"/>
          <w:szCs w:val="20"/>
          <w:color w:val="auto"/>
        </w:rPr>
      </w:pPr>
    </w:p>
    <w:p>
      <w:pPr>
        <w:ind w:left="760" w:right="140"/>
        <w:spacing w:after="0" w:line="246" w:lineRule="auto"/>
        <w:rPr>
          <w:sz w:val="20"/>
          <w:szCs w:val="20"/>
          <w:color w:val="auto"/>
        </w:rPr>
      </w:pPr>
      <w:r>
        <w:rPr>
          <w:rFonts w:ascii="Arial" w:cs="Arial" w:eastAsia="Arial" w:hAnsi="Arial"/>
          <w:sz w:val="18"/>
          <w:szCs w:val="18"/>
          <w:color w:val="auto"/>
        </w:rPr>
        <w:t>Additionally, 10 of the shareholder proposals below seek some form of report. Several of these proposals for reports require us to assume a potential decarbonization pathway that virtually all observers agree society is not currently on. Significantly, even the authors at the International Energy Agency (IEA) have said society is not currently on the IEA Net Zero Emissions by 2050 pathway. The IEA states that “huge leaps in clean energy innovation” are required to reach net zero by 2050, and almost half of the reductions in 2050 would come from technologies that are currently at the demonstration or prototype phase. In heavy industry and long-distance transport, the share of emissions reductions from technologies that are still under development today is even higher.</w:t>
      </w:r>
      <w:r>
        <w:rPr>
          <w:rFonts w:ascii="Arial" w:cs="Arial" w:eastAsia="Arial" w:hAnsi="Arial"/>
          <w:sz w:val="26"/>
          <w:szCs w:val="26"/>
          <w:color w:val="auto"/>
          <w:vertAlign w:val="superscript"/>
        </w:rPr>
        <w:t>3</w:t>
      </w:r>
    </w:p>
    <w:p>
      <w:pPr>
        <w:spacing w:after="0" w:line="1" w:lineRule="exact"/>
        <w:rPr>
          <w:sz w:val="20"/>
          <w:szCs w:val="20"/>
          <w:color w:val="auto"/>
        </w:rPr>
      </w:pPr>
    </w:p>
    <w:tbl>
      <w:tblPr>
        <w:tblLayout w:type="fixed"/>
        <w:tblInd w:w="6780" w:type="dxa"/>
        <w:tblCellMar>
          <w:top w:w="0" w:type="dxa"/>
          <w:left w:w="0" w:type="dxa"/>
          <w:bottom w:w="0" w:type="dxa"/>
          <w:right w:w="0" w:type="dxa"/>
        </w:tblCellMar>
      </w:tblPr>
      <w:tr>
        <w:trPr>
          <w:trHeight w:val="239"/>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-148590</wp:posOffset>
            </wp:positionV>
            <wp:extent cx="737235" cy="1460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480"/>
          </w:cols>
          <w:pgMar w:left="320" w:top="482" w:right="10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760" w:right="400"/>
        <w:spacing w:after="0" w:line="239" w:lineRule="auto"/>
        <w:rPr>
          <w:sz w:val="20"/>
          <w:szCs w:val="20"/>
          <w:color w:val="auto"/>
        </w:rPr>
      </w:pPr>
      <w:r>
        <w:rPr>
          <w:rFonts w:ascii="Arial" w:cs="Arial" w:eastAsia="Arial" w:hAnsi="Arial"/>
          <w:sz w:val="18"/>
          <w:szCs w:val="18"/>
          <w:color w:val="auto"/>
        </w:rPr>
        <w:t>ExxonMobil already publishes numerous reports that consider a range of future scenarios from respected third parties and our internal experts. These reports are responsive to shareholder interests and require considerable resources and time to produce on an annual basis, including reviews by subject matter experts, senior management, Board committees, and in several cases, the full Board. They include the Advancing Climate Solutions Progress Report, Sustainability Report, Outlook for Energy, Lobbying Report, Climate Lobbying Report, Political Action Committee Contributions Report, Investing in People supplement, and numerous other SEC filings, investor presentations, and public disclosures. Creating additional, and in many cases, duplicative reports, including reports based on a particular scenario that has little chance at this point of being realized, is a waste of Company resources and serves only to distract the Board, management, and employees from their important work.</w:t>
      </w:r>
    </w:p>
    <w:p>
      <w:pPr>
        <w:spacing w:after="0" w:line="183" w:lineRule="exact"/>
        <w:rPr>
          <w:sz w:val="20"/>
          <w:szCs w:val="20"/>
          <w:color w:val="auto"/>
        </w:rPr>
      </w:pPr>
    </w:p>
    <w:p>
      <w:pPr>
        <w:ind w:left="760" w:right="480"/>
        <w:spacing w:after="0" w:line="271" w:lineRule="auto"/>
        <w:rPr>
          <w:sz w:val="20"/>
          <w:szCs w:val="20"/>
          <w:color w:val="auto"/>
        </w:rPr>
      </w:pPr>
      <w:r>
        <w:rPr>
          <w:rFonts w:ascii="Arial" w:cs="Arial" w:eastAsia="Arial" w:hAnsi="Arial"/>
          <w:sz w:val="18"/>
          <w:szCs w:val="18"/>
          <w:color w:val="auto"/>
        </w:rPr>
        <w:t>We believe it is in the best interest of our shareholders to speak plainly about these proponents, their stated motives, and how their proposals can undermine constructive ESG objectives, which we lay out in our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143510</wp:posOffset>
            </wp:positionV>
            <wp:extent cx="166306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171" w:lineRule="exact"/>
        <w:rPr>
          <w:sz w:val="20"/>
          <w:szCs w:val="20"/>
          <w:color w:val="auto"/>
        </w:rPr>
      </w:pPr>
    </w:p>
    <w:p>
      <w:pPr>
        <w:ind w:left="1140" w:hanging="376"/>
        <w:spacing w:after="0"/>
        <w:tabs>
          <w:tab w:leader="none" w:pos="1140" w:val="left"/>
        </w:tabs>
        <w:numPr>
          <w:ilvl w:val="0"/>
          <w:numId w:val="40"/>
        </w:numPr>
        <w:rPr>
          <w:rFonts w:ascii="Arial" w:cs="Arial" w:eastAsia="Arial" w:hAnsi="Arial"/>
          <w:sz w:val="24"/>
          <w:szCs w:val="24"/>
          <w:color w:val="auto"/>
          <w:vertAlign w:val="superscript"/>
        </w:rPr>
      </w:pPr>
      <w:r>
        <w:rPr>
          <w:rFonts w:ascii="Arial" w:cs="Arial" w:eastAsia="Arial" w:hAnsi="Arial"/>
          <w:sz w:val="16"/>
          <w:szCs w:val="16"/>
          <w:color w:val="auto"/>
        </w:rPr>
        <w:t>See https://www.follow-this.org/how-it-works/</w:t>
      </w:r>
    </w:p>
    <w:p>
      <w:pPr>
        <w:ind w:left="1140" w:hanging="376"/>
        <w:spacing w:after="0" w:line="187" w:lineRule="auto"/>
        <w:tabs>
          <w:tab w:leader="none" w:pos="1140" w:val="left"/>
        </w:tabs>
        <w:numPr>
          <w:ilvl w:val="0"/>
          <w:numId w:val="41"/>
        </w:numPr>
        <w:rPr>
          <w:rFonts w:ascii="Arial" w:cs="Arial" w:eastAsia="Arial" w:hAnsi="Arial"/>
          <w:sz w:val="21"/>
          <w:szCs w:val="21"/>
          <w:color w:val="auto"/>
          <w:vertAlign w:val="superscript"/>
        </w:rPr>
      </w:pPr>
      <w:r>
        <w:rPr>
          <w:rFonts w:ascii="Arial" w:cs="Arial" w:eastAsia="Arial" w:hAnsi="Arial"/>
          <w:sz w:val="14"/>
          <w:szCs w:val="14"/>
          <w:color w:val="auto"/>
        </w:rPr>
        <w:t>See https://www.follow-this.org/how-to-get-big-oil-to-end-the-climate-crisis-mark-van-baal-tedxeindhoven/</w:t>
      </w:r>
    </w:p>
    <w:p>
      <w:pPr>
        <w:spacing w:after="0" w:line="1" w:lineRule="exact"/>
        <w:rPr>
          <w:sz w:val="20"/>
          <w:szCs w:val="20"/>
          <w:color w:val="auto"/>
        </w:rPr>
      </w:pPr>
    </w:p>
    <w:p>
      <w:pPr>
        <w:ind w:left="1140" w:right="2260" w:hanging="376"/>
        <w:spacing w:after="0" w:line="204" w:lineRule="auto"/>
        <w:tabs>
          <w:tab w:leader="none" w:pos="1140" w:val="left"/>
        </w:tabs>
        <w:numPr>
          <w:ilvl w:val="0"/>
          <w:numId w:val="42"/>
        </w:numPr>
        <w:rPr>
          <w:rFonts w:ascii="Arial" w:cs="Arial" w:eastAsia="Arial" w:hAnsi="Arial"/>
          <w:sz w:val="24"/>
          <w:szCs w:val="24"/>
          <w:color w:val="auto"/>
          <w:vertAlign w:val="superscript"/>
        </w:rPr>
      </w:pPr>
      <w:r>
        <w:rPr>
          <w:rFonts w:ascii="Arial" w:cs="Arial" w:eastAsia="Arial" w:hAnsi="Arial"/>
          <w:sz w:val="16"/>
          <w:szCs w:val="16"/>
          <w:color w:val="auto"/>
        </w:rPr>
        <w:t>See https://iea.blob.core.windows.net/assets/7ebafc81-74ed-412b-9c60-5cc32c8396e4/NetZeroby2050-ARoadmapfortheGlobalEnergySector-SummaryforPolicyMakers_CORR.pdf</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2B4C9B"/>
        </w:rPr>
        <w:t>The Board recommends you vote AGAINST Items 5 through 17 for the reasons we give after each one.</w:t>
      </w:r>
    </w:p>
    <w:p>
      <w:pPr>
        <w:spacing w:after="0" w:line="200" w:lineRule="exact"/>
        <w:rPr>
          <w:sz w:val="20"/>
          <w:szCs w:val="20"/>
          <w:color w:val="auto"/>
        </w:rPr>
      </w:pPr>
    </w:p>
    <w:p>
      <w:pPr>
        <w:spacing w:after="0" w:line="223"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Item 5 – Establish a New Board Committee on Decarbonization Risk</w:t>
      </w:r>
    </w:p>
    <w:p>
      <w:pPr>
        <w:spacing w:after="0" w:line="99" w:lineRule="exact"/>
        <w:rPr>
          <w:sz w:val="20"/>
          <w:szCs w:val="20"/>
          <w:color w:val="auto"/>
        </w:rPr>
      </w:pPr>
    </w:p>
    <w:p>
      <w:pPr>
        <w:ind w:left="760" w:right="1060"/>
        <w:spacing w:after="0" w:line="271" w:lineRule="auto"/>
        <w:rPr>
          <w:sz w:val="20"/>
          <w:szCs w:val="20"/>
          <w:color w:val="auto"/>
        </w:rPr>
      </w:pPr>
      <w:r>
        <w:rPr>
          <w:rFonts w:ascii="Arial" w:cs="Arial" w:eastAsia="Arial" w:hAnsi="Arial"/>
          <w:sz w:val="18"/>
          <w:szCs w:val="18"/>
          <w:color w:val="auto"/>
        </w:rPr>
        <w:t>This proposal was submitted by the Bahnsen Family Trust, 520 Newport Center Drive, Suite 300, Newport Beach, California, 92660, the beneficial owner of 1,310 shares for at least one year.</w:t>
      </w:r>
    </w:p>
    <w:p>
      <w:pPr>
        <w:spacing w:after="0" w:line="154" w:lineRule="exact"/>
        <w:rPr>
          <w:sz w:val="20"/>
          <w:szCs w:val="20"/>
          <w:color w:val="auto"/>
        </w:rPr>
      </w:pPr>
    </w:p>
    <w:p>
      <w:pPr>
        <w:ind w:left="760" w:right="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 It Resolved</w:t>
      </w:r>
      <w:r>
        <w:rPr>
          <w:rFonts w:ascii="Arial" w:cs="Arial" w:eastAsia="Arial" w:hAnsi="Arial"/>
          <w:sz w:val="18"/>
          <w:szCs w:val="18"/>
          <w:color w:val="auto"/>
        </w:rPr>
        <w:t>: Shareholders request the Board of Directors charter a new Board Committee on Decarbonization Risk to evaluate ExxonMobil’s strategic vision and responses to calls for ExxonMobil decarbonization on activist-established timelines. The charter should require the committee to engage in formal review and oversight of corporate strategy, above and beyond matters of legal compliance, to assess the company’s responses to demands for such decarbonization schedules, including the potential impacts on the Company from flaws in activists’ climate models, the possibility that the U.S. will not force decarbonization according to such schedules, thus obviating ‘stranded asset’ calculations, the possibility that other countries will not adopt similar targets, thus making Company efforts meaningless, concerns about technological or economic infeasibility, and other relevant considerations.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Supporting Statement:</w:t>
      </w:r>
    </w:p>
    <w:p>
      <w:pPr>
        <w:spacing w:after="0" w:line="104" w:lineRule="exact"/>
        <w:rPr>
          <w:sz w:val="20"/>
          <w:szCs w:val="20"/>
          <w:color w:val="auto"/>
        </w:rPr>
      </w:pPr>
    </w:p>
    <w:p>
      <w:pPr>
        <w:ind w:left="760" w:right="380"/>
        <w:spacing w:after="0" w:line="215" w:lineRule="auto"/>
        <w:rPr>
          <w:sz w:val="20"/>
          <w:szCs w:val="20"/>
          <w:color w:val="auto"/>
        </w:rPr>
      </w:pPr>
      <w:r>
        <w:rPr>
          <w:rFonts w:ascii="Arial" w:cs="Arial" w:eastAsia="Arial" w:hAnsi="Arial"/>
          <w:sz w:val="18"/>
          <w:szCs w:val="18"/>
          <w:color w:val="auto"/>
        </w:rPr>
        <w:t>ExxonMobil has repeatedly stated its commitment to achieving net-zero carbon emissions by 2050. It does not appear from publicly available information, however, that ExxonMobil has fully considered the risk that decarbonization on activist schedules might entail. Claims about the need for decarbonization at all, but especially by some activist-generated date certain, are based on a long series of assumptions that are either counterfactual or insufficiently examined. For decades, for instance, claims have been made that action must be taken before some date, or it will be too late.</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If those claims were right, it’s too late for decarbonization to matter now, so we should be building up economic resources to deal with climate change. If they are wrong, then the odds are high that current claims are also wrong. ExxonMobil’s decarbonization will be meaningless if other countries do not follow the same decarbonization schedules, and there is abundant evidence that they will not.</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The United States government has never mandated net-zero by statute or authorized regulatory action</w:t>
      </w:r>
      <w:r>
        <w:rPr>
          <w:rFonts w:ascii="Arial" w:cs="Arial" w:eastAsia="Arial" w:hAnsi="Arial"/>
          <w:sz w:val="26"/>
          <w:szCs w:val="26"/>
          <w:color w:val="auto"/>
          <w:vertAlign w:val="superscript"/>
        </w:rPr>
        <w:t>3</w:t>
      </w:r>
      <w:r>
        <w:rPr>
          <w:rFonts w:ascii="Arial" w:cs="Arial" w:eastAsia="Arial" w:hAnsi="Arial"/>
          <w:sz w:val="18"/>
          <w:szCs w:val="18"/>
          <w:color w:val="auto"/>
        </w:rPr>
        <w:t>, and is unlikely ever to do so; this contravenes the assumptions of ‘stranded asset’ analysis. If decarbonization is neither required nor technologically feasible, ExxonMobil will lose significant markets and revenues to private equity firms and (less clean-producing) state actors, thus harming shareholders while also harming the environment. These and all relevant considerations should be fully and objectively examined.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158750</wp:posOffset>
            </wp:positionV>
            <wp:extent cx="166306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199" w:lineRule="exact"/>
        <w:rPr>
          <w:sz w:val="20"/>
          <w:szCs w:val="20"/>
          <w:color w:val="auto"/>
        </w:rPr>
      </w:pPr>
    </w:p>
    <w:p>
      <w:pPr>
        <w:ind w:left="1140" w:hanging="376"/>
        <w:spacing w:after="0"/>
        <w:tabs>
          <w:tab w:leader="none" w:pos="1140" w:val="left"/>
        </w:tabs>
        <w:numPr>
          <w:ilvl w:val="0"/>
          <w:numId w:val="43"/>
        </w:numPr>
        <w:rPr>
          <w:rFonts w:ascii="Arial" w:cs="Arial" w:eastAsia="Arial" w:hAnsi="Arial"/>
          <w:sz w:val="24"/>
          <w:szCs w:val="24"/>
          <w:color w:val="auto"/>
          <w:vertAlign w:val="superscript"/>
        </w:rPr>
      </w:pPr>
      <w:r>
        <w:rPr>
          <w:rFonts w:ascii="Arial" w:cs="Arial" w:eastAsia="Arial" w:hAnsi="Arial"/>
          <w:sz w:val="16"/>
          <w:szCs w:val="16"/>
          <w:color w:val="auto"/>
        </w:rPr>
        <w:t>https://nypost.com/2021/11/12/50-years-of-predictions-that-the-climate-apocalypse-is-nigh/</w:t>
      </w:r>
    </w:p>
    <w:p>
      <w:pPr>
        <w:ind w:left="1140" w:hanging="389"/>
        <w:spacing w:after="0" w:line="248" w:lineRule="auto"/>
        <w:rPr>
          <w:rFonts w:ascii="Arial" w:cs="Arial" w:eastAsia="Arial" w:hAnsi="Arial"/>
          <w:sz w:val="24"/>
          <w:szCs w:val="24"/>
          <w:color w:val="auto"/>
          <w:vertAlign w:val="superscript"/>
        </w:rPr>
      </w:pPr>
      <w:r>
        <w:rPr>
          <w:rFonts w:ascii="Arial" w:cs="Arial" w:eastAsia="Arial" w:hAnsi="Arial"/>
          <w:sz w:val="24"/>
          <w:szCs w:val="24"/>
          <w:color w:val="auto"/>
          <w:vertAlign w:val="superscript"/>
        </w:rPr>
        <w:t>2</w:t>
      </w:r>
      <w:r>
        <w:rPr>
          <w:rFonts w:ascii="Arial" w:cs="Arial" w:eastAsia="Arial" w:hAnsi="Arial"/>
          <w:sz w:val="16"/>
          <w:szCs w:val="16"/>
          <w:color w:val="auto"/>
        </w:rPr>
        <w:t>https://www.theepochtimes.com/across-the-world-coal-power-is-back_4671888.html; https://www.realclearenergy.org/ articles/2022/06/03/india_and_china_coal_production_surging_by_700m_tons_per_year_thats_greater_than_all_us_coal _output_835483.html https://www.breitbart.com/environment/2022/04/21/worlds-worst-polluter-china-increases-coal-production-by-three-hundred-million-tons/ https://mishtalk.com/economics/global-net-zero-climate-change-targets-are-pie-in-the-sky</w:t>
      </w:r>
    </w:p>
    <w:p>
      <w:pPr>
        <w:spacing w:after="0" w:line="373" w:lineRule="exact"/>
        <w:rPr>
          <w:rFonts w:ascii="Arial" w:cs="Arial" w:eastAsia="Arial" w:hAnsi="Arial"/>
          <w:sz w:val="24"/>
          <w:szCs w:val="24"/>
          <w:color w:val="auto"/>
          <w:vertAlign w:val="superscript"/>
        </w:rPr>
      </w:pPr>
    </w:p>
    <w:p>
      <w:pPr>
        <w:ind w:left="760"/>
        <w:spacing w:after="0"/>
        <w:rPr>
          <w:rFonts w:ascii="Arial" w:cs="Arial" w:eastAsia="Arial" w:hAnsi="Arial"/>
          <w:sz w:val="24"/>
          <w:szCs w:val="24"/>
          <w:color w:val="auto"/>
          <w:vertAlign w:val="superscript"/>
        </w:rPr>
      </w:pPr>
      <w:r>
        <w:rPr>
          <w:rFonts w:ascii="Arial" w:cs="Arial" w:eastAsia="Arial" w:hAnsi="Arial"/>
          <w:sz w:val="24"/>
          <w:szCs w:val="24"/>
          <w:color w:val="auto"/>
          <w:vertAlign w:val="superscript"/>
        </w:rPr>
        <w:t>3</w:t>
      </w:r>
      <w:r>
        <w:rPr>
          <w:rFonts w:ascii="Arial" w:cs="Arial" w:eastAsia="Arial" w:hAnsi="Arial"/>
          <w:sz w:val="16"/>
          <w:szCs w:val="16"/>
          <w:color w:val="auto"/>
        </w:rPr>
        <w:t>https://www.npr.org/2022/06/30/1103595898/supreme-court-epa-climate-change”</w:t>
      </w:r>
    </w:p>
    <w:p>
      <w:pPr>
        <w:spacing w:after="0" w:line="21"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78</w:t>
      </w:r>
      <w:r>
        <w:rPr>
          <w:sz w:val="20"/>
          <w:szCs w:val="20"/>
          <w:color w:val="auto"/>
        </w:rPr>
        <w:tab/>
      </w:r>
      <w:r>
        <w:rPr>
          <w:sz w:val="1"/>
          <w:szCs w:val="1"/>
          <w:color w:val="auto"/>
        </w:rPr>
        <w:drawing>
          <wp:inline distT="0" distB="0" distL="0" distR="0">
            <wp:extent cx="737235" cy="145415"/>
            <wp:effectExtent l="0" t="0" r="0" b="0"/>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2023 Proxy Statement</w:t>
      </w:r>
    </w:p>
    <w:p>
      <w:pPr>
        <w:sectPr>
          <w:pgSz w:w="11900" w:h="16838" w:orient="portrait"/>
          <w:cols w:equalWidth="0" w:num="1">
            <w:col w:w="10860"/>
          </w:cols>
          <w:pgMar w:left="320" w:top="482" w:right="7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The Board carefully considered this proposal and recommends you vote AGAINST it for the following reasons:</w:t>
      </w:r>
    </w:p>
    <w:p>
      <w:pPr>
        <w:spacing w:after="0" w:line="104" w:lineRule="exact"/>
        <w:rPr>
          <w:sz w:val="20"/>
          <w:szCs w:val="20"/>
          <w:color w:val="auto"/>
        </w:rPr>
      </w:pPr>
    </w:p>
    <w:p>
      <w:pPr>
        <w:ind w:left="760" w:right="160"/>
        <w:spacing w:after="0" w:line="247" w:lineRule="auto"/>
        <w:rPr>
          <w:sz w:val="20"/>
          <w:szCs w:val="20"/>
          <w:color w:val="auto"/>
        </w:rPr>
      </w:pPr>
      <w:r>
        <w:rPr>
          <w:rFonts w:ascii="Arial" w:cs="Arial" w:eastAsia="Arial" w:hAnsi="Arial"/>
          <w:sz w:val="18"/>
          <w:szCs w:val="18"/>
          <w:color w:val="auto"/>
        </w:rPr>
        <w:t>The Board and several of its committees actively oversee the development of the Company’s strategy, including all matters related to our decarbonization efforts. Forming a new committee solely for the narrow purpose of reviewing what the full Board and several of its committees already spend significant time and effort engaged in is unnecessary and redundant.</w:t>
      </w:r>
    </w:p>
    <w:p>
      <w:pPr>
        <w:spacing w:after="0" w:line="174" w:lineRule="exact"/>
        <w:rPr>
          <w:sz w:val="20"/>
          <w:szCs w:val="20"/>
          <w:color w:val="auto"/>
        </w:rPr>
      </w:pPr>
    </w:p>
    <w:p>
      <w:pPr>
        <w:ind w:left="760" w:right="60"/>
        <w:spacing w:after="0"/>
        <w:rPr>
          <w:sz w:val="20"/>
          <w:szCs w:val="20"/>
          <w:color w:val="auto"/>
        </w:rPr>
      </w:pPr>
      <w:r>
        <w:rPr>
          <w:rFonts w:ascii="Arial" w:cs="Arial" w:eastAsia="Arial" w:hAnsi="Arial"/>
          <w:sz w:val="18"/>
          <w:szCs w:val="18"/>
          <w:color w:val="auto"/>
        </w:rPr>
        <w:t>The Board stays well informed of risks and opportunities relevant to strategic decisions through regular briefings on supply-and-demand metrics, impact of geopolitical events, scientific and technical research updates, public policy positions and analyses, signposts for the pace of the transition to lower-emission energy sources, and the progress of our initiatives and actions. The Board also assesses our management of, and response to, other external risk factors, including regulation, climate change, and the energy transition. The Environment, Safety and Public Policy Committee (ESPP) oversees operational and other risks that result from technology, policy, and regulatory changes, and regularly engages with senior management on climate matters and our environmental approach and performance.</w:t>
      </w:r>
    </w:p>
    <w:p>
      <w:pPr>
        <w:spacing w:after="0" w:line="185" w:lineRule="exact"/>
        <w:rPr>
          <w:sz w:val="20"/>
          <w:szCs w:val="20"/>
          <w:color w:val="auto"/>
        </w:rPr>
      </w:pPr>
    </w:p>
    <w:p>
      <w:pPr>
        <w:ind w:left="760" w:right="120"/>
        <w:spacing w:after="0"/>
        <w:rPr>
          <w:sz w:val="20"/>
          <w:szCs w:val="20"/>
          <w:color w:val="auto"/>
        </w:rPr>
      </w:pPr>
      <w:r>
        <w:rPr>
          <w:rFonts w:ascii="Arial" w:cs="Arial" w:eastAsia="Arial" w:hAnsi="Arial"/>
          <w:sz w:val="18"/>
          <w:szCs w:val="18"/>
          <w:color w:val="auto"/>
        </w:rPr>
        <w:t>The full Board and its various committees, in line with their oversight responsibilities, also review and approve ExxonMobil’s strategy and our annual and medium-term operating plan. Importantly, our strategy leverages the same competitive advantages and core competencies to address both our heritage businesses and our new Low Carbon Solutions business. This approach allows us to allocate our resources in line with market demands and policy developments, and pace our investments in lower-emissions initiatives with value-accretive opportunities as those develop. The full Board carefully considered the concerns raised by the proponent with their endorsement of our strategy that is robust to a range of scenarios, from “business as usual” to “full decarbonization” and at any point in between.</w:t>
      </w:r>
    </w:p>
    <w:p>
      <w:pPr>
        <w:spacing w:after="0" w:line="185" w:lineRule="exact"/>
        <w:rPr>
          <w:sz w:val="20"/>
          <w:szCs w:val="20"/>
          <w:color w:val="auto"/>
        </w:rPr>
      </w:pPr>
    </w:p>
    <w:p>
      <w:pPr>
        <w:ind w:left="760" w:right="120"/>
        <w:spacing w:after="0" w:line="244" w:lineRule="auto"/>
        <w:rPr>
          <w:sz w:val="20"/>
          <w:szCs w:val="20"/>
          <w:color w:val="auto"/>
        </w:rPr>
      </w:pPr>
      <w:r>
        <w:rPr>
          <w:rFonts w:ascii="Arial" w:cs="Arial" w:eastAsia="Arial" w:hAnsi="Arial"/>
          <w:sz w:val="18"/>
          <w:szCs w:val="18"/>
          <w:color w:val="auto"/>
        </w:rPr>
        <w:t>Further, after discussion and dialogue with ExxonMobil management, the Board exercised its oversight in endorsing our five-year plans through 2027, which prioritize high-return, low cost of supply assets, and support efforts to reduce emissions in our own operations and to help others reduce theirs. Our capital plan allocates $17 billion for investments in lower-emission investments, including in our Low Carbon Solutions business, which is expected to generate competitive returns for shareholders.</w:t>
      </w:r>
    </w:p>
    <w:p>
      <w:pPr>
        <w:spacing w:after="0" w:line="176" w:lineRule="exact"/>
        <w:rPr>
          <w:sz w:val="20"/>
          <w:szCs w:val="20"/>
          <w:color w:val="auto"/>
        </w:rPr>
      </w:pPr>
    </w:p>
    <w:p>
      <w:pPr>
        <w:ind w:left="760"/>
        <w:spacing w:after="0" w:line="242" w:lineRule="auto"/>
        <w:rPr>
          <w:sz w:val="20"/>
          <w:szCs w:val="20"/>
          <w:color w:val="auto"/>
        </w:rPr>
      </w:pPr>
      <w:r>
        <w:rPr>
          <w:rFonts w:ascii="Arial" w:cs="Arial" w:eastAsia="Arial" w:hAnsi="Arial"/>
          <w:sz w:val="18"/>
          <w:szCs w:val="18"/>
          <w:color w:val="auto"/>
        </w:rPr>
        <w:t xml:space="preserve">In speaking with the proponent, we understand the primary concern is disclosure of risks we could face if we over-invest in energy-transition opportunities, either without policy or ahead of it. The Board recognizes that there is risk in pursuing or foregoing investment opportunities – whether in the base business or in new areas; thus, investment decisions are informed by a whole host of considerations to test for resiliency. The “decarbonization risk” outlined by the proponent is one of many risks already incorporated into the rigorous risk oversight framework and processes overseen by the Board and the relevant Committees, and also well disclosed in Company materials. Therefore, the Board recommends a vote </w:t>
      </w:r>
      <w:r>
        <w:rPr>
          <w:rFonts w:ascii="Arial" w:cs="Arial" w:eastAsia="Arial" w:hAnsi="Arial"/>
          <w:sz w:val="18"/>
          <w:szCs w:val="18"/>
          <w:b w:val="1"/>
          <w:bCs w:val="1"/>
          <w:color w:val="auto"/>
        </w:rPr>
        <w:t xml:space="preserve">against </w:t>
      </w:r>
      <w:r>
        <w:rPr>
          <w:rFonts w:ascii="Arial" w:cs="Arial" w:eastAsia="Arial" w:hAnsi="Arial"/>
          <w:sz w:val="18"/>
          <w:szCs w:val="18"/>
          <w:color w:val="auto"/>
        </w:rPr>
        <w:t>this proposal.</w:t>
      </w:r>
    </w:p>
    <w:p>
      <w:pPr>
        <w:spacing w:after="0" w:line="384"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Item 6 – Reduce Executive Stock Holding Period</w:t>
      </w:r>
    </w:p>
    <w:p>
      <w:pPr>
        <w:spacing w:after="0" w:line="99" w:lineRule="exact"/>
        <w:rPr>
          <w:sz w:val="20"/>
          <w:szCs w:val="20"/>
          <w:color w:val="auto"/>
        </w:rPr>
      </w:pPr>
    </w:p>
    <w:p>
      <w:pPr>
        <w:ind w:left="760" w:right="400"/>
        <w:spacing w:after="0" w:line="271" w:lineRule="auto"/>
        <w:rPr>
          <w:sz w:val="20"/>
          <w:szCs w:val="20"/>
          <w:color w:val="auto"/>
        </w:rPr>
      </w:pPr>
      <w:r>
        <w:rPr>
          <w:rFonts w:ascii="Arial" w:cs="Arial" w:eastAsia="Arial" w:hAnsi="Arial"/>
          <w:sz w:val="18"/>
          <w:szCs w:val="18"/>
          <w:color w:val="auto"/>
        </w:rPr>
        <w:t>This proposal was submitted by Kenneth Steiner, 14 Stoner Avenue, 2M, Great Neck, New York 11021, the beneficial owner of at least 500 shares for at least three years.</w:t>
      </w:r>
    </w:p>
    <w:p>
      <w:pPr>
        <w:spacing w:after="0" w:line="154"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Proposal 6 – Executives to Retain Significant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163195</wp:posOffset>
            </wp:positionV>
            <wp:extent cx="2863215" cy="56578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86321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760" w:right="40"/>
        <w:spacing w:after="0" w:line="247" w:lineRule="auto"/>
        <w:rPr>
          <w:sz w:val="20"/>
          <w:szCs w:val="20"/>
          <w:color w:val="auto"/>
        </w:rPr>
      </w:pPr>
      <w:r>
        <w:rPr>
          <w:rFonts w:ascii="Arial" w:cs="Arial" w:eastAsia="Arial" w:hAnsi="Arial"/>
          <w:sz w:val="18"/>
          <w:szCs w:val="18"/>
          <w:color w:val="auto"/>
        </w:rPr>
        <w:t>Shareholders urge that our executive pay committee adopt a policy requiring senior executives to retain 50% of stock acquired through equity pay programs until reaching normal retirement age and to report to shareholders regarding the policy in our Company’s next annual meeting proxy. For the purpose of this policy, normal retirement age would be an age of at least 60 and be determined by our executive pay committee.</w:t>
      </w:r>
    </w:p>
    <w:p>
      <w:pPr>
        <w:spacing w:after="0" w:line="174" w:lineRule="exact"/>
        <w:rPr>
          <w:sz w:val="20"/>
          <w:szCs w:val="20"/>
          <w:color w:val="auto"/>
        </w:rPr>
      </w:pPr>
    </w:p>
    <w:p>
      <w:pPr>
        <w:ind w:left="760" w:right="600"/>
        <w:spacing w:after="0" w:line="301" w:lineRule="auto"/>
        <w:rPr>
          <w:sz w:val="20"/>
          <w:szCs w:val="20"/>
          <w:color w:val="auto"/>
        </w:rPr>
      </w:pPr>
      <w:r>
        <w:rPr>
          <w:rFonts w:ascii="Arial" w:cs="Arial" w:eastAsia="Arial" w:hAnsi="Arial"/>
          <w:sz w:val="17"/>
          <w:szCs w:val="17"/>
          <w:color w:val="auto"/>
        </w:rPr>
        <w:t>This single unified policy shall prohibit hedging transactions for shares subject to this policy which are not sales but reduce the risk of loss to the executive. Otherwise our directors might be able to avoid the impact of this proposal.</w:t>
      </w:r>
    </w:p>
    <w:p>
      <w:pPr>
        <w:spacing w:after="0" w:line="62"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60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480"/>
          </w:cols>
          <w:pgMar w:left="320" w:top="482" w:right="10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760" w:right="40"/>
        <w:spacing w:after="0" w:line="247" w:lineRule="auto"/>
        <w:rPr>
          <w:sz w:val="20"/>
          <w:szCs w:val="20"/>
          <w:color w:val="auto"/>
        </w:rPr>
      </w:pPr>
      <w:r>
        <w:rPr>
          <w:rFonts w:ascii="Arial" w:cs="Arial" w:eastAsia="Arial" w:hAnsi="Arial"/>
          <w:sz w:val="18"/>
          <w:szCs w:val="18"/>
          <w:color w:val="auto"/>
        </w:rPr>
        <w:t>This policy shall supplement any other share ownership requirements that have been established for senior executives, and should be implemented without violating current company contractual obligations or the terms of any current pay or benefit plan. The Board is encouraged to obtain waivers of any current pay or benefit plan for senior executives that might delay implementation of this proposal.</w:t>
      </w:r>
    </w:p>
    <w:p>
      <w:pPr>
        <w:spacing w:after="0" w:line="174" w:lineRule="exact"/>
        <w:rPr>
          <w:sz w:val="20"/>
          <w:szCs w:val="20"/>
          <w:color w:val="auto"/>
        </w:rPr>
      </w:pPr>
    </w:p>
    <w:p>
      <w:pPr>
        <w:jc w:val="both"/>
        <w:ind w:left="760" w:right="300"/>
        <w:spacing w:after="0" w:line="253" w:lineRule="auto"/>
        <w:rPr>
          <w:sz w:val="20"/>
          <w:szCs w:val="20"/>
          <w:color w:val="auto"/>
        </w:rPr>
      </w:pPr>
      <w:r>
        <w:rPr>
          <w:rFonts w:ascii="Arial" w:cs="Arial" w:eastAsia="Arial" w:hAnsi="Arial"/>
          <w:sz w:val="18"/>
          <w:szCs w:val="18"/>
          <w:color w:val="auto"/>
        </w:rPr>
        <w:t>Requiring senior executives to hold a significant portion of stock obtained through executive pay plans would focus our executives on our company’s long-term success. A Conference Board Task Force report stated that hold-to-retirement requirements give executives ‘an ever-growing incentive to focus on long-term stock price performance.’</w:t>
      </w:r>
    </w:p>
    <w:p>
      <w:pPr>
        <w:spacing w:after="0" w:line="169" w:lineRule="exact"/>
        <w:rPr>
          <w:sz w:val="20"/>
          <w:szCs w:val="20"/>
          <w:color w:val="auto"/>
        </w:rPr>
      </w:pPr>
    </w:p>
    <w:p>
      <w:pPr>
        <w:jc w:val="center"/>
        <w:ind w:right="-779"/>
        <w:spacing w:after="0"/>
        <w:rPr>
          <w:sz w:val="20"/>
          <w:szCs w:val="20"/>
          <w:color w:val="auto"/>
        </w:rPr>
      </w:pPr>
      <w:r>
        <w:rPr>
          <w:rFonts w:ascii="Arial" w:cs="Arial" w:eastAsia="Arial" w:hAnsi="Arial"/>
          <w:sz w:val="18"/>
          <w:szCs w:val="18"/>
          <w:color w:val="auto"/>
        </w:rPr>
        <w:t>Please vote yes:</w:t>
      </w:r>
    </w:p>
    <w:p>
      <w:pPr>
        <w:spacing w:after="0" w:line="14"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Executives to Retain Significant Stock – Proposal 6</w:t>
      </w:r>
      <w:r>
        <w:rPr>
          <w:rFonts w:ascii="Arial" w:cs="Arial" w:eastAsia="Arial" w:hAnsi="Arial"/>
          <w:sz w:val="18"/>
          <w:szCs w:val="18"/>
          <w:color w:val="auto"/>
        </w:rPr>
        <w:t>”</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The Board carefully considered this proposal and recommends you vote AGAINST it for the following reasons:</w:t>
      </w:r>
    </w:p>
    <w:p>
      <w:pPr>
        <w:spacing w:after="0" w:line="104" w:lineRule="exact"/>
        <w:rPr>
          <w:sz w:val="20"/>
          <w:szCs w:val="20"/>
          <w:color w:val="auto"/>
        </w:rPr>
      </w:pPr>
    </w:p>
    <w:p>
      <w:pPr>
        <w:ind w:left="760" w:right="280"/>
        <w:spacing w:after="0" w:line="244" w:lineRule="auto"/>
        <w:rPr>
          <w:sz w:val="20"/>
          <w:szCs w:val="20"/>
          <w:color w:val="auto"/>
        </w:rPr>
      </w:pPr>
      <w:r>
        <w:rPr>
          <w:rFonts w:ascii="Arial" w:cs="Arial" w:eastAsia="Arial" w:hAnsi="Arial"/>
          <w:sz w:val="18"/>
          <w:szCs w:val="18"/>
          <w:color w:val="auto"/>
        </w:rPr>
        <w:t>The Board fully recognizes the importance of tying executive compensation to the Company’s long-term success. However, this proposal is unnecessary as ExxonMobil’s executive compensation program is already designed with that clear goal in mind. Through its design, stock ownership for senior executives far exceeds the requirements of this proposal. We attempted to engage the proponent and explain that this proposal would result in a reduction of stock ownership into retirement, but he declined to speak with us.</w:t>
      </w:r>
    </w:p>
    <w:p>
      <w:pPr>
        <w:spacing w:after="0" w:line="176" w:lineRule="exact"/>
        <w:rPr>
          <w:sz w:val="20"/>
          <w:szCs w:val="20"/>
          <w:color w:val="auto"/>
        </w:rPr>
      </w:pPr>
    </w:p>
    <w:p>
      <w:pPr>
        <w:ind w:left="760"/>
        <w:spacing w:after="0" w:line="244" w:lineRule="auto"/>
        <w:rPr>
          <w:sz w:val="20"/>
          <w:szCs w:val="20"/>
          <w:color w:val="auto"/>
        </w:rPr>
      </w:pPr>
      <w:r>
        <w:rPr>
          <w:rFonts w:ascii="Arial" w:cs="Arial" w:eastAsia="Arial" w:hAnsi="Arial"/>
          <w:sz w:val="18"/>
          <w:szCs w:val="18"/>
          <w:color w:val="auto"/>
        </w:rPr>
        <w:t xml:space="preserve">ExxonMobil’s long-term incentive program represents more than 70 percent of total direct compensation for senior executives and takes the form of performance shares subject to some of the longest restriction periods in the Fortune 100. Half of the performance shares vest five years from grant date, while the remaining half vest 10 years from grant date. Vesting is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accelerated at retirement; rather, vesting continues up to 10 years after a senior executive retires and awards remain at risk of forfeiture while unvested.</w:t>
      </w:r>
    </w:p>
    <w:p>
      <w:pPr>
        <w:spacing w:after="0" w:line="176" w:lineRule="exact"/>
        <w:rPr>
          <w:sz w:val="20"/>
          <w:szCs w:val="20"/>
          <w:color w:val="auto"/>
        </w:rPr>
      </w:pPr>
    </w:p>
    <w:p>
      <w:pPr>
        <w:ind w:left="760" w:right="120"/>
        <w:spacing w:after="0" w:line="247" w:lineRule="auto"/>
        <w:rPr>
          <w:sz w:val="20"/>
          <w:szCs w:val="20"/>
          <w:color w:val="auto"/>
        </w:rPr>
      </w:pPr>
      <w:r>
        <w:rPr>
          <w:rFonts w:ascii="Arial" w:cs="Arial" w:eastAsia="Arial" w:hAnsi="Arial"/>
          <w:sz w:val="18"/>
          <w:szCs w:val="18"/>
          <w:color w:val="auto"/>
        </w:rPr>
        <w:t>Of Executive Officers who retired from ExxonMobil January 1, 2020, through January 1, 2023, the average age of appointment in position was 52 and average age of retirement was 62. The chart below shows vesting of awards granted over this timeframe. The grey bar represents each year that an award is granted. The light and dark blue bars reflect the 50 percent of awards that vest in five and 10 years, respectively, from grant date.</w:t>
      </w:r>
    </w:p>
    <w:p>
      <w:pPr>
        <w:spacing w:after="0" w:line="174" w:lineRule="exact"/>
        <w:rPr>
          <w:sz w:val="20"/>
          <w:szCs w:val="20"/>
          <w:color w:val="auto"/>
        </w:rPr>
      </w:pPr>
    </w:p>
    <w:p>
      <w:pPr>
        <w:ind w:left="760" w:right="160"/>
        <w:spacing w:after="0" w:line="253" w:lineRule="auto"/>
        <w:rPr>
          <w:sz w:val="20"/>
          <w:szCs w:val="20"/>
          <w:color w:val="auto"/>
        </w:rPr>
      </w:pPr>
      <w:r>
        <w:rPr>
          <w:rFonts w:ascii="Arial" w:cs="Arial" w:eastAsia="Arial" w:hAnsi="Arial"/>
          <w:sz w:val="18"/>
          <w:szCs w:val="18"/>
          <w:color w:val="auto"/>
        </w:rPr>
        <w:t>As demonstrated in the chart, upon retirement at age 62, 26 percent of awards granted over this timeframe have vested, whereas 74 percent remains unvested and will vest over the next 10 years. This stock holding far exceeds the requirements stated in the shareholder proposal.</w:t>
      </w:r>
    </w:p>
    <w:p>
      <w:pPr>
        <w:spacing w:after="0" w:line="169" w:lineRule="exact"/>
        <w:rPr>
          <w:sz w:val="20"/>
          <w:szCs w:val="20"/>
          <w:color w:val="auto"/>
        </w:rPr>
      </w:pPr>
    </w:p>
    <w:p>
      <w:pPr>
        <w:ind w:left="760" w:right="220"/>
        <w:spacing w:after="0" w:line="247" w:lineRule="auto"/>
        <w:rPr>
          <w:sz w:val="20"/>
          <w:szCs w:val="20"/>
          <w:color w:val="auto"/>
        </w:rPr>
      </w:pPr>
      <w:r>
        <w:rPr>
          <w:rFonts w:ascii="Arial" w:cs="Arial" w:eastAsia="Arial" w:hAnsi="Arial"/>
          <w:sz w:val="18"/>
          <w:szCs w:val="18"/>
          <w:color w:val="auto"/>
        </w:rPr>
        <w:t>In addition, retaining 50 percent of awards only until retirement, as stated in this proposal, would in fact result in accelerated vesting — thus undermining the intent of the program and misaligning the interests of our senior executives with those of our long-term investors. Our senior executives have a significant percentage of their wealth represented in shares, and their interests are well aligned with that of shareholders well into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139700</wp:posOffset>
            </wp:positionV>
            <wp:extent cx="5648960" cy="131127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648960"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Furthermore, our policies already prohibit hedging awards granted under the program.</w:t>
      </w:r>
    </w:p>
    <w:p>
      <w:pPr>
        <w:spacing w:after="0" w:line="212" w:lineRule="exact"/>
        <w:rPr>
          <w:sz w:val="20"/>
          <w:szCs w:val="20"/>
          <w:color w:val="auto"/>
        </w:rPr>
      </w:pPr>
    </w:p>
    <w:p>
      <w:pPr>
        <w:jc w:val="both"/>
        <w:ind w:left="760" w:right="20"/>
        <w:spacing w:after="0" w:line="257" w:lineRule="auto"/>
        <w:rPr>
          <w:sz w:val="20"/>
          <w:szCs w:val="20"/>
          <w:color w:val="auto"/>
        </w:rPr>
      </w:pPr>
      <w:r>
        <w:rPr>
          <w:rFonts w:ascii="Arial" w:cs="Arial" w:eastAsia="Arial" w:hAnsi="Arial"/>
          <w:sz w:val="18"/>
          <w:szCs w:val="18"/>
          <w:color w:val="auto"/>
        </w:rPr>
        <w:t xml:space="preserve">The Board believes this proposal is unnecessary. Strong forfeiture and hedging policies are already in place. Adopting the proposed vesting schedule would result in a shortening of senior executive award retention, which would be detrimental to the intent of the program and shareholder interests. As such, the Board recommends a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this proposal.</w:t>
      </w:r>
    </w:p>
    <w:p>
      <w:pPr>
        <w:spacing w:after="0" w:line="71"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80</w:t>
      </w:r>
      <w:r>
        <w:rPr>
          <w:sz w:val="20"/>
          <w:szCs w:val="20"/>
          <w:color w:val="auto"/>
        </w:rPr>
        <w:tab/>
      </w:r>
      <w:r>
        <w:rPr>
          <w:sz w:val="1"/>
          <w:szCs w:val="1"/>
          <w:color w:val="auto"/>
        </w:rPr>
        <w:drawing>
          <wp:inline distT="0" distB="0" distL="0" distR="0">
            <wp:extent cx="737235" cy="145415"/>
            <wp:effectExtent l="0" t="0" r="0" b="0"/>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2023 Proxy Statement</w:t>
      </w:r>
    </w:p>
    <w:p>
      <w:pPr>
        <w:sectPr>
          <w:pgSz w:w="11900" w:h="16838" w:orient="portrait"/>
          <w:cols w:equalWidth="0" w:num="1">
            <w:col w:w="10480"/>
          </w:cols>
          <w:pgMar w:left="320" w:top="482" w:right="10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Item 7 – Additional Carbon Capture and Storage and Emissions Report</w:t>
      </w:r>
    </w:p>
    <w:p>
      <w:pPr>
        <w:spacing w:after="0" w:line="99" w:lineRule="exact"/>
        <w:rPr>
          <w:sz w:val="20"/>
          <w:szCs w:val="20"/>
          <w:color w:val="auto"/>
        </w:rPr>
      </w:pPr>
    </w:p>
    <w:p>
      <w:pPr>
        <w:ind w:left="760" w:right="160"/>
        <w:spacing w:after="0" w:line="271" w:lineRule="auto"/>
        <w:rPr>
          <w:sz w:val="20"/>
          <w:szCs w:val="20"/>
          <w:color w:val="auto"/>
        </w:rPr>
      </w:pPr>
      <w:r>
        <w:rPr>
          <w:rFonts w:ascii="Arial" w:cs="Arial" w:eastAsia="Arial" w:hAnsi="Arial"/>
          <w:sz w:val="18"/>
          <w:szCs w:val="18"/>
          <w:color w:val="auto"/>
        </w:rPr>
        <w:t>This proposal was submitted by Steve Milloy, 12309 Briarbush Lane, Potomac, Maryland 20854, the beneficial owner of 100 shares for at least three years.</w:t>
      </w:r>
    </w:p>
    <w:p>
      <w:pPr>
        <w:spacing w:after="0" w:line="154"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Carbon Capture and Storage Report Card</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Resolved:</w:t>
      </w:r>
    </w:p>
    <w:p>
      <w:pPr>
        <w:spacing w:after="0" w:line="104" w:lineRule="exact"/>
        <w:rPr>
          <w:sz w:val="20"/>
          <w:szCs w:val="20"/>
          <w:color w:val="auto"/>
        </w:rPr>
      </w:pPr>
    </w:p>
    <w:p>
      <w:pPr>
        <w:ind w:left="760"/>
        <w:spacing w:after="0" w:line="253" w:lineRule="auto"/>
        <w:rPr>
          <w:sz w:val="20"/>
          <w:szCs w:val="20"/>
          <w:color w:val="auto"/>
        </w:rPr>
      </w:pPr>
      <w:r>
        <w:rPr>
          <w:rFonts w:ascii="Arial" w:cs="Arial" w:eastAsia="Arial" w:hAnsi="Arial"/>
          <w:sz w:val="18"/>
          <w:szCs w:val="18"/>
          <w:color w:val="auto"/>
        </w:rPr>
        <w:t>Shareholders request that, beginning in 2023, ExxonMobil report annually to shareholders, omitting any confidential business information, the net amount of carbon dioxide (CO2) stored underground as a result of the company’s enhanced oil recovery (EOR) activities, including:</w:t>
      </w:r>
    </w:p>
    <w:p>
      <w:pPr>
        <w:spacing w:after="0" w:line="74" w:lineRule="exact"/>
        <w:rPr>
          <w:sz w:val="20"/>
          <w:szCs w:val="20"/>
          <w:color w:val="auto"/>
        </w:rPr>
      </w:pPr>
    </w:p>
    <w:p>
      <w:pPr>
        <w:ind w:left="1140" w:hanging="376"/>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total amount (in tons) of captured CO2 stored underground during EOR for the year;</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total amount of oil (in barrels) produced through CO2-based EOR for the year; and</w:t>
      </w:r>
    </w:p>
    <w:p>
      <w:pPr>
        <w:spacing w:after="0" w:line="117" w:lineRule="exact"/>
        <w:rPr>
          <w:rFonts w:ascii="Arial" w:cs="Arial" w:eastAsia="Arial" w:hAnsi="Arial"/>
          <w:sz w:val="18"/>
          <w:szCs w:val="18"/>
          <w:color w:val="auto"/>
        </w:rPr>
      </w:pPr>
    </w:p>
    <w:p>
      <w:pPr>
        <w:ind w:left="1140" w:right="220" w:hanging="376"/>
        <w:spacing w:after="0" w:line="247" w:lineRule="auto"/>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difference (in tons) between the CO2 stored underground during EOR and the expected CO2 emissions produced by the burning of the oil produced by EOR, as calculated using EPA greenhouse gas equivalencies (i.e., 0.43 tons of CO2 per barrel of oil, https://www.epa.gov/energy/greenhouse-gases-equivalencies-calculator -calculations-and-references) or other reasonable means.</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Supporting Statement:</w:t>
      </w:r>
    </w:p>
    <w:p>
      <w:pPr>
        <w:spacing w:after="0" w:line="104" w:lineRule="exact"/>
        <w:rPr>
          <w:sz w:val="20"/>
          <w:szCs w:val="20"/>
          <w:color w:val="auto"/>
        </w:rPr>
      </w:pPr>
    </w:p>
    <w:p>
      <w:pPr>
        <w:ind w:left="760" w:right="140"/>
        <w:spacing w:after="0" w:line="244" w:lineRule="auto"/>
        <w:rPr>
          <w:sz w:val="20"/>
          <w:szCs w:val="20"/>
          <w:color w:val="auto"/>
        </w:rPr>
      </w:pPr>
      <w:r>
        <w:rPr>
          <w:rFonts w:ascii="Arial" w:cs="Arial" w:eastAsia="Arial" w:hAnsi="Arial"/>
          <w:sz w:val="18"/>
          <w:szCs w:val="18"/>
          <w:color w:val="auto"/>
        </w:rPr>
        <w:t>ExxonMobil stated on November 6, 2022: ‘ExxonMobil is counting on its long track record in carbon capture for use in enhanced oil recovery to underpin its ambitions for permanent geologic sequestration of greenhouse gases... It’s a well-proven technology that we’ve been doing for many years. We actually account for 40% globally of man-made carbon dioxide that’s being captured.’ https://www.upstreamonline.com/energy-transition/exxonmobil-sees -enhanced-oil-recovery-expertise-as-learning-path-for-climate-action/2-1-1274460</w:t>
      </w:r>
    </w:p>
    <w:p>
      <w:pPr>
        <w:spacing w:after="0" w:line="176" w:lineRule="exact"/>
        <w:rPr>
          <w:sz w:val="20"/>
          <w:szCs w:val="20"/>
          <w:color w:val="auto"/>
        </w:rPr>
      </w:pPr>
    </w:p>
    <w:p>
      <w:pPr>
        <w:jc w:val="both"/>
        <w:ind w:left="760" w:right="80"/>
        <w:spacing w:after="0" w:line="253" w:lineRule="auto"/>
        <w:rPr>
          <w:sz w:val="20"/>
          <w:szCs w:val="20"/>
          <w:color w:val="auto"/>
        </w:rPr>
      </w:pPr>
      <w:r>
        <w:rPr>
          <w:rFonts w:ascii="Arial" w:cs="Arial" w:eastAsia="Arial" w:hAnsi="Arial"/>
          <w:sz w:val="18"/>
          <w:szCs w:val="18"/>
          <w:color w:val="auto"/>
        </w:rPr>
        <w:t>But it’s not at all clear that CO2 capture for EOR results in a net storage of CO2. After all, the produced oil will be burned by consumers and the amount of CO2 emitted thereby may in fact be greater than the amount of CO2 stored. See, e.g., https://junkscience.com/2016/03/no-co2-used-to-produce-oil-does-not-store-co2/</w:t>
      </w:r>
    </w:p>
    <w:p>
      <w:pPr>
        <w:spacing w:after="0" w:line="169" w:lineRule="exact"/>
        <w:rPr>
          <w:sz w:val="20"/>
          <w:szCs w:val="20"/>
          <w:color w:val="auto"/>
        </w:rPr>
      </w:pPr>
    </w:p>
    <w:p>
      <w:pPr>
        <w:ind w:left="760" w:right="340"/>
        <w:spacing w:after="0" w:line="271" w:lineRule="auto"/>
        <w:rPr>
          <w:sz w:val="20"/>
          <w:szCs w:val="20"/>
          <w:color w:val="auto"/>
        </w:rPr>
      </w:pPr>
      <w:r>
        <w:rPr>
          <w:rFonts w:ascii="Arial" w:cs="Arial" w:eastAsia="Arial" w:hAnsi="Arial"/>
          <w:sz w:val="18"/>
          <w:szCs w:val="18"/>
          <w:color w:val="auto"/>
        </w:rPr>
        <w:t>In the event that more CO2 is emitted as a result of EOR than is stored, it would be false and misleading to imply that EOR reduces CO2 in the atmosphere.</w:t>
      </w:r>
    </w:p>
    <w:p>
      <w:pPr>
        <w:spacing w:after="0" w:line="154" w:lineRule="exact"/>
        <w:rPr>
          <w:sz w:val="20"/>
          <w:szCs w:val="20"/>
          <w:color w:val="auto"/>
        </w:rPr>
      </w:pPr>
    </w:p>
    <w:p>
      <w:pPr>
        <w:ind w:left="760" w:right="560"/>
        <w:spacing w:after="0" w:line="271" w:lineRule="auto"/>
        <w:rPr>
          <w:sz w:val="20"/>
          <w:szCs w:val="20"/>
          <w:color w:val="auto"/>
        </w:rPr>
      </w:pPr>
      <w:r>
        <w:rPr>
          <w:rFonts w:ascii="Arial" w:cs="Arial" w:eastAsia="Arial" w:hAnsi="Arial"/>
          <w:sz w:val="18"/>
          <w:szCs w:val="18"/>
          <w:color w:val="auto"/>
        </w:rPr>
        <w:t>Such false and misleading information could make the company subject to government enforcement actions, other lawsuits and reputational harm that would adversely affect shareholder value.</w:t>
      </w:r>
    </w:p>
    <w:p>
      <w:pPr>
        <w:spacing w:after="0" w:line="154" w:lineRule="exact"/>
        <w:rPr>
          <w:sz w:val="20"/>
          <w:szCs w:val="20"/>
          <w:color w:val="auto"/>
        </w:rPr>
      </w:pPr>
    </w:p>
    <w:p>
      <w:pPr>
        <w:ind w:left="760" w:right="80"/>
        <w:spacing w:after="0" w:line="271" w:lineRule="auto"/>
        <w:rPr>
          <w:sz w:val="20"/>
          <w:szCs w:val="20"/>
          <w:color w:val="auto"/>
        </w:rPr>
      </w:pPr>
      <w:r>
        <w:rPr>
          <w:rFonts w:ascii="Arial" w:cs="Arial" w:eastAsia="Arial" w:hAnsi="Arial"/>
          <w:sz w:val="18"/>
          <w:szCs w:val="18"/>
          <w:color w:val="auto"/>
        </w:rPr>
        <w:t>Shareholders have the right to know whether the company is making claims about carbon capture that are not supported by the facts.”</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The Board carefully considered this proposal and recommends you vote AGAINST it for the following reasons:</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This is one of 10 new reports requested by proponents at this annual shareholder meeting.</w:t>
      </w:r>
    </w:p>
    <w:p>
      <w:pPr>
        <w:spacing w:after="0" w:line="212" w:lineRule="exact"/>
        <w:rPr>
          <w:sz w:val="20"/>
          <w:szCs w:val="20"/>
          <w:color w:val="auto"/>
        </w:rPr>
      </w:pPr>
    </w:p>
    <w:p>
      <w:pPr>
        <w:ind w:left="760" w:right="20"/>
        <w:spacing w:after="0" w:line="247" w:lineRule="auto"/>
        <w:rPr>
          <w:sz w:val="20"/>
          <w:szCs w:val="20"/>
          <w:color w:val="auto"/>
        </w:rPr>
      </w:pPr>
      <w:r>
        <w:rPr>
          <w:rFonts w:ascii="Arial" w:cs="Arial" w:eastAsia="Arial" w:hAnsi="Arial"/>
          <w:sz w:val="18"/>
          <w:szCs w:val="18"/>
          <w:color w:val="auto"/>
        </w:rPr>
        <w:t>The proposal appears to be based on an incomplete understanding of our widespread and well-funded efforts to advance carbon capture and storage technology, and the effectiveness of these initiatives. It also does not recognize that we currently provide extensive information on our annual carbon capture and storage metrics in our Advancing Climate Solutions Progress Report and other communications.</w:t>
      </w:r>
    </w:p>
    <w:p>
      <w:pPr>
        <w:spacing w:after="0" w:line="174" w:lineRule="exact"/>
        <w:rPr>
          <w:sz w:val="20"/>
          <w:szCs w:val="20"/>
          <w:color w:val="auto"/>
        </w:rPr>
      </w:pPr>
    </w:p>
    <w:p>
      <w:pPr>
        <w:ind w:left="760" w:right="120"/>
        <w:spacing w:after="0" w:line="241" w:lineRule="auto"/>
        <w:rPr>
          <w:sz w:val="20"/>
          <w:szCs w:val="20"/>
          <w:color w:val="auto"/>
        </w:rPr>
      </w:pPr>
      <w:r>
        <w:rPr>
          <w:rFonts w:ascii="Arial" w:cs="Arial" w:eastAsia="Arial" w:hAnsi="Arial"/>
          <w:sz w:val="18"/>
          <w:szCs w:val="18"/>
          <w:color w:val="auto"/>
        </w:rPr>
        <w:t>ExxonMobil has more than 30 years of experience capturing and storing CO</w:t>
      </w:r>
      <w:r>
        <w:rPr>
          <w:rFonts w:ascii="Arial" w:cs="Arial" w:eastAsia="Arial" w:hAnsi="Arial"/>
          <w:sz w:val="13"/>
          <w:szCs w:val="13"/>
          <w:color w:val="auto"/>
        </w:rPr>
        <w:t>2</w:t>
      </w:r>
      <w:r>
        <w:rPr>
          <w:rFonts w:ascii="Arial" w:cs="Arial" w:eastAsia="Arial" w:hAnsi="Arial"/>
          <w:sz w:val="18"/>
          <w:szCs w:val="18"/>
          <w:color w:val="auto"/>
        </w:rPr>
        <w:t>, and has cumulatively captured more anthropogenic CO</w:t>
      </w:r>
      <w:r>
        <w:rPr>
          <w:rFonts w:ascii="Arial" w:cs="Arial" w:eastAsia="Arial" w:hAnsi="Arial"/>
          <w:sz w:val="13"/>
          <w:szCs w:val="13"/>
          <w:color w:val="auto"/>
        </w:rPr>
        <w:t>2</w:t>
      </w:r>
      <w:r>
        <w:rPr>
          <w:rFonts w:ascii="Arial" w:cs="Arial" w:eastAsia="Arial" w:hAnsi="Arial"/>
          <w:sz w:val="18"/>
          <w:szCs w:val="18"/>
          <w:color w:val="auto"/>
        </w:rPr>
        <w:t xml:space="preserve"> than any other company. As mentioned to this proponent, we have an equity share of about one-fifth of the world’s carbon capture capacity at about 9 million metric tons per year, which is equivalent to approximately</w:t>
      </w:r>
    </w:p>
    <w:p>
      <w:pPr>
        <w:spacing w:after="0" w:line="2" w:lineRule="exact"/>
        <w:rPr>
          <w:sz w:val="20"/>
          <w:szCs w:val="20"/>
          <w:color w:val="auto"/>
        </w:rPr>
      </w:pPr>
    </w:p>
    <w:p>
      <w:pPr>
        <w:jc w:val="both"/>
        <w:ind w:left="760" w:right="20"/>
        <w:spacing w:after="0" w:line="210" w:lineRule="auto"/>
        <w:rPr>
          <w:sz w:val="20"/>
          <w:szCs w:val="20"/>
          <w:color w:val="auto"/>
        </w:rPr>
      </w:pPr>
      <w:r>
        <w:rPr>
          <w:rFonts w:ascii="Arial" w:cs="Arial" w:eastAsia="Arial" w:hAnsi="Arial"/>
          <w:sz w:val="18"/>
          <w:szCs w:val="18"/>
          <w:color w:val="auto"/>
        </w:rPr>
        <w:t>2 million gasoline-powered passenger vehicles per year.</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Since formally launching our Low Carbon Solutions business in early 2021, we have significantly grown our pipeline of emission-reduction opportunities, including opportunities in carbon capture and storage.</w:t>
      </w:r>
    </w:p>
    <w:p>
      <w:pPr>
        <w:spacing w:after="0" w:line="113"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60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420"/>
          </w:cols>
          <w:pgMar w:left="320" w:top="482" w:right="11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760" w:right="80"/>
        <w:spacing w:after="0"/>
        <w:rPr>
          <w:sz w:val="20"/>
          <w:szCs w:val="20"/>
          <w:color w:val="auto"/>
        </w:rPr>
      </w:pPr>
      <w:r>
        <w:rPr>
          <w:rFonts w:ascii="Arial" w:cs="Arial" w:eastAsia="Arial" w:hAnsi="Arial"/>
          <w:sz w:val="18"/>
          <w:szCs w:val="18"/>
          <w:color w:val="auto"/>
        </w:rPr>
        <w:t>For example, our LaBarge facility has the capacity to capture up to 7 million metric tons of CO</w:t>
      </w:r>
      <w:r>
        <w:rPr>
          <w:rFonts w:ascii="Arial" w:cs="Arial" w:eastAsia="Arial" w:hAnsi="Arial"/>
          <w:sz w:val="13"/>
          <w:szCs w:val="13"/>
          <w:color w:val="auto"/>
        </w:rPr>
        <w:t>2</w:t>
      </w:r>
      <w:r>
        <w:rPr>
          <w:rFonts w:ascii="Arial" w:cs="Arial" w:eastAsia="Arial" w:hAnsi="Arial"/>
          <w:sz w:val="18"/>
          <w:szCs w:val="18"/>
          <w:color w:val="auto"/>
        </w:rPr>
        <w:t xml:space="preserve"> a year, the largest of any industrial facility in the world; furthermore, we have plans underway to expand this facility by up to 1.2 million more metric tons per year beginning in 2025. In addition, we continue to evaluate and progress potential future projects around the world. The carbon capture and storage component of our announced blue hydrogen facility at Baytown has the potential to transport and store up to 10 million metric tons of CO</w:t>
      </w:r>
      <w:r>
        <w:rPr>
          <w:rFonts w:ascii="Arial" w:cs="Arial" w:eastAsia="Arial" w:hAnsi="Arial"/>
          <w:sz w:val="13"/>
          <w:szCs w:val="13"/>
          <w:color w:val="auto"/>
        </w:rPr>
        <w:t>2</w:t>
      </w:r>
      <w:r>
        <w:rPr>
          <w:rFonts w:ascii="Arial" w:cs="Arial" w:eastAsia="Arial" w:hAnsi="Arial"/>
          <w:sz w:val="18"/>
          <w:szCs w:val="18"/>
          <w:color w:val="auto"/>
        </w:rPr>
        <w:t xml:space="preserve"> per year, more than doubling ExxonMobil’s current carbon capture capacity. It would be our initial contribution to a broad, cross-industry effort to establish a Houston carbon capture and storage hub with an initial goal of about 50 million metric tons of CO</w:t>
      </w:r>
      <w:r>
        <w:rPr>
          <w:rFonts w:ascii="Arial" w:cs="Arial" w:eastAsia="Arial" w:hAnsi="Arial"/>
          <w:sz w:val="13"/>
          <w:szCs w:val="13"/>
          <w:color w:val="auto"/>
        </w:rPr>
        <w:t>2</w:t>
      </w:r>
      <w:r>
        <w:rPr>
          <w:rFonts w:ascii="Arial" w:cs="Arial" w:eastAsia="Arial" w:hAnsi="Arial"/>
          <w:sz w:val="18"/>
          <w:szCs w:val="18"/>
          <w:color w:val="auto"/>
        </w:rPr>
        <w:t xml:space="preserve"> per year by 2030 and 100 million metric tons by 2040.</w:t>
      </w:r>
    </w:p>
    <w:p>
      <w:pPr>
        <w:spacing w:after="0" w:line="180" w:lineRule="exact"/>
        <w:rPr>
          <w:sz w:val="20"/>
          <w:szCs w:val="20"/>
          <w:color w:val="auto"/>
        </w:rPr>
      </w:pPr>
    </w:p>
    <w:p>
      <w:pPr>
        <w:ind w:left="760" w:right="60"/>
        <w:spacing w:after="0" w:line="228" w:lineRule="auto"/>
        <w:rPr>
          <w:sz w:val="20"/>
          <w:szCs w:val="20"/>
          <w:color w:val="auto"/>
        </w:rPr>
      </w:pPr>
      <w:r>
        <w:rPr>
          <w:rFonts w:ascii="Arial" w:cs="Arial" w:eastAsia="Arial" w:hAnsi="Arial"/>
          <w:sz w:val="18"/>
          <w:szCs w:val="18"/>
          <w:color w:val="auto"/>
        </w:rPr>
        <w:t>To reduce global emissions, existing oil and gas demand needs to be addressed with production techniques that enable the lowest greenhouse gas (GHG) emission intensity. The proponent is implying that there is no emissions benefit associated with the use of CO</w:t>
      </w:r>
      <w:r>
        <w:rPr>
          <w:rFonts w:ascii="Arial" w:cs="Arial" w:eastAsia="Arial" w:hAnsi="Arial"/>
          <w:sz w:val="13"/>
          <w:szCs w:val="13"/>
          <w:color w:val="auto"/>
        </w:rPr>
        <w:t>2</w:t>
      </w:r>
      <w:r>
        <w:rPr>
          <w:rFonts w:ascii="Arial" w:cs="Arial" w:eastAsia="Arial" w:hAnsi="Arial"/>
          <w:sz w:val="18"/>
          <w:szCs w:val="18"/>
          <w:color w:val="auto"/>
        </w:rPr>
        <w:t xml:space="preserve"> injection for enhanced oil recovery (EOR) production, citing an article from 2016 that does not account for full life cycle analysis. Contrary to that view, CO</w:t>
      </w:r>
      <w:r>
        <w:rPr>
          <w:rFonts w:ascii="Arial" w:cs="Arial" w:eastAsia="Arial" w:hAnsi="Arial"/>
          <w:sz w:val="13"/>
          <w:szCs w:val="13"/>
          <w:color w:val="auto"/>
        </w:rPr>
        <w:t>2</w:t>
      </w:r>
      <w:r>
        <w:rPr>
          <w:rFonts w:ascii="Arial" w:cs="Arial" w:eastAsia="Arial" w:hAnsi="Arial"/>
          <w:sz w:val="18"/>
          <w:szCs w:val="18"/>
          <w:color w:val="auto"/>
        </w:rPr>
        <w:t>-EOR is broadly recognized for its economic and GHG benefits through the use of a closed loop CO</w:t>
      </w:r>
      <w:r>
        <w:rPr>
          <w:rFonts w:ascii="Arial" w:cs="Arial" w:eastAsia="Arial" w:hAnsi="Arial"/>
          <w:sz w:val="13"/>
          <w:szCs w:val="13"/>
          <w:color w:val="auto"/>
        </w:rPr>
        <w:t>2</w:t>
      </w:r>
      <w:r>
        <w:rPr>
          <w:rFonts w:ascii="Arial" w:cs="Arial" w:eastAsia="Arial" w:hAnsi="Arial"/>
          <w:sz w:val="18"/>
          <w:szCs w:val="18"/>
          <w:color w:val="auto"/>
        </w:rPr>
        <w:t xml:space="preserve"> injection system. On a life cycle basis, which includes global oil market impacts, 63 percent of all CO</w:t>
      </w:r>
      <w:r>
        <w:rPr>
          <w:rFonts w:ascii="Arial" w:cs="Arial" w:eastAsia="Arial" w:hAnsi="Arial"/>
          <w:sz w:val="13"/>
          <w:szCs w:val="13"/>
          <w:color w:val="auto"/>
        </w:rPr>
        <w:t>2</w:t>
      </w:r>
      <w:r>
        <w:rPr>
          <w:rFonts w:ascii="Arial" w:cs="Arial" w:eastAsia="Arial" w:hAnsi="Arial"/>
          <w:sz w:val="18"/>
          <w:szCs w:val="18"/>
          <w:color w:val="auto"/>
        </w:rPr>
        <w:t xml:space="preserve"> stored through EOR is a net reduction in CO</w:t>
      </w:r>
      <w:r>
        <w:rPr>
          <w:rFonts w:ascii="Arial" w:cs="Arial" w:eastAsia="Arial" w:hAnsi="Arial"/>
          <w:sz w:val="13"/>
          <w:szCs w:val="13"/>
          <w:color w:val="auto"/>
        </w:rPr>
        <w:t>2</w:t>
      </w:r>
      <w:r>
        <w:rPr>
          <w:rFonts w:ascii="Arial" w:cs="Arial" w:eastAsia="Arial" w:hAnsi="Arial"/>
          <w:sz w:val="18"/>
          <w:szCs w:val="18"/>
          <w:color w:val="auto"/>
        </w:rPr>
        <w:t xml:space="preserve"> emissions. Compared to conventional oil, every barrel of CO</w:t>
      </w:r>
      <w:r>
        <w:rPr>
          <w:rFonts w:ascii="Arial" w:cs="Arial" w:eastAsia="Arial" w:hAnsi="Arial"/>
          <w:sz w:val="13"/>
          <w:szCs w:val="13"/>
          <w:color w:val="auto"/>
        </w:rPr>
        <w:t>2</w:t>
      </w:r>
      <w:r>
        <w:rPr>
          <w:rFonts w:ascii="Arial" w:cs="Arial" w:eastAsia="Arial" w:hAnsi="Arial"/>
          <w:sz w:val="18"/>
          <w:szCs w:val="18"/>
          <w:color w:val="auto"/>
        </w:rPr>
        <w:t>-EOR oil emits 37 percent less CO</w:t>
      </w:r>
      <w:r>
        <w:rPr>
          <w:rFonts w:ascii="Arial" w:cs="Arial" w:eastAsia="Arial" w:hAnsi="Arial"/>
          <w:sz w:val="13"/>
          <w:szCs w:val="13"/>
          <w:color w:val="auto"/>
        </w:rPr>
        <w:t>2</w:t>
      </w:r>
      <w:r>
        <w:rPr>
          <w:rFonts w:ascii="Arial" w:cs="Arial" w:eastAsia="Arial" w:hAnsi="Arial"/>
          <w:sz w:val="18"/>
          <w:szCs w:val="18"/>
          <w:color w:val="auto"/>
        </w:rPr>
        <w:t>.</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The United States government also recognizes the importance of carbon capture and storage for EOR application and recently implemented the Inflation Reduction Act that provides an expansion of the Internal Revenue Code Section 45Q CCS-EOR tax incentives. It is anticipated that these incentives will be critical to the United States achieving its near-term GHG emission reduction plans, in support of its net-zero ambition.</w:t>
      </w:r>
    </w:p>
    <w:p>
      <w:pPr>
        <w:spacing w:after="0" w:line="187" w:lineRule="exact"/>
        <w:rPr>
          <w:sz w:val="20"/>
          <w:szCs w:val="20"/>
          <w:color w:val="auto"/>
        </w:rPr>
      </w:pPr>
    </w:p>
    <w:p>
      <w:pPr>
        <w:ind w:left="760" w:right="80"/>
        <w:spacing w:after="0" w:line="242" w:lineRule="auto"/>
        <w:rPr>
          <w:sz w:val="20"/>
          <w:szCs w:val="20"/>
          <w:color w:val="auto"/>
        </w:rPr>
      </w:pPr>
      <w:r>
        <w:rPr>
          <w:rFonts w:ascii="Arial" w:cs="Arial" w:eastAsia="Arial" w:hAnsi="Arial"/>
          <w:sz w:val="18"/>
          <w:szCs w:val="18"/>
          <w:color w:val="auto"/>
        </w:rPr>
        <w:t>We plan to invest approximately $17 billion from 2022 through 2027 on initiatives to lower GHG emissions. These include investments to reduce the emissions intensity of our operated assets and investments that will help others reduce their emissions. We are open to investing even more should additional commercially viable opportunities materialize. Our commitment to help society reduce emissions includes: 1) measuring, monitoring, and managing reductions of our emissions; 2) providing lower emission-intensive products that help customers increasingly reduce their own emissions; and 3) advancing commercialization of emission-reduction and emission-storage technologies.</w:t>
      </w:r>
    </w:p>
    <w:p>
      <w:pPr>
        <w:spacing w:after="0" w:line="179" w:lineRule="exact"/>
        <w:rPr>
          <w:sz w:val="20"/>
          <w:szCs w:val="20"/>
          <w:color w:val="auto"/>
        </w:rPr>
      </w:pPr>
    </w:p>
    <w:p>
      <w:pPr>
        <w:ind w:left="760" w:right="80"/>
        <w:spacing w:after="0" w:line="244" w:lineRule="auto"/>
        <w:rPr>
          <w:sz w:val="20"/>
          <w:szCs w:val="20"/>
          <w:color w:val="auto"/>
        </w:rPr>
      </w:pPr>
      <w:r>
        <w:rPr>
          <w:rFonts w:ascii="Arial" w:cs="Arial" w:eastAsia="Arial" w:hAnsi="Arial"/>
          <w:sz w:val="18"/>
          <w:szCs w:val="18"/>
          <w:color w:val="auto"/>
        </w:rPr>
        <w:t>The additional disclosures requested by the proponent are unwarranted as CO</w:t>
      </w:r>
      <w:r>
        <w:rPr>
          <w:rFonts w:ascii="Arial" w:cs="Arial" w:eastAsia="Arial" w:hAnsi="Arial"/>
          <w:sz w:val="13"/>
          <w:szCs w:val="13"/>
          <w:color w:val="auto"/>
        </w:rPr>
        <w:t>2</w:t>
      </w:r>
      <w:r>
        <w:rPr>
          <w:rFonts w:ascii="Arial" w:cs="Arial" w:eastAsia="Arial" w:hAnsi="Arial"/>
          <w:sz w:val="18"/>
          <w:szCs w:val="18"/>
          <w:color w:val="auto"/>
        </w:rPr>
        <w:t xml:space="preserve">-EOR is broadly recognized for its greenhouse gas benefits and the disclosures requested would provide no meaningful insight into our efforts to reduce our emissions intensity and assist customers in doing the same. As shareholders already have access to extensive and rigorous reporting on the effectiveness of our decarbonization efforts, the Board recommends a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158115</wp:posOffset>
            </wp:positionV>
            <wp:extent cx="166306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269" w:lineRule="exact"/>
        <w:rPr>
          <w:sz w:val="20"/>
          <w:szCs w:val="20"/>
          <w:color w:val="auto"/>
        </w:rPr>
      </w:pPr>
    </w:p>
    <w:p>
      <w:pPr>
        <w:ind w:left="1140" w:right="60" w:hanging="376"/>
        <w:spacing w:after="0" w:line="205" w:lineRule="auto"/>
        <w:tabs>
          <w:tab w:leader="none" w:pos="1140" w:val="left"/>
        </w:tabs>
        <w:numPr>
          <w:ilvl w:val="0"/>
          <w:numId w:val="45"/>
        </w:numPr>
        <w:rPr>
          <w:rFonts w:ascii="Arial" w:cs="Arial" w:eastAsia="Arial" w:hAnsi="Arial"/>
          <w:sz w:val="24"/>
          <w:szCs w:val="24"/>
          <w:color w:val="auto"/>
          <w:vertAlign w:val="superscript"/>
        </w:rPr>
      </w:pPr>
      <w:r>
        <w:rPr>
          <w:rFonts w:ascii="Arial" w:cs="Arial" w:eastAsia="Arial" w:hAnsi="Arial"/>
          <w:sz w:val="16"/>
          <w:szCs w:val="16"/>
          <w:color w:val="auto"/>
        </w:rPr>
        <w:t>Nine million metric tons of CO</w:t>
      </w:r>
      <w:r>
        <w:rPr>
          <w:rFonts w:ascii="Arial" w:cs="Arial" w:eastAsia="Arial" w:hAnsi="Arial"/>
          <w:sz w:val="12"/>
          <w:szCs w:val="12"/>
          <w:color w:val="auto"/>
        </w:rPr>
        <w:t>2</w:t>
      </w:r>
      <w:r>
        <w:rPr>
          <w:rFonts w:ascii="Arial" w:cs="Arial" w:eastAsia="Arial" w:hAnsi="Arial"/>
          <w:sz w:val="16"/>
          <w:szCs w:val="16"/>
          <w:color w:val="auto"/>
        </w:rPr>
        <w:t xml:space="preserve"> emissions is equivalent to approximately 2 million gasoline-powered passenger vehicles driven for one year, according to the U.S. EPA greenhouse gas equivalencies calculator. Passenger vehicles are defined as two-axle, four-</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tire vehicles, including passenger cars, vans, pickup trucks, and sport/utility vehicles.</w:t>
      </w:r>
    </w:p>
    <w:p>
      <w:pPr>
        <w:spacing w:after="0" w:line="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https://www.epa.gov/energy/greenhouse-gas-equivalencies-calculator.</w:t>
      </w:r>
    </w:p>
    <w:p>
      <w:pPr>
        <w:spacing w:after="0" w:line="1" w:lineRule="exact"/>
        <w:rPr>
          <w:sz w:val="20"/>
          <w:szCs w:val="20"/>
          <w:color w:val="auto"/>
        </w:rPr>
      </w:pPr>
    </w:p>
    <w:p>
      <w:pPr>
        <w:ind w:left="1140" w:hanging="376"/>
        <w:spacing w:after="0" w:line="212" w:lineRule="auto"/>
        <w:tabs>
          <w:tab w:leader="none" w:pos="1140" w:val="left"/>
        </w:tabs>
        <w:numPr>
          <w:ilvl w:val="0"/>
          <w:numId w:val="46"/>
        </w:numPr>
        <w:rPr>
          <w:rFonts w:ascii="Arial" w:cs="Arial" w:eastAsia="Arial" w:hAnsi="Arial"/>
          <w:sz w:val="24"/>
          <w:szCs w:val="24"/>
          <w:color w:val="auto"/>
          <w:vertAlign w:val="superscript"/>
        </w:rPr>
      </w:pPr>
      <w:r>
        <w:rPr>
          <w:rFonts w:ascii="Arial" w:cs="Arial" w:eastAsia="Arial" w:hAnsi="Arial"/>
          <w:sz w:val="16"/>
          <w:szCs w:val="16"/>
          <w:color w:val="auto"/>
        </w:rPr>
        <w:t>“CO</w:t>
      </w:r>
      <w:r>
        <w:rPr>
          <w:rFonts w:ascii="Arial" w:cs="Arial" w:eastAsia="Arial" w:hAnsi="Arial"/>
          <w:sz w:val="12"/>
          <w:szCs w:val="12"/>
          <w:color w:val="auto"/>
        </w:rPr>
        <w:t>2</w:t>
      </w:r>
      <w:r>
        <w:rPr>
          <w:rFonts w:ascii="Arial" w:cs="Arial" w:eastAsia="Arial" w:hAnsi="Arial"/>
          <w:sz w:val="16"/>
          <w:szCs w:val="16"/>
          <w:color w:val="auto"/>
        </w:rPr>
        <w:t xml:space="preserve"> EOR represents a win-win strategy for beneficial use of industrially-sourced CO</w:t>
      </w:r>
      <w:r>
        <w:rPr>
          <w:rFonts w:ascii="Arial" w:cs="Arial" w:eastAsia="Arial" w:hAnsi="Arial"/>
          <w:sz w:val="12"/>
          <w:szCs w:val="12"/>
          <w:color w:val="auto"/>
        </w:rPr>
        <w:t>2</w:t>
      </w:r>
      <w:r>
        <w:rPr>
          <w:rFonts w:ascii="Arial" w:cs="Arial" w:eastAsia="Arial" w:hAnsi="Arial"/>
          <w:sz w:val="16"/>
          <w:szCs w:val="16"/>
          <w:color w:val="auto"/>
        </w:rPr>
        <w:t>. From an economic standpoint, CO</w:t>
      </w:r>
      <w:r>
        <w:rPr>
          <w:rFonts w:ascii="Arial" w:cs="Arial" w:eastAsia="Arial" w:hAnsi="Arial"/>
          <w:sz w:val="12"/>
          <w:szCs w:val="12"/>
          <w:color w:val="auto"/>
        </w:rPr>
        <w:t>2</w:t>
      </w:r>
      <w:r>
        <w:rPr>
          <w:rFonts w:ascii="Arial" w:cs="Arial" w:eastAsia="Arial" w:hAnsi="Arial"/>
          <w:sz w:val="16"/>
          <w:szCs w:val="16"/>
          <w:color w:val="auto"/>
        </w:rPr>
        <w:t xml:space="preserve"> EOR is a highly effective tool for re-invigorating oil production from mature fields that might otherwise be abandoned. From an environmental standpoint, it represents a practical way to recycle and utilize CO</w:t>
      </w:r>
      <w:r>
        <w:rPr>
          <w:rFonts w:ascii="Arial" w:cs="Arial" w:eastAsia="Arial" w:hAnsi="Arial"/>
          <w:sz w:val="12"/>
          <w:szCs w:val="12"/>
          <w:color w:val="auto"/>
        </w:rPr>
        <w:t>2</w:t>
      </w:r>
      <w:r>
        <w:rPr>
          <w:rFonts w:ascii="Arial" w:cs="Arial" w:eastAsia="Arial" w:hAnsi="Arial"/>
          <w:sz w:val="16"/>
          <w:szCs w:val="16"/>
          <w:color w:val="auto"/>
        </w:rPr>
        <w:t xml:space="preserve"> while reducing overall atmospheric</w:t>
      </w:r>
    </w:p>
    <w:p>
      <w:pPr>
        <w:spacing w:after="0" w:line="2" w:lineRule="exact"/>
        <w:rPr>
          <w:rFonts w:ascii="Arial" w:cs="Arial" w:eastAsia="Arial" w:hAnsi="Arial"/>
          <w:sz w:val="24"/>
          <w:szCs w:val="24"/>
          <w:color w:val="auto"/>
          <w:vertAlign w:val="superscript"/>
        </w:rPr>
      </w:pPr>
    </w:p>
    <w:p>
      <w:pPr>
        <w:ind w:left="1140" w:right="2400"/>
        <w:spacing w:after="0" w:line="246" w:lineRule="auto"/>
        <w:rPr>
          <w:rFonts w:ascii="Arial" w:cs="Arial" w:eastAsia="Arial" w:hAnsi="Arial"/>
          <w:sz w:val="24"/>
          <w:szCs w:val="24"/>
          <w:color w:val="auto"/>
          <w:vertAlign w:val="superscript"/>
        </w:rPr>
      </w:pPr>
      <w:r>
        <w:rPr>
          <w:rFonts w:ascii="Arial" w:cs="Arial" w:eastAsia="Arial" w:hAnsi="Arial"/>
          <w:sz w:val="16"/>
          <w:szCs w:val="16"/>
          <w:color w:val="auto"/>
        </w:rPr>
        <w:t>CO</w:t>
      </w:r>
      <w:r>
        <w:rPr>
          <w:rFonts w:ascii="Arial" w:cs="Arial" w:eastAsia="Arial" w:hAnsi="Arial"/>
          <w:sz w:val="12"/>
          <w:szCs w:val="12"/>
          <w:color w:val="auto"/>
        </w:rPr>
        <w:t>2</w:t>
      </w:r>
      <w:r>
        <w:rPr>
          <w:rFonts w:ascii="Arial" w:cs="Arial" w:eastAsia="Arial" w:hAnsi="Arial"/>
          <w:sz w:val="16"/>
          <w:szCs w:val="16"/>
          <w:color w:val="auto"/>
        </w:rPr>
        <w:t xml:space="preserve"> emissions.” https://cdn.catf.us/wp-content/uploads/2019/06/21093723/CATF_EOR_LCA_Factsheet_2019.pdf https://netl.doe.gov/research/coal/energy-systems/gasification/gasifipedia/eor</w:t>
      </w:r>
    </w:p>
    <w:p>
      <w:pPr>
        <w:spacing w:after="0" w:line="1" w:lineRule="exact"/>
        <w:rPr>
          <w:rFonts w:ascii="Arial" w:cs="Arial" w:eastAsia="Arial" w:hAnsi="Arial"/>
          <w:sz w:val="24"/>
          <w:szCs w:val="24"/>
          <w:color w:val="auto"/>
          <w:vertAlign w:val="superscript"/>
        </w:rPr>
      </w:pPr>
    </w:p>
    <w:p>
      <w:pPr>
        <w:ind w:left="1160"/>
        <w:spacing w:after="0"/>
        <w:rPr>
          <w:rFonts w:ascii="Arial" w:cs="Arial" w:eastAsia="Arial" w:hAnsi="Arial"/>
          <w:sz w:val="24"/>
          <w:szCs w:val="24"/>
          <w:color w:val="auto"/>
          <w:vertAlign w:val="superscript"/>
        </w:rPr>
      </w:pPr>
      <w:r>
        <w:rPr>
          <w:rFonts w:ascii="Arial" w:cs="Arial" w:eastAsia="Arial" w:hAnsi="Arial"/>
          <w:sz w:val="16"/>
          <w:szCs w:val="16"/>
          <w:color w:val="auto"/>
        </w:rPr>
        <w:t>See also https://iea.blob.core.windows.net/assets/bf99f0f1-f4e2-43d8-b123-</w:t>
      </w:r>
    </w:p>
    <w:p>
      <w:pPr>
        <w:spacing w:after="0" w:line="5" w:lineRule="exact"/>
        <w:rPr>
          <w:rFonts w:ascii="Arial" w:cs="Arial" w:eastAsia="Arial" w:hAnsi="Arial"/>
          <w:sz w:val="24"/>
          <w:szCs w:val="24"/>
          <w:color w:val="auto"/>
          <w:vertAlign w:val="superscript"/>
        </w:rPr>
      </w:pPr>
    </w:p>
    <w:p>
      <w:pPr>
        <w:ind w:left="1160"/>
        <w:spacing w:after="0"/>
        <w:rPr>
          <w:rFonts w:ascii="Arial" w:cs="Arial" w:eastAsia="Arial" w:hAnsi="Arial"/>
          <w:sz w:val="24"/>
          <w:szCs w:val="24"/>
          <w:color w:val="auto"/>
          <w:vertAlign w:val="superscript"/>
        </w:rPr>
      </w:pPr>
      <w:r>
        <w:rPr>
          <w:rFonts w:ascii="Arial" w:cs="Arial" w:eastAsia="Arial" w:hAnsi="Arial"/>
          <w:sz w:val="16"/>
          <w:szCs w:val="16"/>
          <w:color w:val="auto"/>
        </w:rPr>
        <w:t>309c1af66555/Storing_CO2_through_Enhanced_Oil_Recovery.pdf; Global CCS capacity: Global CCS Institute, Global Status of</w:t>
      </w:r>
    </w:p>
    <w:p>
      <w:pPr>
        <w:spacing w:after="0" w:line="5" w:lineRule="exact"/>
        <w:rPr>
          <w:rFonts w:ascii="Arial" w:cs="Arial" w:eastAsia="Arial" w:hAnsi="Arial"/>
          <w:sz w:val="24"/>
          <w:szCs w:val="24"/>
          <w:color w:val="auto"/>
          <w:vertAlign w:val="superscript"/>
        </w:rPr>
      </w:pPr>
    </w:p>
    <w:p>
      <w:pPr>
        <w:ind w:left="1160"/>
        <w:spacing w:after="0"/>
        <w:rPr>
          <w:rFonts w:ascii="Arial" w:cs="Arial" w:eastAsia="Arial" w:hAnsi="Arial"/>
          <w:sz w:val="24"/>
          <w:szCs w:val="24"/>
          <w:color w:val="auto"/>
          <w:vertAlign w:val="superscript"/>
        </w:rPr>
      </w:pPr>
      <w:r>
        <w:rPr>
          <w:rFonts w:ascii="Arial" w:cs="Arial" w:eastAsia="Arial" w:hAnsi="Arial"/>
          <w:sz w:val="16"/>
          <w:szCs w:val="16"/>
          <w:color w:val="auto"/>
        </w:rPr>
        <w:t>CCS 2021, p. 14. ExxonMobil CCS capacity: ExxonMobil estimates.</w:t>
      </w:r>
    </w:p>
    <w:p>
      <w:pPr>
        <w:spacing w:after="0" w:line="200" w:lineRule="exact"/>
        <w:rPr>
          <w:sz w:val="20"/>
          <w:szCs w:val="20"/>
          <w:color w:val="auto"/>
        </w:rPr>
      </w:pPr>
    </w:p>
    <w:p>
      <w:pPr>
        <w:spacing w:after="0" w:line="212"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Item 8 – Additional Direct Methane Measurement</w:t>
      </w:r>
    </w:p>
    <w:p>
      <w:pPr>
        <w:spacing w:after="0" w:line="99" w:lineRule="exact"/>
        <w:rPr>
          <w:sz w:val="20"/>
          <w:szCs w:val="20"/>
          <w:color w:val="auto"/>
        </w:rPr>
      </w:pPr>
    </w:p>
    <w:p>
      <w:pPr>
        <w:ind w:left="760" w:right="80"/>
        <w:spacing w:after="0" w:line="253" w:lineRule="auto"/>
        <w:rPr>
          <w:sz w:val="20"/>
          <w:szCs w:val="20"/>
          <w:color w:val="auto"/>
        </w:rPr>
      </w:pPr>
      <w:r>
        <w:rPr>
          <w:rFonts w:ascii="Arial" w:cs="Arial" w:eastAsia="Arial" w:hAnsi="Arial"/>
          <w:sz w:val="18"/>
          <w:szCs w:val="18"/>
          <w:color w:val="auto"/>
        </w:rPr>
        <w:t>This proposal was submitted by Sisters of St. Francis Charitable Trust, 3390 Windsor Avenue, Dubuque, Iowa 52001, the beneficial owner of shares with a market value exceeding $2,000 for at least three years, and lead proponent of a filing group.</w:t>
      </w:r>
    </w:p>
    <w:p>
      <w:pPr>
        <w:spacing w:after="0" w:line="169"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 Methane Measurement</w:t>
      </w:r>
    </w:p>
    <w:p>
      <w:pPr>
        <w:spacing w:after="0" w:line="104" w:lineRule="exact"/>
        <w:rPr>
          <w:sz w:val="20"/>
          <w:szCs w:val="20"/>
          <w:color w:val="auto"/>
        </w:rPr>
      </w:pPr>
    </w:p>
    <w:p>
      <w:pPr>
        <w:ind w:left="760" w:right="100"/>
        <w:spacing w:after="0" w:line="230"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methane is at least 80 times more potent as a greenhouse gas than carbon dioxide over a 20-year period. The</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Environmental Protection Agency (EPA) reports that 32% of U.S. methane emissions from human activities comes from natural gas and petroleum systems.</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According to the United Nations Environment Programme (UNEP), cutting methane is the strongest lever we have to slow climate change over the next 25 years.</w:t>
      </w:r>
      <w:r>
        <w:rPr>
          <w:rFonts w:ascii="Arial" w:cs="Arial" w:eastAsia="Arial" w:hAnsi="Arial"/>
          <w:sz w:val="26"/>
          <w:szCs w:val="26"/>
          <w:color w:val="auto"/>
          <w:vertAlign w:val="superscript"/>
        </w:rPr>
        <w:t>2</w:t>
      </w:r>
    </w:p>
    <w:p>
      <w:pPr>
        <w:ind w:left="780"/>
        <w:spacing w:after="0"/>
        <w:tabs>
          <w:tab w:leader="none" w:pos="1486" w:val="left"/>
        </w:tabs>
        <w:rPr>
          <w:sz w:val="20"/>
          <w:szCs w:val="20"/>
          <w:color w:val="auto"/>
        </w:rPr>
      </w:pPr>
      <w:r>
        <w:rPr>
          <w:rFonts w:ascii="Arial" w:cs="Arial" w:eastAsia="Arial" w:hAnsi="Arial"/>
          <w:sz w:val="18"/>
          <w:szCs w:val="18"/>
          <w:color w:val="auto"/>
        </w:rPr>
        <w:t>82</w:t>
      </w:r>
      <w:r>
        <w:rPr>
          <w:sz w:val="20"/>
          <w:szCs w:val="20"/>
          <w:color w:val="auto"/>
        </w:rPr>
        <w:tab/>
      </w:r>
      <w:r>
        <w:rPr>
          <w:sz w:val="1"/>
          <w:szCs w:val="1"/>
          <w:color w:val="auto"/>
        </w:rPr>
        <w:drawing>
          <wp:inline distT="0" distB="0" distL="0" distR="0">
            <wp:extent cx="737235" cy="123825"/>
            <wp:effectExtent l="0" t="0" r="0" b="0"/>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37235" cy="123825"/>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2023 Proxy Statement</w:t>
      </w:r>
    </w:p>
    <w:p>
      <w:pPr>
        <w:sectPr>
          <w:pgSz w:w="11900" w:h="16838" w:orient="portrait"/>
          <w:cols w:equalWidth="0" w:num="1">
            <w:col w:w="10480"/>
          </w:cols>
          <w:pgMar w:left="320" w:top="482" w:right="10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760" w:right="40"/>
        <w:spacing w:after="0" w:line="231" w:lineRule="auto"/>
        <w:rPr>
          <w:sz w:val="20"/>
          <w:szCs w:val="20"/>
          <w:color w:val="auto"/>
        </w:rPr>
      </w:pPr>
      <w:r>
        <w:rPr>
          <w:rFonts w:ascii="Arial" w:cs="Arial" w:eastAsia="Arial" w:hAnsi="Arial"/>
          <w:sz w:val="18"/>
          <w:szCs w:val="18"/>
          <w:color w:val="auto"/>
        </w:rPr>
        <w:t>The EPA methodology used to estimate methane emissions underestimates and fails to capture many major leaks, which waste a valuable product worth over $2 billion per year. Studies have found actual emissions to be 50 to 100% higher than reported emissions.</w:t>
      </w:r>
      <w:r>
        <w:rPr>
          <w:rFonts w:ascii="Arial" w:cs="Arial" w:eastAsia="Arial" w:hAnsi="Arial"/>
          <w:sz w:val="26"/>
          <w:szCs w:val="26"/>
          <w:color w:val="auto"/>
          <w:vertAlign w:val="superscript"/>
        </w:rPr>
        <w:t>3</w:t>
      </w:r>
      <w:r>
        <w:rPr>
          <w:rFonts w:ascii="Arial" w:cs="Arial" w:eastAsia="Arial" w:hAnsi="Arial"/>
          <w:sz w:val="18"/>
          <w:szCs w:val="18"/>
          <w:color w:val="auto"/>
        </w:rPr>
        <w:t xml:space="preserve"> In certain basins, emissions are more than 10 times industry-disclosed figures.</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Therefore, oil and gas industry Scope 1 emissions may be significantly higher than currently reported. Methane emissions estimates improve when direct measurement methodologies are used, when emissions are identified by source type and at a site or facility level, and then reconciled, as shown by the Oil and Gas Methane Partnership 2.0 (OGMP).</w:t>
      </w:r>
      <w:r>
        <w:rPr>
          <w:rFonts w:ascii="Arial" w:cs="Arial" w:eastAsia="Arial" w:hAnsi="Arial"/>
          <w:sz w:val="26"/>
          <w:szCs w:val="26"/>
          <w:color w:val="auto"/>
          <w:vertAlign w:val="superscript"/>
        </w:rPr>
        <w:t>4</w:t>
      </w:r>
    </w:p>
    <w:p>
      <w:pPr>
        <w:spacing w:after="0" w:line="59" w:lineRule="exact"/>
        <w:rPr>
          <w:sz w:val="20"/>
          <w:szCs w:val="20"/>
          <w:color w:val="auto"/>
        </w:rPr>
      </w:pPr>
    </w:p>
    <w:p>
      <w:pPr>
        <w:ind w:left="760" w:right="40"/>
        <w:spacing w:after="0" w:line="225" w:lineRule="auto"/>
        <w:rPr>
          <w:sz w:val="20"/>
          <w:szCs w:val="20"/>
          <w:color w:val="auto"/>
        </w:rPr>
      </w:pPr>
      <w:r>
        <w:rPr>
          <w:rFonts w:ascii="Arial" w:cs="Arial" w:eastAsia="Arial" w:hAnsi="Arial"/>
          <w:sz w:val="18"/>
          <w:szCs w:val="18"/>
          <w:color w:val="auto"/>
        </w:rPr>
        <w:t>The U.S. joined the Global Methane Pledge in 2021, committing to use best available inventory methodologies to quantify methane emissions. The same year, investors managing more than $6 trillion supported strong federal methane regulations. Companies responsible for approximately 30% of global natural gas production, including bp, Shell, TotalEnergies, Occidental, and ConocoPhillips, have joined the OGMP, a multi-stakeholder initiative launched by UNEP committed to improving methane data quality and consistency.</w:t>
      </w:r>
      <w:r>
        <w:rPr>
          <w:rFonts w:ascii="Arial" w:cs="Arial" w:eastAsia="Arial" w:hAnsi="Arial"/>
          <w:sz w:val="26"/>
          <w:szCs w:val="26"/>
          <w:color w:val="auto"/>
          <w:vertAlign w:val="superscript"/>
        </w:rPr>
        <w:t>5</w:t>
      </w:r>
      <w:r>
        <w:rPr>
          <w:rFonts w:ascii="Arial" w:cs="Arial" w:eastAsia="Arial" w:hAnsi="Arial"/>
          <w:sz w:val="18"/>
          <w:szCs w:val="18"/>
          <w:color w:val="auto"/>
        </w:rPr>
        <w:t xml:space="preserve"> Companies that do not adequately manage methane emissions risk their reputation and license to operate.</w:t>
      </w:r>
    </w:p>
    <w:p>
      <w:pPr>
        <w:spacing w:after="0" w:line="180" w:lineRule="exact"/>
        <w:rPr>
          <w:sz w:val="20"/>
          <w:szCs w:val="20"/>
          <w:color w:val="auto"/>
        </w:rPr>
      </w:pPr>
    </w:p>
    <w:p>
      <w:pPr>
        <w:ind w:left="760" w:right="80"/>
        <w:spacing w:after="0" w:line="206" w:lineRule="auto"/>
        <w:rPr>
          <w:sz w:val="20"/>
          <w:szCs w:val="20"/>
          <w:color w:val="auto"/>
        </w:rPr>
      </w:pPr>
      <w:r>
        <w:rPr>
          <w:rFonts w:ascii="Arial" w:cs="Arial" w:eastAsia="Arial" w:hAnsi="Arial"/>
          <w:sz w:val="18"/>
          <w:szCs w:val="18"/>
          <w:color w:val="auto"/>
        </w:rPr>
        <w:t>ExxonMobil has committed to reduce methane emissions in alignment with the Global Methane Pledge by deploying best practices and advanced technologies, including satellite, aerial, and ground-sensor networks.</w:t>
      </w:r>
      <w:r>
        <w:rPr>
          <w:rFonts w:ascii="Arial" w:cs="Arial" w:eastAsia="Arial" w:hAnsi="Arial"/>
          <w:sz w:val="26"/>
          <w:szCs w:val="26"/>
          <w:color w:val="auto"/>
          <w:vertAlign w:val="superscript"/>
        </w:rPr>
        <w:t>6</w:t>
      </w:r>
      <w:r>
        <w:rPr>
          <w:rFonts w:ascii="Arial" w:cs="Arial" w:eastAsia="Arial" w:hAnsi="Arial"/>
          <w:sz w:val="18"/>
          <w:szCs w:val="18"/>
          <w:color w:val="auto"/>
        </w:rPr>
        <w:t xml:space="preserve"> The Company supports strong measurement, reporting and verification standards. It participates in various international methane coalitions and contributes to research to improve methane quantification.</w:t>
      </w:r>
      <w:r>
        <w:rPr>
          <w:rFonts w:ascii="Arial" w:cs="Arial" w:eastAsia="Arial" w:hAnsi="Arial"/>
          <w:sz w:val="26"/>
          <w:szCs w:val="26"/>
          <w:color w:val="auto"/>
          <w:vertAlign w:val="superscript"/>
        </w:rPr>
        <w:t>7</w:t>
      </w:r>
      <w:r>
        <w:rPr>
          <w:rFonts w:ascii="Arial" w:cs="Arial" w:eastAsia="Arial" w:hAnsi="Arial"/>
          <w:sz w:val="18"/>
          <w:szCs w:val="18"/>
          <w:color w:val="auto"/>
        </w:rPr>
        <w:t xml:space="preserve"> However, it has not taken the critical step to reduce investor concerns by reporting on its methane emission measurements.</w:t>
      </w:r>
    </w:p>
    <w:p>
      <w:pPr>
        <w:spacing w:after="0" w:line="182" w:lineRule="exact"/>
        <w:rPr>
          <w:sz w:val="20"/>
          <w:szCs w:val="20"/>
          <w:color w:val="auto"/>
        </w:rPr>
      </w:pPr>
    </w:p>
    <w:p>
      <w:pPr>
        <w:ind w:left="760" w:right="840"/>
        <w:spacing w:after="0" w:line="271"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shareholders request that ExxonMobil issue a report analyzing the reliability of its methane emission</w:t>
      </w:r>
      <w:r>
        <w:rPr>
          <w:rFonts w:ascii="Arial" w:cs="Arial" w:eastAsia="Arial" w:hAnsi="Arial"/>
          <w:sz w:val="18"/>
          <w:szCs w:val="18"/>
          <w:b w:val="1"/>
          <w:bCs w:val="1"/>
          <w:color w:val="auto"/>
        </w:rPr>
        <w:t xml:space="preserve"> </w:t>
      </w:r>
      <w:r>
        <w:rPr>
          <w:rFonts w:ascii="Arial" w:cs="Arial" w:eastAsia="Arial" w:hAnsi="Arial"/>
          <w:sz w:val="18"/>
          <w:szCs w:val="18"/>
          <w:color w:val="auto"/>
        </w:rPr>
        <w:t>disclosures. The report should:</w:t>
      </w:r>
    </w:p>
    <w:p>
      <w:pPr>
        <w:spacing w:after="0" w:line="59" w:lineRule="exact"/>
        <w:rPr>
          <w:sz w:val="20"/>
          <w:szCs w:val="20"/>
          <w:color w:val="auto"/>
        </w:rPr>
      </w:pPr>
    </w:p>
    <w:p>
      <w:pPr>
        <w:ind w:left="1140" w:hanging="376"/>
        <w:spacing w:after="0"/>
        <w:tabs>
          <w:tab w:leader="none" w:pos="114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Be made public, omit proprietary information, and be prepared expeditiously at reasonable cost; and</w:t>
      </w:r>
    </w:p>
    <w:p>
      <w:pPr>
        <w:spacing w:after="0" w:line="129" w:lineRule="exact"/>
        <w:rPr>
          <w:rFonts w:ascii="Times New Roman" w:cs="Times New Roman" w:eastAsia="Times New Roman" w:hAnsi="Times New Roman"/>
          <w:sz w:val="18"/>
          <w:szCs w:val="18"/>
          <w:color w:val="auto"/>
        </w:rPr>
      </w:pPr>
    </w:p>
    <w:p>
      <w:pPr>
        <w:ind w:left="1140" w:right="240" w:hanging="376"/>
        <w:spacing w:after="0" w:line="300" w:lineRule="auto"/>
        <w:tabs>
          <w:tab w:leader="none" w:pos="114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Summarize the outcome of efforts to directly measure methane emissions, using recognized frameworks such as OGMP; and whether those outcomes suggest a need to alter the Company’s actions to achieve its climate targets.</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Supporting Statement:</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At management’s discretion, we recommend that the report:</w:t>
      </w:r>
    </w:p>
    <w:p>
      <w:pPr>
        <w:spacing w:after="0" w:line="117" w:lineRule="exact"/>
        <w:rPr>
          <w:sz w:val="20"/>
          <w:szCs w:val="20"/>
          <w:color w:val="auto"/>
        </w:rPr>
      </w:pPr>
    </w:p>
    <w:p>
      <w:pPr>
        <w:ind w:left="1140" w:hanging="376"/>
        <w:spacing w:after="0"/>
        <w:tabs>
          <w:tab w:leader="none" w:pos="114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Describe the types of source- and site-level measurements used;</w:t>
      </w:r>
    </w:p>
    <w:p>
      <w:pPr>
        <w:spacing w:after="0" w:line="129" w:lineRule="exact"/>
        <w:rPr>
          <w:rFonts w:ascii="Times New Roman" w:cs="Times New Roman" w:eastAsia="Times New Roman" w:hAnsi="Times New Roman"/>
          <w:sz w:val="18"/>
          <w:szCs w:val="18"/>
          <w:color w:val="auto"/>
        </w:rPr>
      </w:pPr>
    </w:p>
    <w:p>
      <w:pPr>
        <w:ind w:left="1140" w:right="100" w:hanging="376"/>
        <w:spacing w:after="0" w:line="270" w:lineRule="auto"/>
        <w:tabs>
          <w:tab w:leader="none" w:pos="114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Describe any material difference between its own or third-party direct measurement results and Company’s reported methane emissions;</w:t>
      </w:r>
    </w:p>
    <w:p>
      <w:pPr>
        <w:spacing w:after="0" w:line="5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Describe plans to validate emissions estimates and disclosure through third-party audit or evaluation; and</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Describe plans to improve emission estimates over time, consistent with frameworks such as OGMP.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188595</wp:posOffset>
            </wp:positionV>
            <wp:extent cx="166306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242" w:lineRule="exact"/>
        <w:rPr>
          <w:sz w:val="20"/>
          <w:szCs w:val="20"/>
          <w:color w:val="auto"/>
        </w:rPr>
      </w:pPr>
    </w:p>
    <w:p>
      <w:pPr>
        <w:ind w:left="1140" w:hanging="376"/>
        <w:spacing w:after="0"/>
        <w:tabs>
          <w:tab w:leader="none" w:pos="1140" w:val="left"/>
        </w:tabs>
        <w:numPr>
          <w:ilvl w:val="0"/>
          <w:numId w:val="49"/>
        </w:numPr>
        <w:rPr>
          <w:rFonts w:ascii="Arial" w:cs="Arial" w:eastAsia="Arial" w:hAnsi="Arial"/>
          <w:sz w:val="24"/>
          <w:szCs w:val="24"/>
          <w:color w:val="auto"/>
          <w:vertAlign w:val="superscript"/>
        </w:rPr>
      </w:pPr>
      <w:r>
        <w:rPr>
          <w:rFonts w:ascii="Arial" w:cs="Arial" w:eastAsia="Arial" w:hAnsi="Arial"/>
          <w:sz w:val="16"/>
          <w:szCs w:val="16"/>
          <w:color w:val="auto"/>
        </w:rPr>
        <w:t>https://www.epa.gov/ghgemissions/overview-greenhouse-gases</w:t>
      </w:r>
    </w:p>
    <w:p>
      <w:pPr>
        <w:ind w:left="1140" w:hanging="376"/>
        <w:spacing w:after="0" w:line="187" w:lineRule="auto"/>
        <w:tabs>
          <w:tab w:leader="none" w:pos="1140" w:val="left"/>
        </w:tabs>
        <w:numPr>
          <w:ilvl w:val="0"/>
          <w:numId w:val="50"/>
        </w:numPr>
        <w:rPr>
          <w:rFonts w:ascii="Arial" w:cs="Arial" w:eastAsia="Arial" w:hAnsi="Arial"/>
          <w:sz w:val="21"/>
          <w:szCs w:val="21"/>
          <w:color w:val="auto"/>
          <w:vertAlign w:val="superscript"/>
        </w:rPr>
      </w:pPr>
      <w:r>
        <w:rPr>
          <w:rFonts w:ascii="Arial" w:cs="Arial" w:eastAsia="Arial" w:hAnsi="Arial"/>
          <w:sz w:val="14"/>
          <w:szCs w:val="14"/>
          <w:color w:val="auto"/>
        </w:rPr>
        <w:t>https://www.ccacoalition.org/sites/default/files/press/GMA%20Press%20Release%20FINAL.pdf</w:t>
      </w:r>
    </w:p>
    <w:p>
      <w:pPr>
        <w:ind w:left="1140" w:hanging="376"/>
        <w:spacing w:after="0" w:line="183" w:lineRule="auto"/>
        <w:tabs>
          <w:tab w:leader="none" w:pos="1140" w:val="left"/>
        </w:tabs>
        <w:numPr>
          <w:ilvl w:val="0"/>
          <w:numId w:val="51"/>
        </w:numPr>
        <w:rPr>
          <w:rFonts w:ascii="Arial" w:cs="Arial" w:eastAsia="Arial" w:hAnsi="Arial"/>
          <w:sz w:val="22"/>
          <w:szCs w:val="22"/>
          <w:color w:val="auto"/>
          <w:vertAlign w:val="superscript"/>
        </w:rPr>
      </w:pPr>
      <w:r>
        <w:rPr>
          <w:rFonts w:ascii="Arial" w:cs="Arial" w:eastAsia="Arial" w:hAnsi="Arial"/>
          <w:sz w:val="15"/>
          <w:szCs w:val="15"/>
          <w:color w:val="auto"/>
        </w:rPr>
        <w:t>https://www.seas.harvard.edu/news/2021/03/oil-and-natural-gas-production-emit-more-methane-previously-thought,</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https://www.nature.com/articles/s41467-021-25017-4</w:t>
      </w:r>
    </w:p>
    <w:p>
      <w:pPr>
        <w:ind w:left="1140" w:hanging="376"/>
        <w:spacing w:after="0" w:line="180" w:lineRule="auto"/>
        <w:tabs>
          <w:tab w:leader="none" w:pos="1140" w:val="left"/>
        </w:tabs>
        <w:numPr>
          <w:ilvl w:val="0"/>
          <w:numId w:val="52"/>
        </w:numPr>
        <w:rPr>
          <w:rFonts w:ascii="Arial" w:cs="Arial" w:eastAsia="Arial" w:hAnsi="Arial"/>
          <w:sz w:val="22"/>
          <w:szCs w:val="22"/>
          <w:color w:val="auto"/>
          <w:vertAlign w:val="superscript"/>
        </w:rPr>
      </w:pPr>
      <w:r>
        <w:rPr>
          <w:rFonts w:ascii="Arial" w:cs="Arial" w:eastAsia="Arial" w:hAnsi="Arial"/>
          <w:sz w:val="15"/>
          <w:szCs w:val="15"/>
          <w:color w:val="auto"/>
        </w:rPr>
        <w:t>https://business.edf.org/files/Investors-Guide-to-the-OGMP_09.17.21_FINAL.pdf</w:t>
      </w:r>
    </w:p>
    <w:p>
      <w:pPr>
        <w:ind w:left="1140" w:hanging="376"/>
        <w:spacing w:after="0" w:line="188" w:lineRule="auto"/>
        <w:tabs>
          <w:tab w:leader="none" w:pos="1140" w:val="left"/>
        </w:tabs>
        <w:numPr>
          <w:ilvl w:val="0"/>
          <w:numId w:val="53"/>
        </w:numPr>
        <w:rPr>
          <w:rFonts w:ascii="Arial" w:cs="Arial" w:eastAsia="Arial" w:hAnsi="Arial"/>
          <w:sz w:val="21"/>
          <w:szCs w:val="21"/>
          <w:color w:val="auto"/>
          <w:vertAlign w:val="superscript"/>
        </w:rPr>
      </w:pPr>
      <w:r>
        <w:rPr>
          <w:rFonts w:ascii="Arial" w:cs="Arial" w:eastAsia="Arial" w:hAnsi="Arial"/>
          <w:sz w:val="14"/>
          <w:szCs w:val="14"/>
          <w:color w:val="auto"/>
        </w:rPr>
        <w:t>http://ogmpartnership.com/partners</w:t>
      </w:r>
    </w:p>
    <w:p>
      <w:pPr>
        <w:ind w:left="1140" w:right="2420" w:hanging="376"/>
        <w:spacing w:after="0" w:line="204" w:lineRule="auto"/>
        <w:tabs>
          <w:tab w:leader="none" w:pos="1140" w:val="left"/>
        </w:tabs>
        <w:numPr>
          <w:ilvl w:val="0"/>
          <w:numId w:val="54"/>
        </w:numPr>
        <w:rPr>
          <w:rFonts w:ascii="Arial" w:cs="Arial" w:eastAsia="Arial" w:hAnsi="Arial"/>
          <w:sz w:val="24"/>
          <w:szCs w:val="24"/>
          <w:color w:val="auto"/>
          <w:vertAlign w:val="superscript"/>
        </w:rPr>
      </w:pPr>
      <w:r>
        <w:rPr>
          <w:rFonts w:ascii="Arial" w:cs="Arial" w:eastAsia="Arial" w:hAnsi="Arial"/>
          <w:sz w:val="16"/>
          <w:szCs w:val="16"/>
          <w:color w:val="auto"/>
        </w:rPr>
        <w:t>https://corporate.exxonmobil.com/climate-solutions/advancing-climate-solutions#:~:text=Net%2Dzero%20ambition,Scope%202%20greenhouse%20gas%20emissions”</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The Board carefully considered this proposal and recommends you vote AGAINST it for the following reasons:</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This is one of 10 new reports requested by proponents at this annual shareholder meeting.</w:t>
      </w:r>
    </w:p>
    <w:p>
      <w:pPr>
        <w:spacing w:after="0" w:line="212" w:lineRule="exact"/>
        <w:rPr>
          <w:sz w:val="20"/>
          <w:szCs w:val="20"/>
          <w:color w:val="auto"/>
        </w:rPr>
      </w:pPr>
    </w:p>
    <w:p>
      <w:pPr>
        <w:ind w:left="760"/>
        <w:spacing w:after="0" w:line="244" w:lineRule="auto"/>
        <w:rPr>
          <w:sz w:val="20"/>
          <w:szCs w:val="20"/>
          <w:color w:val="auto"/>
        </w:rPr>
      </w:pPr>
      <w:r>
        <w:rPr>
          <w:rFonts w:ascii="Arial" w:cs="Arial" w:eastAsia="Arial" w:hAnsi="Arial"/>
          <w:sz w:val="18"/>
          <w:szCs w:val="18"/>
          <w:color w:val="auto"/>
        </w:rPr>
        <w:t>ExxonMobil agrees that reducing methane emissions is one of the most effective ways to help reduce the risks associated with climate change in the near term, and we have made significant progress, both to reduce methane emissions and to improve the robust disclosures already provided. However, the proposal neglects to acknowledge the important work we are doing on these fronts and suggests initiatives that are duplicative to what we are already doing, which would be unnecessary. The Board therefore recommends that shareholders vote against this proposal.</w:t>
      </w:r>
    </w:p>
    <w:p>
      <w:pPr>
        <w:spacing w:after="0" w:line="107"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60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460"/>
          </w:cols>
          <w:pgMar w:left="320" w:top="482" w:right="11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ExxonMobil is a leader in advocating for strong measurement, reporting, and verification standards, and we have publicly reported methane emissions on an annual basis since 2014. This data is based on internationally recognized methodologies and compiled every year by determining emissions by source at each operated asset across the Company. As discussed with the proponent, since receiving this proposal, we published our Advancing Climate Solutions 2023 Progress Report, which includes our methane emissions data and describes efforts to continuously improve the reliability of our methane reporting as part of broader efforts to reduce greenhouse gas emissions in support of a lower emissions future.</w:t>
      </w:r>
    </w:p>
    <w:p>
      <w:pPr>
        <w:spacing w:after="0" w:line="185" w:lineRule="exact"/>
        <w:rPr>
          <w:sz w:val="20"/>
          <w:szCs w:val="20"/>
          <w:color w:val="auto"/>
        </w:rPr>
      </w:pPr>
    </w:p>
    <w:p>
      <w:pPr>
        <w:ind w:left="760" w:right="20"/>
        <w:spacing w:after="0" w:line="247" w:lineRule="auto"/>
        <w:rPr>
          <w:sz w:val="20"/>
          <w:szCs w:val="20"/>
          <w:color w:val="auto"/>
        </w:rPr>
      </w:pPr>
      <w:r>
        <w:rPr>
          <w:rFonts w:ascii="Arial" w:cs="Arial" w:eastAsia="Arial" w:hAnsi="Arial"/>
          <w:sz w:val="18"/>
          <w:szCs w:val="18"/>
          <w:color w:val="auto"/>
        </w:rPr>
        <w:t>Our reporting framework has enabled the development of consistent and comparable data, which, along with growing field observations, has guided our mitigation efforts. We are focused on emissions mitigation and the transition to observation-based emission quantification of potential non-routine sources. This is why we continue to develop and deploy enhanced technologies to ensure rapid detection, mitigation, and quantification of these non-routine sources at our operated assets.</w:t>
      </w:r>
    </w:p>
    <w:p>
      <w:pPr>
        <w:spacing w:after="0" w:line="174" w:lineRule="exact"/>
        <w:rPr>
          <w:sz w:val="20"/>
          <w:szCs w:val="20"/>
          <w:color w:val="auto"/>
        </w:rPr>
      </w:pPr>
    </w:p>
    <w:p>
      <w:pPr>
        <w:ind w:left="760" w:right="60"/>
        <w:spacing w:after="0" w:line="244" w:lineRule="auto"/>
        <w:rPr>
          <w:sz w:val="20"/>
          <w:szCs w:val="20"/>
          <w:color w:val="auto"/>
        </w:rPr>
      </w:pPr>
      <w:r>
        <w:rPr>
          <w:rFonts w:ascii="Arial" w:cs="Arial" w:eastAsia="Arial" w:hAnsi="Arial"/>
          <w:sz w:val="18"/>
          <w:szCs w:val="18"/>
          <w:color w:val="auto"/>
        </w:rPr>
        <w:t>Since 2019, we have voluntarily used airplane-based surveys as enhanced leak detection in the Permian Basin. Additionally, we are installing state-of-the-art technology across our 1.8 million-acre Permian position to continuously monitor and detect methane leaks by integrating data from ground sensors, aerial flyovers, and satellite images. We have already begun 24/7 monitoring of certain ground sources in the field, and we expect the entire system to be fully operational by 2025.</w:t>
      </w:r>
    </w:p>
    <w:p>
      <w:pPr>
        <w:spacing w:after="0" w:line="176" w:lineRule="exact"/>
        <w:rPr>
          <w:sz w:val="20"/>
          <w:szCs w:val="20"/>
          <w:color w:val="auto"/>
        </w:rPr>
      </w:pPr>
    </w:p>
    <w:p>
      <w:pPr>
        <w:ind w:left="760" w:right="60"/>
        <w:spacing w:after="0" w:line="244" w:lineRule="auto"/>
        <w:rPr>
          <w:sz w:val="20"/>
          <w:szCs w:val="20"/>
          <w:color w:val="auto"/>
        </w:rPr>
      </w:pPr>
      <w:r>
        <w:rPr>
          <w:rFonts w:ascii="Arial" w:cs="Arial" w:eastAsia="Arial" w:hAnsi="Arial"/>
          <w:sz w:val="18"/>
          <w:szCs w:val="18"/>
          <w:color w:val="auto"/>
        </w:rPr>
        <w:t>Lloyd’s Register Quality Assurance has provided their independent limited level of assurance that the 2021 ExxonMobil greenhouse gas emissions inventory meets ISO 14064-3 expectations. The assurance engagement covered ExxonMobil’s GHG Inventory for CY2021 and Oil &amp; Gas Climate Initiative (OGCI) Metrics for CY2021, including absolute and intensity metrics for greenhouse gas emissions, methane emissions, and flaring emissions for operated assets based on IPCC AR6.</w:t>
      </w:r>
    </w:p>
    <w:p>
      <w:pPr>
        <w:spacing w:after="0" w:line="176" w:lineRule="exact"/>
        <w:rPr>
          <w:sz w:val="20"/>
          <w:szCs w:val="20"/>
          <w:color w:val="auto"/>
        </w:rPr>
      </w:pPr>
    </w:p>
    <w:p>
      <w:pPr>
        <w:ind w:left="760" w:right="220"/>
        <w:spacing w:after="0" w:line="271" w:lineRule="auto"/>
        <w:rPr>
          <w:sz w:val="20"/>
          <w:szCs w:val="20"/>
          <w:color w:val="auto"/>
        </w:rPr>
      </w:pPr>
      <w:r>
        <w:rPr>
          <w:rFonts w:ascii="Arial" w:cs="Arial" w:eastAsia="Arial" w:hAnsi="Arial"/>
          <w:sz w:val="18"/>
          <w:szCs w:val="18"/>
          <w:color w:val="auto"/>
        </w:rPr>
        <w:t>Furthermore, we aim to continually improve emission estimates over time by applying the best available technology and protocols, and support utilizing frameworks similar to the Oil and Gas Methane Partnership 2.0 (OGMP 2.0).</w:t>
      </w:r>
    </w:p>
    <w:p>
      <w:pPr>
        <w:spacing w:after="0" w:line="154" w:lineRule="exact"/>
        <w:rPr>
          <w:sz w:val="20"/>
          <w:szCs w:val="20"/>
          <w:color w:val="auto"/>
        </w:rPr>
      </w:pPr>
    </w:p>
    <w:p>
      <w:pPr>
        <w:ind w:left="760" w:right="20"/>
        <w:spacing w:after="0"/>
        <w:rPr>
          <w:sz w:val="20"/>
          <w:szCs w:val="20"/>
          <w:color w:val="auto"/>
        </w:rPr>
      </w:pPr>
      <w:r>
        <w:rPr>
          <w:rFonts w:ascii="Arial" w:cs="Arial" w:eastAsia="Arial" w:hAnsi="Arial"/>
          <w:sz w:val="18"/>
          <w:szCs w:val="18"/>
          <w:color w:val="auto"/>
        </w:rPr>
        <w:t>However, significant challenges remain with us joining, and using the framework established by, OGMP 2.0. Quantification technologies are still emerging and do not currently provide consistent, repeatable results at the site/point-source level. In many countries where we have operations, there are significant access and security issues, as well as a limited number of providers to support measurement and quantification technologies. In addition, the framework requires the execution of a memorandum of understanding that we believe poses onerous legal obligations, including a requirement for us to indemnify the United Nations. We are continuing to collaborate with the United Nations Environment Programme (UNEP) and OGMP 2.0 leadership and to improve the quality of methane emissions reporting.</w:t>
      </w:r>
    </w:p>
    <w:p>
      <w:pPr>
        <w:spacing w:after="0" w:line="185" w:lineRule="exact"/>
        <w:rPr>
          <w:sz w:val="20"/>
          <w:szCs w:val="20"/>
          <w:color w:val="auto"/>
        </w:rPr>
      </w:pPr>
    </w:p>
    <w:p>
      <w:pPr>
        <w:jc w:val="both"/>
        <w:ind w:left="760" w:right="340"/>
        <w:spacing w:after="0" w:line="275" w:lineRule="auto"/>
        <w:rPr>
          <w:sz w:val="20"/>
          <w:szCs w:val="20"/>
          <w:color w:val="auto"/>
        </w:rPr>
      </w:pPr>
      <w:r>
        <w:rPr>
          <w:rFonts w:ascii="Arial" w:cs="Arial" w:eastAsia="Arial" w:hAnsi="Arial"/>
          <w:sz w:val="17"/>
          <w:szCs w:val="17"/>
          <w:color w:val="auto"/>
        </w:rPr>
        <w:t>We are in regular contact with third-party groups who monitor methane emissions. We are not aware of any third-party direct measurement results that are materially different than our reported methane emissions. If any material methane source from our operations is identified in the future, we would take steps to confirm the data and address the issue.</w:t>
      </w:r>
    </w:p>
    <w:p>
      <w:pPr>
        <w:spacing w:after="0" w:line="152" w:lineRule="exact"/>
        <w:rPr>
          <w:sz w:val="20"/>
          <w:szCs w:val="20"/>
          <w:color w:val="auto"/>
        </w:rPr>
      </w:pPr>
    </w:p>
    <w:p>
      <w:pPr>
        <w:ind w:left="760" w:right="400"/>
        <w:spacing w:after="0" w:line="244" w:lineRule="auto"/>
        <w:rPr>
          <w:sz w:val="20"/>
          <w:szCs w:val="20"/>
          <w:color w:val="auto"/>
        </w:rPr>
      </w:pPr>
      <w:r>
        <w:rPr>
          <w:rFonts w:ascii="Arial" w:cs="Arial" w:eastAsia="Arial" w:hAnsi="Arial"/>
          <w:sz w:val="18"/>
          <w:szCs w:val="18"/>
          <w:color w:val="auto"/>
        </w:rPr>
        <w:t>As described in the Advancing Climate Solutions 2023 Progress Report, we have long participated in industry and academic consortiums to advance the scientific understanding and quality of methane measurement, calculation, and models. To that end, we recently joined the Gas Technology Institute-led Project Veritas with 30 other leading organizations to develop and implement a standardized, science-based, technology-neutral, measurement-informed approach to reporting methane emissions.</w:t>
      </w:r>
    </w:p>
    <w:p>
      <w:pPr>
        <w:spacing w:after="0" w:line="176" w:lineRule="exact"/>
        <w:rPr>
          <w:sz w:val="20"/>
          <w:szCs w:val="20"/>
          <w:color w:val="auto"/>
        </w:rPr>
      </w:pPr>
    </w:p>
    <w:p>
      <w:pPr>
        <w:ind w:left="760"/>
        <w:spacing w:after="0" w:line="242" w:lineRule="auto"/>
        <w:rPr>
          <w:sz w:val="20"/>
          <w:szCs w:val="20"/>
          <w:color w:val="auto"/>
        </w:rPr>
      </w:pPr>
      <w:r>
        <w:rPr>
          <w:rFonts w:ascii="Arial" w:cs="Arial" w:eastAsia="Arial" w:hAnsi="Arial"/>
          <w:sz w:val="18"/>
          <w:szCs w:val="18"/>
          <w:color w:val="auto"/>
        </w:rPr>
        <w:t>Additionally, we are actively progressing the elimination of many sources of methane emissions as part of our commitment to OGCI’s Aiming for Zero Methane Emissions Initiative. We are working to eliminate all natural gas driven pneumatic devices by 2025 in our key U.S. unconventional operated assets and to accelerate the phase-out of these devices across all of our global operated assets where technically feasible. Also, we eliminated routine flaring in our Permian Basin operated assets at year-end 2022 and plan to eliminate routine flaring across our global operated upstream assets by 2030 in line with the World Bank Zero Routine Flaring Initiative.</w:t>
      </w:r>
    </w:p>
    <w:p>
      <w:pPr>
        <w:spacing w:after="0" w:line="179" w:lineRule="exact"/>
        <w:rPr>
          <w:sz w:val="20"/>
          <w:szCs w:val="20"/>
          <w:color w:val="auto"/>
        </w:rPr>
      </w:pPr>
    </w:p>
    <w:p>
      <w:pPr>
        <w:ind w:left="760" w:right="400"/>
        <w:spacing w:after="0" w:line="257" w:lineRule="auto"/>
        <w:rPr>
          <w:sz w:val="20"/>
          <w:szCs w:val="20"/>
          <w:color w:val="auto"/>
        </w:rPr>
      </w:pPr>
      <w:r>
        <w:rPr>
          <w:rFonts w:ascii="Arial" w:cs="Arial" w:eastAsia="Arial" w:hAnsi="Arial"/>
          <w:sz w:val="18"/>
          <w:szCs w:val="18"/>
          <w:color w:val="auto"/>
        </w:rPr>
        <w:t xml:space="preserve">In summary, given the significant progress we are making to reduce methane emissions and the robust disclosures already provided, the Board believes that this proposal is duplicative and, therefore, unnecessary. As such, the Board recommends that shareholders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this proposal.</w:t>
      </w:r>
    </w:p>
    <w:p>
      <w:pPr>
        <w:spacing w:after="0" w:line="71"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84</w:t>
      </w:r>
      <w:r>
        <w:rPr>
          <w:sz w:val="20"/>
          <w:szCs w:val="20"/>
          <w:color w:val="auto"/>
        </w:rPr>
        <w:tab/>
      </w:r>
      <w:r>
        <w:rPr>
          <w:sz w:val="1"/>
          <w:szCs w:val="1"/>
          <w:color w:val="auto"/>
        </w:rPr>
        <w:drawing>
          <wp:inline distT="0" distB="0" distL="0" distR="0">
            <wp:extent cx="737235" cy="146050"/>
            <wp:effectExtent l="0" t="0" r="0" b="0"/>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2023 Proxy Statement</w:t>
      </w:r>
    </w:p>
    <w:p>
      <w:pPr>
        <w:sectPr>
          <w:pgSz w:w="11900" w:h="16838" w:orient="portrait"/>
          <w:cols w:equalWidth="0" w:num="1">
            <w:col w:w="10480"/>
          </w:cols>
          <w:pgMar w:left="320" w:top="482" w:right="10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more information, visit our website: corporate.exxonmobil.com/Climate-Solutions/Methane.</w:t>
      </w:r>
    </w:p>
    <w:p>
      <w:pPr>
        <w:spacing w:after="0" w:line="200" w:lineRule="exact"/>
        <w:rPr>
          <w:sz w:val="20"/>
          <w:szCs w:val="20"/>
          <w:color w:val="auto"/>
        </w:rPr>
      </w:pPr>
    </w:p>
    <w:p>
      <w:pPr>
        <w:spacing w:after="0" w:line="223"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Item 9 – Establish a Scope 3 Target and Reduce Hydrocarbon Sales</w:t>
      </w:r>
    </w:p>
    <w:p>
      <w:pPr>
        <w:spacing w:after="0" w:line="99" w:lineRule="exact"/>
        <w:rPr>
          <w:sz w:val="20"/>
          <w:szCs w:val="20"/>
          <w:color w:val="auto"/>
        </w:rPr>
      </w:pPr>
    </w:p>
    <w:p>
      <w:pPr>
        <w:ind w:left="760" w:right="300"/>
        <w:spacing w:after="0" w:line="271" w:lineRule="auto"/>
        <w:rPr>
          <w:sz w:val="20"/>
          <w:szCs w:val="20"/>
          <w:color w:val="auto"/>
        </w:rPr>
      </w:pPr>
      <w:r>
        <w:rPr>
          <w:rFonts w:ascii="Arial" w:cs="Arial" w:eastAsia="Arial" w:hAnsi="Arial"/>
          <w:sz w:val="18"/>
          <w:szCs w:val="18"/>
          <w:color w:val="auto"/>
        </w:rPr>
        <w:t>This proposal was submitted by Follow This, Anthony Fokkerweg 61, 1059 CP Amsterdam, Netherlands, the beneficial owner of 37 shares for at least three years, and lead proponent of a filing group.</w:t>
      </w:r>
    </w:p>
    <w:p>
      <w:pPr>
        <w:spacing w:after="0" w:line="370"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“Shareholder proposal at the 2023 AGM of ExxonMobil Corporation (‘the Company’)</w:t>
      </w:r>
    </w:p>
    <w:p>
      <w:pPr>
        <w:spacing w:after="0" w:line="14"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Filed by Follow This</w:t>
      </w:r>
    </w:p>
    <w:p>
      <w:pPr>
        <w:spacing w:after="0" w:line="86" w:lineRule="exact"/>
        <w:rPr>
          <w:sz w:val="20"/>
          <w:szCs w:val="20"/>
          <w:color w:val="auto"/>
        </w:rPr>
      </w:pPr>
    </w:p>
    <w:p>
      <w:pPr>
        <w:ind w:left="760" w:right="480"/>
        <w:spacing w:after="0" w:line="281" w:lineRule="auto"/>
        <w:rPr>
          <w:sz w:val="20"/>
          <w:szCs w:val="20"/>
          <w:color w:val="auto"/>
        </w:rPr>
      </w:pPr>
      <w:r>
        <w:rPr>
          <w:rFonts w:ascii="Arial" w:cs="Arial" w:eastAsia="Arial" w:hAnsi="Arial"/>
          <w:sz w:val="18"/>
          <w:szCs w:val="18"/>
          <w:b w:val="1"/>
          <w:bCs w:val="1"/>
          <w:color w:val="auto"/>
        </w:rPr>
        <w:t>WHEREAS: The world has declared to drive down greenhouse gas (GHG) emissions this decade, the energy transition presents great opportunities for an integrated energy multinational.</w:t>
      </w:r>
    </w:p>
    <w:p>
      <w:pPr>
        <w:spacing w:after="0" w:line="136" w:lineRule="exact"/>
        <w:rPr>
          <w:sz w:val="20"/>
          <w:szCs w:val="20"/>
          <w:color w:val="auto"/>
        </w:rPr>
      </w:pPr>
    </w:p>
    <w:p>
      <w:pPr>
        <w:ind w:left="760" w:right="60"/>
        <w:spacing w:after="0" w:line="250" w:lineRule="auto"/>
        <w:rPr>
          <w:sz w:val="20"/>
          <w:szCs w:val="20"/>
          <w:color w:val="auto"/>
        </w:rPr>
      </w:pPr>
      <w:r>
        <w:rPr>
          <w:rFonts w:ascii="Arial" w:cs="Arial" w:eastAsia="Arial" w:hAnsi="Arial"/>
          <w:sz w:val="18"/>
          <w:szCs w:val="18"/>
          <w:b w:val="1"/>
          <w:bCs w:val="1"/>
          <w:color w:val="auto"/>
        </w:rPr>
        <w:t>RESOLVED: Shareholders request the Company to set a medium-term reduction target covering the greenhouse gas (GHG) emissions of the use of its energy products (Scope 3) consistent with the goal of the Paris Climate Agreement: to limit global warming to well below 2°C above pre-industrial levels and to pursue efforts to limit the temperature increase to 1.5°C.</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The strategy for how to achieve this target is entirely up to the board.</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You have our support.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SUPPORTING STATEMENT:</w:t>
      </w:r>
    </w:p>
    <w:p>
      <w:pPr>
        <w:spacing w:after="0" w:line="104" w:lineRule="exact"/>
        <w:rPr>
          <w:sz w:val="20"/>
          <w:szCs w:val="20"/>
          <w:color w:val="auto"/>
        </w:rPr>
      </w:pPr>
    </w:p>
    <w:p>
      <w:pPr>
        <w:ind w:left="760" w:right="80"/>
        <w:spacing w:after="0" w:line="253" w:lineRule="auto"/>
        <w:rPr>
          <w:sz w:val="20"/>
          <w:szCs w:val="20"/>
          <w:color w:val="auto"/>
        </w:rPr>
      </w:pPr>
      <w:r>
        <w:rPr>
          <w:rFonts w:ascii="Arial" w:cs="Arial" w:eastAsia="Arial" w:hAnsi="Arial"/>
          <w:sz w:val="18"/>
          <w:szCs w:val="18"/>
          <w:color w:val="auto"/>
        </w:rPr>
        <w:t>We believe that ExxonMobil could lead and thrive in the energy transition by meeting the increasing demand for energy services while reducing GHG emissions to levels consistent with the global intergovernmental consensus specified by the Paris Accord.</w:t>
      </w:r>
    </w:p>
    <w:p>
      <w:pPr>
        <w:spacing w:after="0" w:line="169" w:lineRule="exact"/>
        <w:rPr>
          <w:sz w:val="20"/>
          <w:szCs w:val="20"/>
          <w:color w:val="auto"/>
        </w:rPr>
      </w:pPr>
    </w:p>
    <w:p>
      <w:pPr>
        <w:ind w:left="760" w:right="120"/>
        <w:spacing w:after="0" w:line="289" w:lineRule="auto"/>
        <w:rPr>
          <w:sz w:val="20"/>
          <w:szCs w:val="20"/>
          <w:color w:val="auto"/>
        </w:rPr>
      </w:pPr>
      <w:r>
        <w:rPr>
          <w:rFonts w:ascii="Arial" w:cs="Arial" w:eastAsia="Arial" w:hAnsi="Arial"/>
          <w:sz w:val="18"/>
          <w:szCs w:val="18"/>
          <w:color w:val="auto"/>
        </w:rPr>
        <w:t>Setting a Paris-aligned medium-term target covering Scope 3 is paramount, because the medium-term is decisive for the Company and the Paris Accord and because Scope 3 accounts for around 90% of total Scope 1, 2 and 3 emissions.</w:t>
      </w:r>
      <w:r>
        <w:rPr>
          <w:rFonts w:ascii="Arial" w:cs="Arial" w:eastAsia="Arial" w:hAnsi="Arial"/>
          <w:sz w:val="26"/>
          <w:szCs w:val="26"/>
          <w:color w:val="auto"/>
          <w:vertAlign w:val="superscript"/>
        </w:rPr>
        <w:t>1,2</w:t>
      </w:r>
    </w:p>
    <w:p>
      <w:pPr>
        <w:spacing w:after="0" w:line="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ExxonMobil is one of the few oil majors that has not set Scope 3 targets (at the time of filing this proposal).</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Therefore, this proposal supports ExxonMobil to set a Paris-aligned medium-term target covering Scope 3.</w:t>
      </w:r>
    </w:p>
    <w:p>
      <w:pPr>
        <w:spacing w:after="0" w:line="212" w:lineRule="exact"/>
        <w:rPr>
          <w:sz w:val="20"/>
          <w:szCs w:val="20"/>
          <w:color w:val="auto"/>
        </w:rPr>
      </w:pPr>
    </w:p>
    <w:p>
      <w:pPr>
        <w:ind w:left="760"/>
        <w:spacing w:after="0" w:line="253" w:lineRule="auto"/>
        <w:rPr>
          <w:sz w:val="20"/>
          <w:szCs w:val="20"/>
          <w:color w:val="auto"/>
        </w:rPr>
      </w:pPr>
      <w:r>
        <w:rPr>
          <w:rFonts w:ascii="Arial" w:cs="Arial" w:eastAsia="Arial" w:hAnsi="Arial"/>
          <w:sz w:val="18"/>
          <w:szCs w:val="18"/>
          <w:color w:val="auto"/>
        </w:rPr>
        <w:t>We, the shareholders, understand this support to be our fiduciary duty to secure the long-term interest of the Company and to protect all our assets in the global economy from devastating climate change; limiting global warming is essential to risk management and responsible stewardship of the economy.</w:t>
      </w:r>
    </w:p>
    <w:p>
      <w:pPr>
        <w:spacing w:after="0" w:line="169" w:lineRule="exact"/>
        <w:rPr>
          <w:sz w:val="20"/>
          <w:szCs w:val="20"/>
          <w:color w:val="auto"/>
        </w:rPr>
      </w:pPr>
    </w:p>
    <w:p>
      <w:pPr>
        <w:ind w:left="760" w:right="160"/>
        <w:spacing w:after="0" w:line="267" w:lineRule="auto"/>
        <w:rPr>
          <w:sz w:val="20"/>
          <w:szCs w:val="20"/>
          <w:color w:val="auto"/>
        </w:rPr>
      </w:pPr>
      <w:r>
        <w:rPr>
          <w:rFonts w:ascii="Arial" w:cs="Arial" w:eastAsia="Arial" w:hAnsi="Arial"/>
          <w:sz w:val="18"/>
          <w:szCs w:val="18"/>
          <w:color w:val="auto"/>
        </w:rPr>
        <w:t>Backing from investors determined to achieve Paris remains strong; in 2022, 28% of shareholders in ExxonMobil and up to 39% of shareholders in other oil majors voted in favour of Follow This climate resolutions requesting Paris-aligned targets.</w:t>
      </w:r>
      <w:r>
        <w:rPr>
          <w:rFonts w:ascii="Arial" w:cs="Arial" w:eastAsia="Arial" w:hAnsi="Arial"/>
          <w:sz w:val="26"/>
          <w:szCs w:val="26"/>
          <w:color w:val="auto"/>
          <w:vertAlign w:val="superscript"/>
        </w:rPr>
        <w:t>3</w:t>
      </w:r>
    </w:p>
    <w:p>
      <w:pPr>
        <w:spacing w:after="0" w:line="30" w:lineRule="exact"/>
        <w:rPr>
          <w:sz w:val="20"/>
          <w:szCs w:val="20"/>
          <w:color w:val="auto"/>
        </w:rPr>
      </w:pPr>
    </w:p>
    <w:p>
      <w:pPr>
        <w:ind w:left="760" w:right="340"/>
        <w:spacing w:after="0" w:line="220" w:lineRule="auto"/>
        <w:rPr>
          <w:sz w:val="20"/>
          <w:szCs w:val="20"/>
          <w:color w:val="auto"/>
        </w:rPr>
      </w:pPr>
      <w:r>
        <w:rPr>
          <w:rFonts w:ascii="Arial" w:cs="Arial" w:eastAsia="Arial" w:hAnsi="Arial"/>
          <w:sz w:val="18"/>
          <w:szCs w:val="18"/>
          <w:color w:val="auto"/>
        </w:rPr>
        <w:t>The current energy crisis and the climate crisis can be addressed simultaneously by investing the windfall profits from high oil and gas prices in other energy sources.</w:t>
      </w:r>
      <w:r>
        <w:rPr>
          <w:rFonts w:ascii="Arial" w:cs="Arial" w:eastAsia="Arial" w:hAnsi="Arial"/>
          <w:sz w:val="26"/>
          <w:szCs w:val="26"/>
          <w:color w:val="auto"/>
          <w:vertAlign w:val="superscript"/>
        </w:rPr>
        <w:t>4</w:t>
      </w:r>
      <w:r>
        <w:rPr>
          <w:rFonts w:ascii="Arial" w:cs="Arial" w:eastAsia="Arial" w:hAnsi="Arial"/>
          <w:sz w:val="18"/>
          <w:szCs w:val="18"/>
          <w:color w:val="auto"/>
        </w:rPr>
        <w:t xml:space="preserve"> Diversification of the energy supply would foster energy security by reducing dependency on oil and gas fields tied up in geo-political conflict and reduce emissions to address the climate crisis simultaneously.</w:t>
      </w:r>
    </w:p>
    <w:p>
      <w:pPr>
        <w:spacing w:after="0" w:line="183" w:lineRule="exact"/>
        <w:rPr>
          <w:sz w:val="20"/>
          <w:szCs w:val="20"/>
          <w:color w:val="auto"/>
        </w:rPr>
      </w:pPr>
    </w:p>
    <w:p>
      <w:pPr>
        <w:ind w:left="760" w:right="120"/>
        <w:spacing w:after="0" w:line="216" w:lineRule="auto"/>
        <w:rPr>
          <w:sz w:val="20"/>
          <w:szCs w:val="20"/>
          <w:color w:val="auto"/>
        </w:rPr>
      </w:pPr>
      <w:r>
        <w:rPr>
          <w:rFonts w:ascii="Arial" w:cs="Arial" w:eastAsia="Arial" w:hAnsi="Arial"/>
          <w:sz w:val="18"/>
          <w:szCs w:val="18"/>
          <w:color w:val="auto"/>
        </w:rPr>
        <w:t>Changes in demand are as critical as changes in supply, but customers can only change sufficiently when key system players like ExxonMobil offer alternative energy sources at scale.</w:t>
      </w:r>
      <w:r>
        <w:rPr>
          <w:rFonts w:ascii="Arial" w:cs="Arial" w:eastAsia="Arial" w:hAnsi="Arial"/>
          <w:sz w:val="26"/>
          <w:szCs w:val="26"/>
          <w:color w:val="auto"/>
          <w:vertAlign w:val="superscript"/>
        </w:rPr>
        <w:t>5</w:t>
      </w:r>
      <w:r>
        <w:rPr>
          <w:rFonts w:ascii="Arial" w:cs="Arial" w:eastAsia="Arial" w:hAnsi="Arial"/>
          <w:sz w:val="18"/>
          <w:szCs w:val="18"/>
          <w:color w:val="auto"/>
        </w:rPr>
        <w:t xml:space="preserve"> By investing in alternatives, a global integrated energy company like ExxonMobil could decrease emissions without ultimately shrinking business.</w:t>
      </w:r>
    </w:p>
    <w:p>
      <w:pPr>
        <w:spacing w:after="0" w:line="182" w:lineRule="exact"/>
        <w:rPr>
          <w:sz w:val="20"/>
          <w:szCs w:val="20"/>
          <w:color w:val="auto"/>
        </w:rPr>
      </w:pPr>
    </w:p>
    <w:p>
      <w:pPr>
        <w:jc w:val="both"/>
        <w:ind w:left="760" w:right="220"/>
        <w:spacing w:after="0" w:line="267" w:lineRule="auto"/>
        <w:rPr>
          <w:sz w:val="20"/>
          <w:szCs w:val="20"/>
          <w:color w:val="auto"/>
        </w:rPr>
      </w:pPr>
      <w:r>
        <w:rPr>
          <w:rFonts w:ascii="Arial" w:cs="Arial" w:eastAsia="Arial" w:hAnsi="Arial"/>
          <w:sz w:val="18"/>
          <w:szCs w:val="18"/>
          <w:color w:val="auto"/>
        </w:rPr>
        <w:t>It is in the Company’s and its shareholders’ best interest to pursue the opportunities the energy transition presents; this will also pre-empt risks of losing access to capital markets, policy interventions, litigation, liability for the costs of climate change, disruptive innovation, and stranded assets.</w:t>
      </w:r>
      <w:r>
        <w:rPr>
          <w:rFonts w:ascii="Arial" w:cs="Arial" w:eastAsia="Arial" w:hAnsi="Arial"/>
          <w:sz w:val="26"/>
          <w:szCs w:val="26"/>
          <w:color w:val="auto"/>
          <w:vertAlign w:val="superscript"/>
        </w:rPr>
        <w:t>6</w:t>
      </w:r>
    </w:p>
    <w:p>
      <w:pPr>
        <w:spacing w:after="0" w:line="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You have our support.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Sources: www.follow-this.org/ExxonMobil-resolution-2023-sources/</w:t>
      </w:r>
      <w:r>
        <w:rPr>
          <w:rFonts w:ascii="Arial" w:cs="Arial" w:eastAsia="Arial" w:hAnsi="Arial"/>
          <w:sz w:val="18"/>
          <w:szCs w:val="18"/>
          <w:color w:val="auto"/>
        </w:rPr>
        <w:t>”</w:t>
      </w:r>
    </w:p>
    <w:p>
      <w:pPr>
        <w:spacing w:after="0" w:line="143"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54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480"/>
          </w:cols>
          <w:pgMar w:left="320" w:top="482" w:right="10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The Board carefully considered this proposal and recommends you vote AGAINST it for the following reasons:</w:t>
      </w:r>
    </w:p>
    <w:p>
      <w:pPr>
        <w:spacing w:after="0" w:line="104" w:lineRule="exact"/>
        <w:rPr>
          <w:sz w:val="20"/>
          <w:szCs w:val="20"/>
          <w:color w:val="auto"/>
        </w:rPr>
      </w:pPr>
    </w:p>
    <w:p>
      <w:pPr>
        <w:ind w:left="760" w:right="40"/>
        <w:spacing w:after="0" w:line="242" w:lineRule="auto"/>
        <w:rPr>
          <w:sz w:val="20"/>
          <w:szCs w:val="20"/>
          <w:color w:val="auto"/>
        </w:rPr>
      </w:pPr>
      <w:r>
        <w:rPr>
          <w:rFonts w:ascii="Arial" w:cs="Arial" w:eastAsia="Arial" w:hAnsi="Arial"/>
          <w:sz w:val="18"/>
          <w:szCs w:val="18"/>
          <w:color w:val="auto"/>
        </w:rPr>
        <w:t>The Board takes an active role in overseeing ExxonMobil’s approach to climate change and agrees with the proponent that we can be, and are in fact working to be, a leader in the energy transition. As described in our Advancing Climate Solutions 2023 Progress Report, we have increased investments by nearly 15 percent to approximately $17 billion from 2022 through 2027 to advance a number of initiatives to reduce greenhouse gas emissions in our own operations and help others reduce their emissions. We believe setting Scope 3 targets can have significant unintended consequences for society, and therefore we recommend a vote against this proposal.</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making this recommendation against the proposal, we note the following:</w:t>
      </w:r>
    </w:p>
    <w:p>
      <w:pPr>
        <w:spacing w:after="0" w:line="117" w:lineRule="exact"/>
        <w:rPr>
          <w:sz w:val="20"/>
          <w:szCs w:val="20"/>
          <w:color w:val="auto"/>
        </w:rPr>
      </w:pPr>
    </w:p>
    <w:p>
      <w:pPr>
        <w:ind w:left="1140" w:right="540" w:hanging="376"/>
        <w:spacing w:after="0" w:line="271" w:lineRule="auto"/>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proposal does not acknowledge our significant work and commitment to reduce our emissions and aid our customers in doing the same, including those emissions arising from energy-intensive industries.</w:t>
      </w:r>
    </w:p>
    <w:p>
      <w:pPr>
        <w:spacing w:after="0" w:line="59" w:lineRule="exact"/>
        <w:rPr>
          <w:rFonts w:ascii="Arial" w:cs="Arial" w:eastAsia="Arial" w:hAnsi="Arial"/>
          <w:sz w:val="18"/>
          <w:szCs w:val="18"/>
          <w:color w:val="auto"/>
        </w:rPr>
      </w:pPr>
    </w:p>
    <w:p>
      <w:pPr>
        <w:ind w:left="1140" w:right="680" w:hanging="376"/>
        <w:spacing w:after="0" w:line="271" w:lineRule="auto"/>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proponent is an anti-oil and gas activist group using environmental, social, and governance objectives to diminish the important role ExxonMobil plays in the energy industry.</w:t>
      </w:r>
    </w:p>
    <w:p>
      <w:pPr>
        <w:spacing w:after="0" w:line="45" w:lineRule="exact"/>
        <w:rPr>
          <w:rFonts w:ascii="Arial" w:cs="Arial" w:eastAsia="Arial" w:hAnsi="Arial"/>
          <w:sz w:val="18"/>
          <w:szCs w:val="18"/>
          <w:color w:val="auto"/>
        </w:rPr>
      </w:pPr>
    </w:p>
    <w:p>
      <w:pPr>
        <w:ind w:left="1160" w:right="40"/>
        <w:spacing w:after="0" w:line="225" w:lineRule="auto"/>
        <w:rPr>
          <w:rFonts w:ascii="Arial" w:cs="Arial" w:eastAsia="Arial" w:hAnsi="Arial"/>
          <w:sz w:val="18"/>
          <w:szCs w:val="18"/>
          <w:color w:val="auto"/>
        </w:rPr>
      </w:pPr>
      <w:r>
        <w:rPr>
          <w:rFonts w:ascii="Arial" w:cs="Arial" w:eastAsia="Arial" w:hAnsi="Arial"/>
          <w:sz w:val="18"/>
          <w:szCs w:val="18"/>
          <w:color w:val="auto"/>
        </w:rPr>
        <w:t>The group’s founder openly admitted in a TED Talk, which is available on its website, that its shareholder proposals use alignment with the Paris Climate Agreement 1.5°C as a “Trojan horse”</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to force companies to eliminate oil and natural gas investments. Forcing investment decisions based on this scenario, before the technology and policies exist, would have clear consequences for energy security, consumer pricing, and standards of living for people in the U.S. and around the world by creating supply shortages that drive prices up and harm vulnerable populations. The proposal does nothing to further shareholder interests.</w:t>
      </w:r>
    </w:p>
    <w:p>
      <w:pPr>
        <w:spacing w:after="0" w:line="85" w:lineRule="exact"/>
        <w:rPr>
          <w:rFonts w:ascii="Arial" w:cs="Arial" w:eastAsia="Arial" w:hAnsi="Arial"/>
          <w:sz w:val="18"/>
          <w:szCs w:val="18"/>
          <w:color w:val="auto"/>
        </w:rPr>
      </w:pPr>
    </w:p>
    <w:p>
      <w:pPr>
        <w:ind w:left="1140" w:right="200" w:hanging="376"/>
        <w:spacing w:after="0" w:line="247" w:lineRule="auto"/>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This “Trojan horse” proposal speaks to a Scope 3 emissions framework that, when applied at a company level, has flaws, not just in its calculations but in the misguided insights those calculations offer (e.g., double counting of emissions). We believe applying Scope 3 targets to companies will have significant, unintended consequences for society.</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we discussed with the proponent, calculating Scope 3 emissions at a macro level can provide useful insights into sources of emissions and opportunities for an economy to improve. However, applying Scope 3 targets to an oil and gas company incentivizes asset divestments or reduced production of products that society needs. In the first case, the greenhouse gas emissions still occur but are no longer attributable to the original asset owner. This does not reduce global emissions and may, depending on the capabilities and commitments of the new owner, increase overall emissions. In the second case, where operations are discontinued, the need for that energy remains. Consumers are forced to make do with less energy, pay significantly more for their energy, or, depending on availability, turn to alternative, higher-emitting sources like coal.</w:t>
      </w:r>
    </w:p>
    <w:p>
      <w:pPr>
        <w:spacing w:after="0" w:line="180" w:lineRule="exact"/>
        <w:rPr>
          <w:sz w:val="20"/>
          <w:szCs w:val="20"/>
          <w:color w:val="auto"/>
        </w:rPr>
      </w:pPr>
    </w:p>
    <w:p>
      <w:pPr>
        <w:ind w:left="760" w:right="80"/>
        <w:spacing w:after="0" w:line="244" w:lineRule="auto"/>
        <w:rPr>
          <w:sz w:val="20"/>
          <w:szCs w:val="20"/>
          <w:color w:val="auto"/>
        </w:rPr>
      </w:pPr>
      <w:r>
        <w:rPr>
          <w:rFonts w:ascii="Arial" w:cs="Arial" w:eastAsia="Arial" w:hAnsi="Arial"/>
          <w:sz w:val="18"/>
          <w:szCs w:val="18"/>
          <w:color w:val="auto"/>
        </w:rPr>
        <w:t>Another flaw of company-specific Scope 3 targets is that it disincentivizes companies from providing products that help society reduce emissions by displacing higher-emitting alternatives. For example, the natural gas we produce can reduce global emissions by about 60 percent on a life-cycle intensity basis when it displaces coal. However, in producing more natural gas for society to burn less coal, our Company’s calculated Scope 3 emissions go up. This is a clear disincentive for helping society reduce emissions.</w:t>
      </w:r>
    </w:p>
    <w:p>
      <w:pPr>
        <w:spacing w:after="0" w:line="176" w:lineRule="exact"/>
        <w:rPr>
          <w:sz w:val="20"/>
          <w:szCs w:val="20"/>
          <w:color w:val="auto"/>
        </w:rPr>
      </w:pPr>
    </w:p>
    <w:p>
      <w:pPr>
        <w:ind w:left="760" w:right="200"/>
        <w:spacing w:after="0" w:line="253" w:lineRule="auto"/>
        <w:rPr>
          <w:sz w:val="20"/>
          <w:szCs w:val="20"/>
          <w:color w:val="auto"/>
        </w:rPr>
      </w:pPr>
      <w:r>
        <w:rPr>
          <w:rFonts w:ascii="Arial" w:cs="Arial" w:eastAsia="Arial" w:hAnsi="Arial"/>
          <w:sz w:val="18"/>
          <w:szCs w:val="18"/>
          <w:color w:val="auto"/>
        </w:rPr>
        <w:t>Likewise, Scope 3 does not allow for a net number when arriving at its calculations. As a consequence, no emissions benefit is given to a company like ours that is engaged in the critical work of helping customers remove and safely store carbon emissions that would otherwise wind up in the atmosphere.</w:t>
      </w:r>
    </w:p>
    <w:p>
      <w:pPr>
        <w:spacing w:after="0" w:line="169" w:lineRule="exact"/>
        <w:rPr>
          <w:sz w:val="20"/>
          <w:szCs w:val="20"/>
          <w:color w:val="auto"/>
        </w:rPr>
      </w:pPr>
    </w:p>
    <w:p>
      <w:pPr>
        <w:ind w:left="760" w:right="80"/>
        <w:spacing w:after="0" w:line="244" w:lineRule="auto"/>
        <w:rPr>
          <w:sz w:val="20"/>
          <w:szCs w:val="20"/>
          <w:color w:val="auto"/>
        </w:rPr>
      </w:pPr>
      <w:r>
        <w:rPr>
          <w:rFonts w:ascii="Arial" w:cs="Arial" w:eastAsia="Arial" w:hAnsi="Arial"/>
          <w:sz w:val="18"/>
          <w:szCs w:val="18"/>
          <w:color w:val="auto"/>
        </w:rPr>
        <w:t>Make no mistake, we are committed to reducing greenhouse gas emissions, which is why we’re taking a full life-cycle approach that uses intensity metrics and allows for a more meaningful view of our progress and contributions to society across products and industries. To demonstrate this approach, we have modeled and disclosed our expected lifecycle emission reductions by 2030 (a 6 percent reduction in intensity and an 18 percent reduction in absolute emissions versus 2016).</w:t>
      </w:r>
    </w:p>
    <w:p>
      <w:pPr>
        <w:spacing w:after="0" w:line="176" w:lineRule="exact"/>
        <w:rPr>
          <w:sz w:val="20"/>
          <w:szCs w:val="20"/>
          <w:color w:val="auto"/>
        </w:rPr>
      </w:pPr>
    </w:p>
    <w:p>
      <w:pPr>
        <w:ind w:left="760" w:right="20"/>
        <w:spacing w:after="0" w:line="247" w:lineRule="auto"/>
        <w:rPr>
          <w:sz w:val="20"/>
          <w:szCs w:val="20"/>
          <w:color w:val="auto"/>
        </w:rPr>
      </w:pPr>
      <w:r>
        <w:rPr>
          <w:rFonts w:ascii="Arial" w:cs="Arial" w:eastAsia="Arial" w:hAnsi="Arial"/>
          <w:sz w:val="18"/>
          <w:szCs w:val="18"/>
          <w:color w:val="auto"/>
        </w:rPr>
        <w:t>In our view, this proposal reflects the proponent’s underlying objective to reduce the supply of oil and natural gas at a time in the energy transition when there is no viable alternative at scale. It is overly prescriptive and incorrectly applies a metric that is intended to measure society’s progress in reducing emissions to an individual company. Scope 3 targets are the wrong basis for evaluating a company’s progress in supporting the goals of the Paris Agreement and</w:t>
      </w:r>
    </w:p>
    <w:p>
      <w:pPr>
        <w:spacing w:after="0" w:line="86"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86</w:t>
      </w:r>
      <w:r>
        <w:rPr>
          <w:sz w:val="20"/>
          <w:szCs w:val="20"/>
          <w:color w:val="auto"/>
        </w:rPr>
        <w:tab/>
      </w:r>
      <w:r>
        <w:rPr>
          <w:sz w:val="1"/>
          <w:szCs w:val="1"/>
          <w:color w:val="auto"/>
        </w:rPr>
        <w:drawing>
          <wp:inline distT="0" distB="0" distL="0" distR="0">
            <wp:extent cx="737235" cy="146050"/>
            <wp:effectExtent l="0" t="0" r="0" b="0"/>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2023 Proxy Statement</w:t>
      </w:r>
    </w:p>
    <w:p>
      <w:pPr>
        <w:sectPr>
          <w:pgSz w:w="11900" w:h="16838" w:orient="portrait"/>
          <w:cols w:equalWidth="0" w:num="1">
            <w:col w:w="10460"/>
          </w:cols>
          <w:pgMar w:left="320" w:top="482" w:right="11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760" w:right="120"/>
        <w:spacing w:after="0" w:line="257" w:lineRule="auto"/>
        <w:rPr>
          <w:sz w:val="20"/>
          <w:szCs w:val="20"/>
          <w:color w:val="auto"/>
        </w:rPr>
      </w:pPr>
      <w:r>
        <w:rPr>
          <w:rFonts w:ascii="Arial" w:cs="Arial" w:eastAsia="Arial" w:hAnsi="Arial"/>
          <w:sz w:val="18"/>
          <w:szCs w:val="18"/>
          <w:color w:val="auto"/>
        </w:rPr>
        <w:t xml:space="preserve">meeting the needs of society. For these reasons, the Board supports the Company’s life-cycle approach toward reducing greenhouse gas emissions and rejects using Scope 3 targets as put forth by the proponent. We recommend a vote </w:t>
      </w:r>
      <w:r>
        <w:rPr>
          <w:rFonts w:ascii="Arial" w:cs="Arial" w:eastAsia="Arial" w:hAnsi="Arial"/>
          <w:sz w:val="18"/>
          <w:szCs w:val="18"/>
          <w:b w:val="1"/>
          <w:bCs w:val="1"/>
          <w:color w:val="auto"/>
        </w:rPr>
        <w:t xml:space="preserve">against </w:t>
      </w:r>
      <w:r>
        <w:rPr>
          <w:rFonts w:ascii="Arial" w:cs="Arial" w:eastAsia="Arial" w:hAnsi="Arial"/>
          <w:sz w:val="18"/>
          <w:szCs w:val="18"/>
          <w:color w:val="auto"/>
        </w:rPr>
        <w:t>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146685</wp:posOffset>
            </wp:positionV>
            <wp:extent cx="166306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190" w:lineRule="exact"/>
        <w:rPr>
          <w:sz w:val="20"/>
          <w:szCs w:val="20"/>
          <w:color w:val="auto"/>
        </w:rPr>
      </w:pPr>
    </w:p>
    <w:p>
      <w:pPr>
        <w:ind w:left="1140" w:hanging="376"/>
        <w:spacing w:after="0"/>
        <w:tabs>
          <w:tab w:leader="none" w:pos="1140" w:val="left"/>
        </w:tabs>
        <w:numPr>
          <w:ilvl w:val="0"/>
          <w:numId w:val="56"/>
        </w:numPr>
        <w:rPr>
          <w:rFonts w:ascii="Arial" w:cs="Arial" w:eastAsia="Arial" w:hAnsi="Arial"/>
          <w:sz w:val="24"/>
          <w:szCs w:val="24"/>
          <w:color w:val="auto"/>
          <w:vertAlign w:val="superscript"/>
        </w:rPr>
      </w:pPr>
      <w:r>
        <w:rPr>
          <w:rFonts w:ascii="Arial" w:cs="Arial" w:eastAsia="Arial" w:hAnsi="Arial"/>
          <w:sz w:val="16"/>
          <w:szCs w:val="16"/>
          <w:color w:val="auto"/>
        </w:rPr>
        <w:t>https://www.follow-this.org/how-to-get-big-oil-to-end-the-climate-crisis-mark-van-baal-tedxeindhoven/</w:t>
      </w:r>
    </w:p>
    <w:p>
      <w:pPr>
        <w:spacing w:after="0" w:line="397"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Item 10 – Additional Report on Worst-case Spill and Response Plans</w:t>
      </w:r>
    </w:p>
    <w:p>
      <w:pPr>
        <w:spacing w:after="0" w:line="99" w:lineRule="exact"/>
        <w:rPr>
          <w:sz w:val="20"/>
          <w:szCs w:val="20"/>
          <w:color w:val="auto"/>
        </w:rPr>
      </w:pPr>
    </w:p>
    <w:p>
      <w:pPr>
        <w:ind w:left="760" w:right="100"/>
        <w:spacing w:after="0" w:line="253" w:lineRule="auto"/>
        <w:rPr>
          <w:sz w:val="20"/>
          <w:szCs w:val="20"/>
          <w:color w:val="auto"/>
        </w:rPr>
      </w:pPr>
      <w:r>
        <w:rPr>
          <w:rFonts w:ascii="Arial" w:cs="Arial" w:eastAsia="Arial" w:hAnsi="Arial"/>
          <w:sz w:val="18"/>
          <w:szCs w:val="18"/>
          <w:color w:val="auto"/>
        </w:rPr>
        <w:t>This proposal was submitted by Mercy Investment Services, Inc., 2039 North Geyer Road, St. Louis, Missouri 63131, the beneficial owner of shares with a market value exceeding $2,000 for at least three years, and lead proponent of a filing group.</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WHEREAS:</w:t>
      </w:r>
    </w:p>
    <w:p>
      <w:pPr>
        <w:spacing w:after="0" w:line="104" w:lineRule="exact"/>
        <w:rPr>
          <w:sz w:val="20"/>
          <w:szCs w:val="20"/>
          <w:color w:val="auto"/>
        </w:rPr>
      </w:pPr>
    </w:p>
    <w:p>
      <w:pPr>
        <w:ind w:left="760" w:right="20"/>
        <w:spacing w:after="0" w:line="229" w:lineRule="auto"/>
        <w:rPr>
          <w:sz w:val="20"/>
          <w:szCs w:val="20"/>
          <w:color w:val="auto"/>
        </w:rPr>
      </w:pPr>
      <w:r>
        <w:rPr>
          <w:rFonts w:ascii="Arial" w:cs="Arial" w:eastAsia="Arial" w:hAnsi="Arial"/>
          <w:sz w:val="18"/>
          <w:szCs w:val="18"/>
          <w:color w:val="auto"/>
        </w:rPr>
        <w:t>ExxonMobil operates one of the largest oil plays discovered in the past decade, offshore of the South American country Guyana. After discovering oil in 2015, development proceeded rapidly. Production began in 2019,</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with capacity expected to exceed one million bpd by 2030.</w:t>
      </w:r>
      <w:r>
        <w:rPr>
          <w:rFonts w:ascii="Arial" w:cs="Arial" w:eastAsia="Arial" w:hAnsi="Arial"/>
          <w:sz w:val="26"/>
          <w:szCs w:val="2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64135</wp:posOffset>
            </wp:positionV>
            <wp:extent cx="2691765" cy="160337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691765" cy="160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60"/>
        <w:spacing w:after="0" w:line="205" w:lineRule="auto"/>
        <w:rPr>
          <w:sz w:val="20"/>
          <w:szCs w:val="20"/>
          <w:color w:val="auto"/>
        </w:rPr>
      </w:pPr>
      <w:r>
        <w:rPr>
          <w:rFonts w:ascii="Arial" w:cs="Arial" w:eastAsia="Arial" w:hAnsi="Arial"/>
          <w:sz w:val="18"/>
          <w:szCs w:val="18"/>
          <w:color w:val="auto"/>
        </w:rPr>
        <w:t>CEO Darren Woods admitted ExxonMobil is exceeding design capacity for production in two offshore projects in Guyana.</w:t>
      </w:r>
      <w:r>
        <w:rPr>
          <w:rFonts w:ascii="Arial" w:cs="Arial" w:eastAsia="Arial" w:hAnsi="Arial"/>
          <w:sz w:val="26"/>
          <w:szCs w:val="26"/>
          <w:color w:val="auto"/>
          <w:vertAlign w:val="superscript"/>
        </w:rPr>
        <w:t>3</w:t>
      </w:r>
      <w:r>
        <w:rPr>
          <w:rFonts w:ascii="Arial" w:cs="Arial" w:eastAsia="Arial" w:hAnsi="Arial"/>
          <w:sz w:val="18"/>
          <w:szCs w:val="18"/>
          <w:color w:val="auto"/>
        </w:rPr>
        <w:t xml:space="preserve"> Production in one project has reached 150,000 bpd, clearly above its listed peak production safety threshold of 120,000 bpd</w:t>
      </w:r>
      <w:r>
        <w:rPr>
          <w:rFonts w:ascii="Arial" w:cs="Arial" w:eastAsia="Arial" w:hAnsi="Arial"/>
          <w:sz w:val="26"/>
          <w:szCs w:val="26"/>
          <w:color w:val="auto"/>
          <w:vertAlign w:val="superscript"/>
        </w:rPr>
        <w:t>4</w:t>
      </w:r>
      <w:r>
        <w:rPr>
          <w:rFonts w:ascii="Arial" w:cs="Arial" w:eastAsia="Arial" w:hAnsi="Arial"/>
          <w:sz w:val="18"/>
          <w:szCs w:val="18"/>
          <w:color w:val="auto"/>
        </w:rPr>
        <w:t>, raising concerns among observers.</w:t>
      </w:r>
      <w:r>
        <w:rPr>
          <w:rFonts w:ascii="Arial" w:cs="Arial" w:eastAsia="Arial" w:hAnsi="Arial"/>
          <w:sz w:val="26"/>
          <w:szCs w:val="26"/>
          <w:color w:val="auto"/>
          <w:vertAlign w:val="superscript"/>
        </w:rPr>
        <w:t>5</w:t>
      </w:r>
      <w:r>
        <w:rPr>
          <w:rFonts w:ascii="Arial" w:cs="Arial" w:eastAsia="Arial" w:hAnsi="Arial"/>
          <w:sz w:val="18"/>
          <w:szCs w:val="18"/>
          <w:color w:val="auto"/>
        </w:rPr>
        <w:t xml:space="preserve"> A former director of Guyana’s environmental protection agency called this ‘unheard of’ and stated ExxonMobil is ‘without a conscience and ruthlessly taking advantage of an abysmal EPA and weak Government’ in Guyana.</w:t>
      </w:r>
      <w:r>
        <w:rPr>
          <w:rFonts w:ascii="Arial" w:cs="Arial" w:eastAsia="Arial" w:hAnsi="Arial"/>
          <w:sz w:val="26"/>
          <w:szCs w:val="26"/>
          <w:color w:val="auto"/>
          <w:vertAlign w:val="superscript"/>
        </w:rPr>
        <w:t>6</w:t>
      </w:r>
      <w:r>
        <w:rPr>
          <w:rFonts w:ascii="Arial" w:cs="Arial" w:eastAsia="Arial" w:hAnsi="Arial"/>
          <w:sz w:val="18"/>
          <w:szCs w:val="18"/>
          <w:color w:val="auto"/>
        </w:rPr>
        <w:t xml:space="preserve"> Other safety concerns include gas compressor failures resulting in fines exceeding US$10 million.</w:t>
      </w:r>
      <w:r>
        <w:rPr>
          <w:rFonts w:ascii="Arial" w:cs="Arial" w:eastAsia="Arial" w:hAnsi="Arial"/>
          <w:sz w:val="26"/>
          <w:szCs w:val="26"/>
          <w:color w:val="auto"/>
          <w:vertAlign w:val="superscript"/>
        </w:rPr>
        <w:t>7</w:t>
      </w:r>
    </w:p>
    <w:p>
      <w:pPr>
        <w:spacing w:after="0" w:line="56" w:lineRule="exact"/>
        <w:rPr>
          <w:sz w:val="20"/>
          <w:szCs w:val="20"/>
          <w:color w:val="auto"/>
        </w:rPr>
      </w:pPr>
    </w:p>
    <w:p>
      <w:pPr>
        <w:ind w:left="760" w:right="220"/>
        <w:spacing w:after="0" w:line="229" w:lineRule="auto"/>
        <w:rPr>
          <w:sz w:val="20"/>
          <w:szCs w:val="20"/>
          <w:color w:val="auto"/>
        </w:rPr>
      </w:pPr>
      <w:r>
        <w:rPr>
          <w:rFonts w:ascii="Arial" w:cs="Arial" w:eastAsia="Arial" w:hAnsi="Arial"/>
          <w:sz w:val="18"/>
          <w:szCs w:val="18"/>
          <w:color w:val="auto"/>
        </w:rPr>
        <w:t>Caribbean countries rely on tourism and fishing industries to support their economies,</w:t>
      </w:r>
      <w:r>
        <w:rPr>
          <w:rFonts w:ascii="Arial" w:cs="Arial" w:eastAsia="Arial" w:hAnsi="Arial"/>
          <w:sz w:val="26"/>
          <w:szCs w:val="26"/>
          <w:color w:val="auto"/>
          <w:vertAlign w:val="superscript"/>
        </w:rPr>
        <w:t>8</w:t>
      </w:r>
      <w:r>
        <w:rPr>
          <w:rFonts w:ascii="Arial" w:cs="Arial" w:eastAsia="Arial" w:hAnsi="Arial"/>
          <w:sz w:val="18"/>
          <w:szCs w:val="18"/>
          <w:color w:val="auto"/>
        </w:rPr>
        <w:t xml:space="preserve"> yet ExxonMobil’s Environmental Impact Assessment (EIA) characterizes residual risk to employment as minor and assumes that a large oil spill is unlikely.</w:t>
      </w:r>
      <w:r>
        <w:rPr>
          <w:rFonts w:ascii="Arial" w:cs="Arial" w:eastAsia="Arial" w:hAnsi="Arial"/>
          <w:sz w:val="26"/>
          <w:szCs w:val="26"/>
          <w:color w:val="auto"/>
          <w:vertAlign w:val="superscript"/>
        </w:rPr>
        <w:t>9</w:t>
      </w:r>
    </w:p>
    <w:p>
      <w:pPr>
        <w:spacing w:after="0" w:line="55" w:lineRule="exact"/>
        <w:rPr>
          <w:sz w:val="20"/>
          <w:szCs w:val="20"/>
          <w:color w:val="auto"/>
        </w:rPr>
      </w:pPr>
    </w:p>
    <w:p>
      <w:pPr>
        <w:ind w:left="760" w:right="140"/>
        <w:spacing w:after="0" w:line="215" w:lineRule="auto"/>
        <w:rPr>
          <w:sz w:val="20"/>
          <w:szCs w:val="20"/>
          <w:color w:val="auto"/>
        </w:rPr>
      </w:pPr>
      <w:r>
        <w:rPr>
          <w:rFonts w:ascii="Arial" w:cs="Arial" w:eastAsia="Arial" w:hAnsi="Arial"/>
          <w:sz w:val="18"/>
          <w:szCs w:val="18"/>
          <w:color w:val="auto"/>
        </w:rPr>
        <w:t>The BP Macondo oil spill released millions of barrels of oil into the Gulf of Mexico over 87 days and created a 57,500 square mile oil slick, exemplifying the risks of deep-water drilling.</w:t>
      </w:r>
      <w:r>
        <w:rPr>
          <w:rFonts w:ascii="Arial" w:cs="Arial" w:eastAsia="Arial" w:hAnsi="Arial"/>
          <w:sz w:val="26"/>
          <w:szCs w:val="26"/>
          <w:color w:val="auto"/>
          <w:vertAlign w:val="superscript"/>
        </w:rPr>
        <w:t>10</w:t>
      </w:r>
      <w:r>
        <w:rPr>
          <w:rFonts w:ascii="Arial" w:cs="Arial" w:eastAsia="Arial" w:hAnsi="Arial"/>
          <w:sz w:val="18"/>
          <w:szCs w:val="18"/>
          <w:color w:val="auto"/>
        </w:rPr>
        <w:t xml:space="preserve"> BP stock plummeted 52% over two months.</w:t>
      </w:r>
      <w:r>
        <w:rPr>
          <w:rFonts w:ascii="Arial" w:cs="Arial" w:eastAsia="Arial" w:hAnsi="Arial"/>
          <w:sz w:val="26"/>
          <w:szCs w:val="26"/>
          <w:color w:val="auto"/>
          <w:vertAlign w:val="superscript"/>
        </w:rPr>
        <w:t>11</w:t>
      </w:r>
      <w:r>
        <w:rPr>
          <w:rFonts w:ascii="Arial" w:cs="Arial" w:eastAsia="Arial" w:hAnsi="Arial"/>
          <w:sz w:val="18"/>
          <w:szCs w:val="18"/>
          <w:color w:val="auto"/>
        </w:rPr>
        <w:t xml:space="preserve"> Robert Bea, an expert on the Macondo spill, warns ExxonMobil shows ‘ignorance of risk management fundamentals’ in its Guyana operations and mirrors overconfidence preceding the Macondo disaster.</w:t>
      </w:r>
      <w:r>
        <w:rPr>
          <w:rFonts w:ascii="Arial" w:cs="Arial" w:eastAsia="Arial" w:hAnsi="Arial"/>
          <w:sz w:val="26"/>
          <w:szCs w:val="26"/>
          <w:color w:val="auto"/>
          <w:vertAlign w:val="superscript"/>
        </w:rPr>
        <w:t>12</w:t>
      </w:r>
      <w:r>
        <w:rPr>
          <w:rFonts w:ascii="Arial" w:cs="Arial" w:eastAsia="Arial" w:hAnsi="Arial"/>
          <w:sz w:val="18"/>
          <w:szCs w:val="18"/>
          <w:color w:val="auto"/>
        </w:rPr>
        <w:t xml:space="preserve"> The most severe spill scenario in ExxonMobil’s EIA accounts for only a 30-day spill.</w:t>
      </w:r>
      <w:r>
        <w:rPr>
          <w:rFonts w:ascii="Arial" w:cs="Arial" w:eastAsia="Arial" w:hAnsi="Arial"/>
          <w:sz w:val="26"/>
          <w:szCs w:val="26"/>
          <w:color w:val="auto"/>
          <w:vertAlign w:val="superscript"/>
        </w:rPr>
        <w:t>13</w:t>
      </w:r>
    </w:p>
    <w:p>
      <w:pPr>
        <w:spacing w:after="0" w:line="54" w:lineRule="exact"/>
        <w:rPr>
          <w:sz w:val="20"/>
          <w:szCs w:val="20"/>
          <w:color w:val="auto"/>
        </w:rPr>
      </w:pPr>
    </w:p>
    <w:p>
      <w:pPr>
        <w:ind w:left="760" w:right="280"/>
        <w:spacing w:after="0" w:line="289" w:lineRule="auto"/>
        <w:rPr>
          <w:sz w:val="20"/>
          <w:szCs w:val="20"/>
          <w:color w:val="auto"/>
        </w:rPr>
      </w:pPr>
      <w:r>
        <w:rPr>
          <w:rFonts w:ascii="Arial" w:cs="Arial" w:eastAsia="Arial" w:hAnsi="Arial"/>
          <w:sz w:val="18"/>
          <w:szCs w:val="18"/>
          <w:color w:val="auto"/>
        </w:rPr>
        <w:t>President of Esso Exploration and Guyana Limited, Alistair Routledge, has stated ‘there is no limit’ to what ExxonMobil would do in response to an oil spill.</w:t>
      </w:r>
      <w:r>
        <w:rPr>
          <w:rFonts w:ascii="Arial" w:cs="Arial" w:eastAsia="Arial" w:hAnsi="Arial"/>
          <w:sz w:val="26"/>
          <w:szCs w:val="26"/>
          <w:color w:val="auto"/>
          <w:vertAlign w:val="superscript"/>
        </w:rPr>
        <w:t>14</w:t>
      </w:r>
      <w:r>
        <w:rPr>
          <w:rFonts w:ascii="Arial" w:cs="Arial" w:eastAsia="Arial" w:hAnsi="Arial"/>
          <w:sz w:val="18"/>
          <w:szCs w:val="18"/>
          <w:color w:val="auto"/>
        </w:rPr>
        <w:t xml:space="preserve"> ExxonMobil’s responsibility and potential liability are of concern to investors.</w:t>
      </w:r>
    </w:p>
    <w:p>
      <w:pPr>
        <w:spacing w:after="0" w:line="1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RESOLVED:</w:t>
      </w:r>
    </w:p>
    <w:p>
      <w:pPr>
        <w:spacing w:after="0" w:line="104" w:lineRule="exact"/>
        <w:rPr>
          <w:sz w:val="20"/>
          <w:szCs w:val="20"/>
          <w:color w:val="auto"/>
        </w:rPr>
      </w:pPr>
    </w:p>
    <w:p>
      <w:pPr>
        <w:ind w:left="760" w:right="120"/>
        <w:spacing w:after="0" w:line="247" w:lineRule="auto"/>
        <w:rPr>
          <w:sz w:val="20"/>
          <w:szCs w:val="20"/>
          <w:color w:val="auto"/>
        </w:rPr>
      </w:pPr>
      <w:r>
        <w:rPr>
          <w:rFonts w:ascii="Arial" w:cs="Arial" w:eastAsia="Arial" w:hAnsi="Arial"/>
          <w:sz w:val="18"/>
          <w:szCs w:val="18"/>
          <w:color w:val="auto"/>
        </w:rPr>
        <w:t>Shareholders request that the Company issue a report evaluating the economic, human, and environmental impacts of a worst-case oil spill from its operations offshore of Guyana. The report should be prepared at reasonable expense, omit proprietary or privileged information, and clarify the extent of the Company’s cleanup response commitments given the potential for severe impact on Caribbean economies.</w:t>
      </w:r>
    </w:p>
    <w:p>
      <w:pPr>
        <w:spacing w:after="0" w:line="105"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605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460"/>
          </w:cols>
          <w:pgMar w:left="320" w:top="482" w:right="11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Supporting Statement:</w:t>
      </w:r>
    </w:p>
    <w:p>
      <w:pPr>
        <w:spacing w:after="0" w:line="104" w:lineRule="exact"/>
        <w:rPr>
          <w:sz w:val="20"/>
          <w:szCs w:val="20"/>
          <w:color w:val="auto"/>
        </w:rPr>
      </w:pPr>
    </w:p>
    <w:p>
      <w:pPr>
        <w:ind w:left="760" w:right="40"/>
        <w:spacing w:after="0" w:line="253" w:lineRule="auto"/>
        <w:rPr>
          <w:sz w:val="20"/>
          <w:szCs w:val="20"/>
          <w:color w:val="auto"/>
        </w:rPr>
      </w:pPr>
      <w:r>
        <w:rPr>
          <w:rFonts w:ascii="Arial" w:cs="Arial" w:eastAsia="Arial" w:hAnsi="Arial"/>
          <w:sz w:val="18"/>
          <w:szCs w:val="18"/>
          <w:color w:val="auto"/>
        </w:rPr>
        <w:t>A ‘worst-case’ should use adverse assumptions such as an extended duration of an uncontrolled release similar to the BP spill, severe weather conditions, increased flow including risks from operating beyond the production thresholds in the EIA, and potential harm to marine ecosystems and public 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153670</wp:posOffset>
            </wp:positionV>
            <wp:extent cx="166306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262" w:lineRule="exact"/>
        <w:rPr>
          <w:sz w:val="20"/>
          <w:szCs w:val="20"/>
          <w:color w:val="auto"/>
        </w:rPr>
      </w:pPr>
    </w:p>
    <w:p>
      <w:pPr>
        <w:ind w:left="1140" w:right="140" w:hanging="376"/>
        <w:spacing w:after="0" w:line="203" w:lineRule="auto"/>
        <w:tabs>
          <w:tab w:leader="none" w:pos="1140" w:val="left"/>
        </w:tabs>
        <w:numPr>
          <w:ilvl w:val="0"/>
          <w:numId w:val="57"/>
        </w:numPr>
        <w:rPr>
          <w:rFonts w:ascii="Arial" w:cs="Arial" w:eastAsia="Arial" w:hAnsi="Arial"/>
          <w:sz w:val="24"/>
          <w:szCs w:val="24"/>
          <w:color w:val="auto"/>
          <w:vertAlign w:val="superscript"/>
        </w:rPr>
      </w:pPr>
      <w:r>
        <w:rPr>
          <w:rFonts w:ascii="Arial" w:cs="Arial" w:eastAsia="Arial" w:hAnsi="Arial"/>
          <w:sz w:val="16"/>
          <w:szCs w:val="16"/>
          <w:color w:val="auto"/>
        </w:rPr>
        <w:t>https://corporate.exxonmobil.com/news/newsroom/news-releases/2022/0211_exxonmobil-starts-production-at- guyanas-second-offshore-development.</w:t>
      </w:r>
    </w:p>
    <w:p>
      <w:pPr>
        <w:ind w:left="1140" w:hanging="376"/>
        <w:spacing w:after="0" w:line="180" w:lineRule="auto"/>
        <w:tabs>
          <w:tab w:leader="none" w:pos="1140" w:val="left"/>
        </w:tabs>
        <w:numPr>
          <w:ilvl w:val="0"/>
          <w:numId w:val="58"/>
        </w:numPr>
        <w:rPr>
          <w:rFonts w:ascii="Arial" w:cs="Arial" w:eastAsia="Arial" w:hAnsi="Arial"/>
          <w:sz w:val="22"/>
          <w:szCs w:val="22"/>
          <w:color w:val="auto"/>
          <w:vertAlign w:val="superscript"/>
        </w:rPr>
      </w:pPr>
      <w:r>
        <w:rPr>
          <w:rFonts w:ascii="Arial" w:cs="Arial" w:eastAsia="Arial" w:hAnsi="Arial"/>
          <w:sz w:val="15"/>
          <w:szCs w:val="15"/>
          <w:color w:val="auto"/>
        </w:rPr>
        <w:t>https://newsroom.gy/2022/10/26/with-new-discoveries-oil-production-to-exceed-1-million-barrels-per-day-by-2030/;</w:t>
      </w:r>
    </w:p>
    <w:p>
      <w:pPr>
        <w:ind w:left="1140" w:hanging="376"/>
        <w:spacing w:after="0" w:line="188" w:lineRule="auto"/>
        <w:tabs>
          <w:tab w:leader="none" w:pos="1140" w:val="left"/>
        </w:tabs>
        <w:numPr>
          <w:ilvl w:val="0"/>
          <w:numId w:val="59"/>
        </w:numPr>
        <w:rPr>
          <w:rFonts w:ascii="Arial" w:cs="Arial" w:eastAsia="Arial" w:hAnsi="Arial"/>
          <w:sz w:val="21"/>
          <w:szCs w:val="21"/>
          <w:color w:val="auto"/>
          <w:vertAlign w:val="superscript"/>
        </w:rPr>
      </w:pPr>
      <w:r>
        <w:rPr>
          <w:rFonts w:ascii="Arial" w:cs="Arial" w:eastAsia="Arial" w:hAnsi="Arial"/>
          <w:sz w:val="14"/>
          <w:szCs w:val="14"/>
          <w:color w:val="auto"/>
        </w:rPr>
        <w:t>https://www.fool.com/earnings/call-transcripts/2022/10/28/exxonmobil-xom-q3-2022-earnings-call-transcript/</w:t>
      </w:r>
    </w:p>
    <w:p>
      <w:pPr>
        <w:ind w:left="1140" w:hanging="376"/>
        <w:spacing w:after="0" w:line="188" w:lineRule="auto"/>
        <w:tabs>
          <w:tab w:leader="none" w:pos="1140" w:val="left"/>
        </w:tabs>
        <w:numPr>
          <w:ilvl w:val="0"/>
          <w:numId w:val="60"/>
        </w:numPr>
        <w:rPr>
          <w:rFonts w:ascii="Arial" w:cs="Arial" w:eastAsia="Arial" w:hAnsi="Arial"/>
          <w:sz w:val="21"/>
          <w:szCs w:val="21"/>
          <w:color w:val="auto"/>
          <w:vertAlign w:val="superscript"/>
        </w:rPr>
      </w:pPr>
      <w:r>
        <w:rPr>
          <w:rFonts w:ascii="Arial" w:cs="Arial" w:eastAsia="Arial" w:hAnsi="Arial"/>
          <w:sz w:val="14"/>
          <w:szCs w:val="14"/>
          <w:color w:val="auto"/>
        </w:rPr>
        <w:t>Liza Phase I EIA, p. 38</w:t>
      </w:r>
    </w:p>
    <w:p>
      <w:pPr>
        <w:ind w:left="1140" w:right="2320" w:hanging="376"/>
        <w:spacing w:after="0" w:line="197" w:lineRule="auto"/>
        <w:tabs>
          <w:tab w:leader="none" w:pos="1140" w:val="left"/>
        </w:tabs>
        <w:numPr>
          <w:ilvl w:val="0"/>
          <w:numId w:val="61"/>
        </w:numPr>
        <w:rPr>
          <w:rFonts w:ascii="Arial" w:cs="Arial" w:eastAsia="Arial" w:hAnsi="Arial"/>
          <w:sz w:val="24"/>
          <w:szCs w:val="24"/>
          <w:color w:val="auto"/>
          <w:vertAlign w:val="superscript"/>
        </w:rPr>
      </w:pPr>
      <w:r>
        <w:rPr>
          <w:rFonts w:ascii="Arial" w:cs="Arial" w:eastAsia="Arial" w:hAnsi="Arial"/>
          <w:sz w:val="16"/>
          <w:szCs w:val="16"/>
          <w:color w:val="auto"/>
        </w:rPr>
        <w:t>https://www.kaieteurnewsonline.com/2022/11/01/exxonmobil-ruthlessly-taking-advantage-of-slack-govt-abysmal-epa-by-violating-safe-production-limits-dr-adams/</w:t>
      </w:r>
    </w:p>
    <w:p>
      <w:pPr>
        <w:ind w:left="1140" w:hanging="376"/>
        <w:spacing w:after="0" w:line="183" w:lineRule="auto"/>
        <w:tabs>
          <w:tab w:leader="none" w:pos="1140" w:val="left"/>
        </w:tabs>
        <w:numPr>
          <w:ilvl w:val="0"/>
          <w:numId w:val="62"/>
        </w:numPr>
        <w:rPr>
          <w:rFonts w:ascii="Arial" w:cs="Arial" w:eastAsia="Arial" w:hAnsi="Arial"/>
          <w:sz w:val="22"/>
          <w:szCs w:val="22"/>
          <w:color w:val="auto"/>
          <w:vertAlign w:val="superscript"/>
        </w:rPr>
      </w:pPr>
      <w:r>
        <w:rPr>
          <w:rFonts w:ascii="Arial" w:cs="Arial" w:eastAsia="Arial" w:hAnsi="Arial"/>
          <w:sz w:val="15"/>
          <w:szCs w:val="15"/>
          <w:color w:val="auto"/>
        </w:rPr>
        <w:t>https://www.kaieteurnewsonline.com/2022/11/01/exxonmobil-ruthlessly-taking-advantage-of-slack-</w:t>
      </w:r>
    </w:p>
    <w:p>
      <w:pPr>
        <w:ind w:left="1140"/>
        <w:spacing w:after="0"/>
        <w:rPr>
          <w:sz w:val="20"/>
          <w:szCs w:val="20"/>
          <w:color w:val="auto"/>
        </w:rPr>
      </w:pPr>
      <w:r>
        <w:rPr>
          <w:rFonts w:ascii="Arial" w:cs="Arial" w:eastAsia="Arial" w:hAnsi="Arial"/>
          <w:sz w:val="16"/>
          <w:szCs w:val="16"/>
          <w:color w:val="auto"/>
        </w:rPr>
        <w:t>govt-abysmal-epa-by-violating-safe-production-limits-dr-adams/</w:t>
      </w:r>
    </w:p>
    <w:p>
      <w:pPr>
        <w:spacing w:after="0" w:line="1" w:lineRule="exact"/>
        <w:rPr>
          <w:sz w:val="20"/>
          <w:szCs w:val="20"/>
          <w:color w:val="auto"/>
        </w:rPr>
      </w:pPr>
    </w:p>
    <w:p>
      <w:pPr>
        <w:ind w:left="1140" w:right="1560" w:hanging="376"/>
        <w:spacing w:after="0" w:line="197" w:lineRule="auto"/>
        <w:tabs>
          <w:tab w:leader="none" w:pos="1140" w:val="left"/>
        </w:tabs>
        <w:numPr>
          <w:ilvl w:val="0"/>
          <w:numId w:val="63"/>
        </w:numPr>
        <w:rPr>
          <w:rFonts w:ascii="Arial" w:cs="Arial" w:eastAsia="Arial" w:hAnsi="Arial"/>
          <w:sz w:val="24"/>
          <w:szCs w:val="24"/>
          <w:color w:val="auto"/>
          <w:vertAlign w:val="superscript"/>
        </w:rPr>
      </w:pPr>
      <w:r>
        <w:rPr>
          <w:rFonts w:ascii="Arial" w:cs="Arial" w:eastAsia="Arial" w:hAnsi="Arial"/>
          <w:sz w:val="16"/>
          <w:szCs w:val="16"/>
          <w:color w:val="auto"/>
        </w:rPr>
        <w:t>https://demerarawaves.com/2022/07/26/exxonmobil-racks-up-us10-million-flaring-fine-installs-new-flash-gas-compressor-increases-liza-destinys-daily-output/</w:t>
      </w:r>
    </w:p>
    <w:p>
      <w:pPr>
        <w:ind w:left="1140" w:hanging="376"/>
        <w:spacing w:after="0" w:line="188" w:lineRule="auto"/>
        <w:tabs>
          <w:tab w:leader="none" w:pos="1140" w:val="left"/>
        </w:tabs>
        <w:numPr>
          <w:ilvl w:val="0"/>
          <w:numId w:val="64"/>
        </w:numPr>
        <w:rPr>
          <w:rFonts w:ascii="Arial" w:cs="Arial" w:eastAsia="Arial" w:hAnsi="Arial"/>
          <w:sz w:val="21"/>
          <w:szCs w:val="21"/>
          <w:color w:val="auto"/>
          <w:vertAlign w:val="superscript"/>
        </w:rPr>
      </w:pPr>
      <w:r>
        <w:rPr>
          <w:rFonts w:ascii="Arial" w:cs="Arial" w:eastAsia="Arial" w:hAnsi="Arial"/>
          <w:sz w:val="14"/>
          <w:szCs w:val="14"/>
          <w:color w:val="auto"/>
        </w:rPr>
        <w:t>https://www.fao.org/3/ax904e/ax904e.pdf</w:t>
      </w:r>
    </w:p>
    <w:p>
      <w:pPr>
        <w:ind w:left="1140" w:hanging="376"/>
        <w:spacing w:after="0" w:line="188" w:lineRule="auto"/>
        <w:tabs>
          <w:tab w:leader="none" w:pos="1140" w:val="left"/>
        </w:tabs>
        <w:numPr>
          <w:ilvl w:val="0"/>
          <w:numId w:val="65"/>
        </w:numPr>
        <w:rPr>
          <w:rFonts w:ascii="Arial" w:cs="Arial" w:eastAsia="Arial" w:hAnsi="Arial"/>
          <w:sz w:val="21"/>
          <w:szCs w:val="21"/>
          <w:color w:val="auto"/>
          <w:vertAlign w:val="superscript"/>
        </w:rPr>
      </w:pPr>
      <w:r>
        <w:rPr>
          <w:rFonts w:ascii="Arial" w:cs="Arial" w:eastAsia="Arial" w:hAnsi="Arial"/>
          <w:sz w:val="14"/>
          <w:szCs w:val="14"/>
          <w:color w:val="auto"/>
        </w:rPr>
        <w:t>Payara EIA, Volume I, p. 1,002.</w:t>
      </w:r>
    </w:p>
    <w:p>
      <w:pPr>
        <w:ind w:left="1140" w:right="1020" w:hanging="376"/>
        <w:spacing w:after="0" w:line="212" w:lineRule="auto"/>
        <w:tabs>
          <w:tab w:leader="none" w:pos="1140" w:val="left"/>
        </w:tabs>
        <w:numPr>
          <w:ilvl w:val="0"/>
          <w:numId w:val="66"/>
        </w:numPr>
        <w:rPr>
          <w:rFonts w:ascii="Arial" w:cs="Arial" w:eastAsia="Arial" w:hAnsi="Arial"/>
          <w:sz w:val="24"/>
          <w:szCs w:val="24"/>
          <w:color w:val="auto"/>
          <w:vertAlign w:val="superscript"/>
        </w:rPr>
      </w:pPr>
      <w:r>
        <w:rPr>
          <w:rFonts w:ascii="Arial" w:cs="Arial" w:eastAsia="Arial" w:hAnsi="Arial"/>
          <w:sz w:val="16"/>
          <w:szCs w:val="16"/>
          <w:color w:val="auto"/>
        </w:rPr>
        <w:t xml:space="preserve">https://www.britannica.com/event/Deepwater-Horizon-oil-spill; </w:t>
      </w:r>
      <w:r>
        <w:rPr>
          <w:rFonts w:ascii="Arial" w:cs="Arial" w:eastAsia="Arial" w:hAnsi="Arial"/>
          <w:sz w:val="16"/>
          <w:szCs w:val="16"/>
          <w:i w:val="1"/>
          <w:iCs w:val="1"/>
          <w:color w:val="auto"/>
        </w:rPr>
        <w:t>See also</w:t>
      </w:r>
      <w:r>
        <w:rPr>
          <w:rFonts w:ascii="Arial" w:cs="Arial" w:eastAsia="Arial" w:hAnsi="Arial"/>
          <w:sz w:val="16"/>
          <w:szCs w:val="16"/>
          <w:color w:val="auto"/>
        </w:rPr>
        <w:t>, https://www.epa.gov/enforcement/ deepwater-horizon-bp-gulf-mexico-oil-spill#:~:text=4%20million%20barrels%20of%20oil,be%20responsible%20for% 20the%20spill.</w:t>
      </w:r>
    </w:p>
    <w:p>
      <w:pPr>
        <w:spacing w:after="0" w:line="2" w:lineRule="exact"/>
        <w:rPr>
          <w:rFonts w:ascii="Arial" w:cs="Arial" w:eastAsia="Arial" w:hAnsi="Arial"/>
          <w:sz w:val="24"/>
          <w:szCs w:val="24"/>
          <w:color w:val="auto"/>
          <w:vertAlign w:val="superscript"/>
        </w:rPr>
      </w:pPr>
    </w:p>
    <w:p>
      <w:pPr>
        <w:ind w:left="1140" w:hanging="376"/>
        <w:spacing w:after="0" w:line="187" w:lineRule="auto"/>
        <w:tabs>
          <w:tab w:leader="none" w:pos="1140" w:val="left"/>
        </w:tabs>
        <w:numPr>
          <w:ilvl w:val="0"/>
          <w:numId w:val="66"/>
        </w:numPr>
        <w:rPr>
          <w:rFonts w:ascii="Arial" w:cs="Arial" w:eastAsia="Arial" w:hAnsi="Arial"/>
          <w:sz w:val="21"/>
          <w:szCs w:val="21"/>
          <w:color w:val="auto"/>
          <w:vertAlign w:val="superscript"/>
        </w:rPr>
      </w:pPr>
      <w:r>
        <w:rPr>
          <w:rFonts w:ascii="Arial" w:cs="Arial" w:eastAsia="Arial" w:hAnsi="Arial"/>
          <w:sz w:val="14"/>
          <w:szCs w:val="14"/>
          <w:color w:val="auto"/>
        </w:rPr>
        <w:t>https://money.cnn.com/2010/06/24/news/companies/BP_stock_price/index.htm</w:t>
      </w:r>
    </w:p>
    <w:p>
      <w:pPr>
        <w:ind w:left="1140" w:hanging="376"/>
        <w:spacing w:after="0" w:line="187" w:lineRule="auto"/>
        <w:tabs>
          <w:tab w:leader="none" w:pos="1140" w:val="left"/>
        </w:tabs>
        <w:numPr>
          <w:ilvl w:val="0"/>
          <w:numId w:val="66"/>
        </w:numPr>
        <w:rPr>
          <w:rFonts w:ascii="Arial" w:cs="Arial" w:eastAsia="Arial" w:hAnsi="Arial"/>
          <w:sz w:val="21"/>
          <w:szCs w:val="21"/>
          <w:color w:val="auto"/>
          <w:vertAlign w:val="superscript"/>
        </w:rPr>
      </w:pPr>
      <w:r>
        <w:rPr>
          <w:rFonts w:ascii="Arial" w:cs="Arial" w:eastAsia="Arial" w:hAnsi="Arial"/>
          <w:sz w:val="14"/>
          <w:szCs w:val="14"/>
          <w:color w:val="auto"/>
        </w:rPr>
        <w:t>https://www.theguardian.com/environment/2021/aug/17/exxon-oil-drilling-guyana-disaster-risk</w:t>
      </w:r>
    </w:p>
    <w:p>
      <w:pPr>
        <w:ind w:left="1140" w:hanging="376"/>
        <w:spacing w:after="0" w:line="187" w:lineRule="auto"/>
        <w:tabs>
          <w:tab w:leader="none" w:pos="1140" w:val="left"/>
        </w:tabs>
        <w:numPr>
          <w:ilvl w:val="0"/>
          <w:numId w:val="66"/>
        </w:numPr>
        <w:rPr>
          <w:rFonts w:ascii="Arial" w:cs="Arial" w:eastAsia="Arial" w:hAnsi="Arial"/>
          <w:sz w:val="21"/>
          <w:szCs w:val="21"/>
          <w:color w:val="auto"/>
          <w:vertAlign w:val="superscript"/>
        </w:rPr>
      </w:pPr>
      <w:r>
        <w:rPr>
          <w:rFonts w:ascii="Arial" w:cs="Arial" w:eastAsia="Arial" w:hAnsi="Arial"/>
          <w:sz w:val="14"/>
          <w:szCs w:val="14"/>
          <w:color w:val="auto"/>
        </w:rPr>
        <w:t>Payara EIA Volume I, p. 839</w:t>
      </w:r>
    </w:p>
    <w:p>
      <w:pPr>
        <w:ind w:left="1140" w:hanging="376"/>
        <w:spacing w:after="0" w:line="180" w:lineRule="auto"/>
        <w:tabs>
          <w:tab w:leader="none" w:pos="1140" w:val="left"/>
        </w:tabs>
        <w:numPr>
          <w:ilvl w:val="0"/>
          <w:numId w:val="66"/>
        </w:numPr>
        <w:rPr>
          <w:rFonts w:ascii="Arial" w:cs="Arial" w:eastAsia="Arial" w:hAnsi="Arial"/>
          <w:sz w:val="23"/>
          <w:szCs w:val="23"/>
          <w:color w:val="auto"/>
          <w:vertAlign w:val="superscript"/>
        </w:rPr>
      </w:pPr>
      <w:r>
        <w:rPr>
          <w:rFonts w:ascii="Arial" w:cs="Arial" w:eastAsia="Arial" w:hAnsi="Arial"/>
          <w:sz w:val="16"/>
          <w:szCs w:val="16"/>
          <w:color w:val="auto"/>
        </w:rPr>
        <w:t>Newsroom Interview, https://www.facebook.com/watch/?v=1758505224495143”</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The Board carefully considered this proposal and recommends you vote AGAINST it for the following reasons:</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This is one of 10 new reports requested by proponents at this annual shareholder meeting.</w:t>
      </w:r>
    </w:p>
    <w:p>
      <w:pPr>
        <w:spacing w:after="0" w:line="212" w:lineRule="exact"/>
        <w:rPr>
          <w:sz w:val="20"/>
          <w:szCs w:val="20"/>
          <w:color w:val="auto"/>
        </w:rPr>
      </w:pPr>
    </w:p>
    <w:p>
      <w:pPr>
        <w:ind w:left="760"/>
        <w:spacing w:after="0" w:line="244" w:lineRule="auto"/>
        <w:rPr>
          <w:sz w:val="20"/>
          <w:szCs w:val="20"/>
          <w:color w:val="auto"/>
        </w:rPr>
      </w:pPr>
      <w:r>
        <w:rPr>
          <w:rFonts w:ascii="Arial" w:cs="Arial" w:eastAsia="Arial" w:hAnsi="Arial"/>
          <w:sz w:val="18"/>
          <w:szCs w:val="18"/>
          <w:color w:val="auto"/>
        </w:rPr>
        <w:t>The information requested by the proposal is already publicly available in published reports prepared by the Company and credible third-party experts, as mentioned to this proponent during our engagement. This includes multiple Environmental Impact Assessments (EIAs), the Oil Spill Response Plan for Guyana Operations (OSRP), and other publications and filings that are available on our website and the website of the Guyana Environmental Protection Agency (EPA) as part of the legally required permitting process. This proposal is therefore redundant and unnecessary.</w:t>
      </w:r>
    </w:p>
    <w:p>
      <w:pPr>
        <w:spacing w:after="0" w:line="176" w:lineRule="exact"/>
        <w:rPr>
          <w:sz w:val="20"/>
          <w:szCs w:val="20"/>
          <w:color w:val="auto"/>
        </w:rPr>
      </w:pPr>
    </w:p>
    <w:p>
      <w:pPr>
        <w:ind w:left="760" w:right="60"/>
        <w:spacing w:after="0" w:line="244" w:lineRule="auto"/>
        <w:rPr>
          <w:sz w:val="20"/>
          <w:szCs w:val="20"/>
          <w:color w:val="auto"/>
        </w:rPr>
      </w:pPr>
      <w:r>
        <w:rPr>
          <w:rFonts w:ascii="Arial" w:cs="Arial" w:eastAsia="Arial" w:hAnsi="Arial"/>
          <w:sz w:val="18"/>
          <w:szCs w:val="18"/>
          <w:color w:val="auto"/>
        </w:rPr>
        <w:t>ExxonMobil is determined to be a good corporate citizen wherever it operates worldwide. Before any exploration activities were carried out in Guyana, we developed detailed emergency preparedness and response plans, including the OSRP. The plans indicate that we are prepared and able to handle possible oil spills in the region. These plans are continuously updated as our project scope in Guyana expands, and they include detailed models showing a wide variety of potential scenarios, including our response plan under those scenarios.</w:t>
      </w:r>
    </w:p>
    <w:p>
      <w:pPr>
        <w:spacing w:after="0" w:line="176" w:lineRule="exact"/>
        <w:rPr>
          <w:sz w:val="20"/>
          <w:szCs w:val="20"/>
          <w:color w:val="auto"/>
        </w:rPr>
      </w:pPr>
    </w:p>
    <w:p>
      <w:pPr>
        <w:ind w:left="760"/>
        <w:spacing w:after="0" w:line="239" w:lineRule="auto"/>
        <w:rPr>
          <w:sz w:val="20"/>
          <w:szCs w:val="20"/>
          <w:color w:val="auto"/>
        </w:rPr>
      </w:pPr>
      <w:r>
        <w:rPr>
          <w:rFonts w:ascii="Arial" w:cs="Arial" w:eastAsia="Arial" w:hAnsi="Arial"/>
          <w:sz w:val="18"/>
          <w:szCs w:val="18"/>
          <w:color w:val="auto"/>
        </w:rPr>
        <w:t>These scenarios include releases of different types of hydrocarbons, with several being applicable for spills at the shorebase(s) and on vessels in the Demerara River estuary (e.g., from a supply vessel) or in the Atlantic Ocean (e.g., from a well, drillship, supply vessel, tanker, or floating production, storage, and offloading vessel). Each ExxonMobil facility and business unit has access to readily available trained responders, including regional response teams, to provide rapid tactical support. These scenarios also consider the latest technology advancements. Since the Macondo incident, the oil and gas industry and their partners have developed a world-wide network of equipment that was not available in 2010, most notably the capping stacks. Through its multiple subscriptions to oil spill response companies, in the case of an incident, ExxonMobil Guyana would activate the resources needed to bring a capping stack into Guyana, and mobilize it and related resources to the well site in record time.</w:t>
      </w:r>
    </w:p>
    <w:p>
      <w:pPr>
        <w:spacing w:after="0" w:line="183" w:lineRule="exact"/>
        <w:rPr>
          <w:sz w:val="20"/>
          <w:szCs w:val="20"/>
          <w:color w:val="auto"/>
        </w:rPr>
      </w:pPr>
    </w:p>
    <w:p>
      <w:pPr>
        <w:ind w:left="760" w:right="20"/>
        <w:spacing w:after="0"/>
        <w:rPr>
          <w:sz w:val="20"/>
          <w:szCs w:val="20"/>
          <w:color w:val="auto"/>
        </w:rPr>
      </w:pPr>
      <w:r>
        <w:rPr>
          <w:rFonts w:ascii="Arial" w:cs="Arial" w:eastAsia="Arial" w:hAnsi="Arial"/>
          <w:sz w:val="18"/>
          <w:szCs w:val="18"/>
          <w:color w:val="auto"/>
        </w:rPr>
        <w:t xml:space="preserve">We also want to clear up any misunderstanding of engineering terminology. When we indicate an asset is producing “above design capacity,” we simply mean that the volume is above the </w:t>
      </w:r>
      <w:r>
        <w:rPr>
          <w:rFonts w:ascii="Arial" w:cs="Arial" w:eastAsia="Arial" w:hAnsi="Arial"/>
          <w:sz w:val="18"/>
          <w:szCs w:val="18"/>
          <w:i w:val="1"/>
          <w:iCs w:val="1"/>
          <w:color w:val="auto"/>
        </w:rPr>
        <w:t>investment basis</w:t>
      </w:r>
      <w:r>
        <w:rPr>
          <w:rFonts w:ascii="Arial" w:cs="Arial" w:eastAsia="Arial" w:hAnsi="Arial"/>
          <w:sz w:val="18"/>
          <w:szCs w:val="18"/>
          <w:color w:val="auto"/>
        </w:rPr>
        <w:t>, meaning its performance is exceeding expectations. The actual volume that is safe to produce is well above the design capacity. It in no way indicates that the asset is producing at an unsafe level. After production begins, we regularly look for opportunities to increase production beyond initial EIA estimates while remaining within safe operational limits. We take safety very seriously at all our sites. Last, we safely replaced a gas compressor, working closely with the Government of Guyana, and agreed in advance to pay an associated fee. The proponent mischaracterizes this fee as a fine.</w:t>
      </w:r>
    </w:p>
    <w:p>
      <w:pPr>
        <w:spacing w:after="0" w:line="97"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88</w:t>
      </w:r>
      <w:r>
        <w:rPr>
          <w:sz w:val="20"/>
          <w:szCs w:val="20"/>
          <w:color w:val="auto"/>
        </w:rPr>
        <w:tab/>
      </w:r>
      <w:r>
        <w:rPr>
          <w:sz w:val="1"/>
          <w:szCs w:val="1"/>
          <w:color w:val="auto"/>
        </w:rPr>
        <w:drawing>
          <wp:inline distT="0" distB="0" distL="0" distR="0">
            <wp:extent cx="737235" cy="146050"/>
            <wp:effectExtent l="0" t="0" r="0" b="0"/>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2023 Proxy Statement</w:t>
      </w:r>
    </w:p>
    <w:p>
      <w:pPr>
        <w:sectPr>
          <w:pgSz w:w="11900" w:h="16838" w:orient="portrait"/>
          <w:cols w:equalWidth="0" w:num="1">
            <w:col w:w="10480"/>
          </w:cols>
          <w:pgMar w:left="320" w:top="482" w:right="10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760"/>
        <w:spacing w:after="0" w:line="250" w:lineRule="auto"/>
        <w:rPr>
          <w:sz w:val="20"/>
          <w:szCs w:val="20"/>
          <w:color w:val="auto"/>
        </w:rPr>
      </w:pPr>
      <w:r>
        <w:rPr>
          <w:rFonts w:ascii="Arial" w:cs="Arial" w:eastAsia="Arial" w:hAnsi="Arial"/>
          <w:sz w:val="18"/>
          <w:szCs w:val="18"/>
          <w:color w:val="auto"/>
        </w:rPr>
        <w:t xml:space="preserve">Given the comprehensive materials that are publicly available on our website, including our preparedness plan and the EIAs related to our Guyana operations, creating an additional report as requested by this proposal would place an unnecessary administrative burden on ExxonMobil, be wasteful of the Company’s time and resources, and therefore is not in the best interests of shareholders. For the reasons stated above, the Board recommends a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this proposal.</w:t>
      </w:r>
    </w:p>
    <w:p>
      <w:pPr>
        <w:spacing w:after="0" w:line="375"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Item 11 – GHG Reporting on Adjusted Basis</w:t>
      </w:r>
    </w:p>
    <w:p>
      <w:pPr>
        <w:spacing w:after="0" w:line="99" w:lineRule="exact"/>
        <w:rPr>
          <w:sz w:val="20"/>
          <w:szCs w:val="20"/>
          <w:color w:val="auto"/>
        </w:rPr>
      </w:pPr>
    </w:p>
    <w:p>
      <w:pPr>
        <w:ind w:left="760" w:right="520"/>
        <w:spacing w:after="0" w:line="271" w:lineRule="auto"/>
        <w:rPr>
          <w:sz w:val="20"/>
          <w:szCs w:val="20"/>
          <w:color w:val="auto"/>
        </w:rPr>
      </w:pPr>
      <w:r>
        <w:rPr>
          <w:rFonts w:ascii="Arial" w:cs="Arial" w:eastAsia="Arial" w:hAnsi="Arial"/>
          <w:sz w:val="18"/>
          <w:szCs w:val="18"/>
          <w:color w:val="auto"/>
        </w:rPr>
        <w:t>This proposal was submitted by Andrew Behar, 2020 Milvia St., Suite 500, Berkeley, California 94704, the beneficial owner 40 shares for at least three years, and lead proponent of a filing group.</w:t>
      </w:r>
    </w:p>
    <w:p>
      <w:pPr>
        <w:spacing w:after="0" w:line="154" w:lineRule="exact"/>
        <w:rPr>
          <w:sz w:val="20"/>
          <w:szCs w:val="20"/>
          <w:color w:val="auto"/>
        </w:rPr>
      </w:pPr>
    </w:p>
    <w:p>
      <w:pPr>
        <w:ind w:left="760" w:right="20"/>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WHEREAS:</w:t>
      </w:r>
      <w:r>
        <w:rPr>
          <w:rFonts w:ascii="Arial" w:cs="Arial" w:eastAsia="Arial" w:hAnsi="Arial"/>
          <w:sz w:val="18"/>
          <w:szCs w:val="18"/>
          <w:color w:val="auto"/>
        </w:rPr>
        <w:t xml:space="preserve"> The economic risks associated with climate change exist in the real world rather than on company balance sheets. Transferring emissions from one company to another may reduce balance sheet emissions but does not mitigate company or stakeholder exposure to climate risk or contribute to the goal of limiting global temperature rise to 1.5 degrees Celsius. In the aggregate, upstream oil and gas assets are moving from operators with stronger climate commitments to operators with weaker climate targets and disclosures.</w:t>
      </w:r>
      <w:r>
        <w:rPr>
          <w:rFonts w:ascii="Arial" w:cs="Arial" w:eastAsia="Arial" w:hAnsi="Arial"/>
          <w:sz w:val="26"/>
          <w:szCs w:val="26"/>
          <w:color w:val="auto"/>
          <w:vertAlign w:val="superscript"/>
        </w:rPr>
        <w:t>1</w:t>
      </w:r>
    </w:p>
    <w:p>
      <w:pPr>
        <w:spacing w:after="0" w:line="45" w:lineRule="exact"/>
        <w:rPr>
          <w:sz w:val="20"/>
          <w:szCs w:val="20"/>
          <w:color w:val="auto"/>
        </w:rPr>
      </w:pPr>
    </w:p>
    <w:p>
      <w:pPr>
        <w:ind w:left="760" w:right="420"/>
        <w:spacing w:after="0" w:line="216" w:lineRule="auto"/>
        <w:rPr>
          <w:sz w:val="20"/>
          <w:szCs w:val="20"/>
          <w:color w:val="auto"/>
        </w:rPr>
      </w:pPr>
      <w:r>
        <w:rPr>
          <w:rFonts w:ascii="Arial" w:cs="Arial" w:eastAsia="Arial" w:hAnsi="Arial"/>
          <w:sz w:val="18"/>
          <w:szCs w:val="18"/>
          <w:color w:val="auto"/>
        </w:rPr>
        <w:t>The Glasgow Financial Alliance for Net Zero states that ‘divestment of carbon-intensive assets can be ineffective and even lead to real-world increases in emissions.’</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As such, these divestments should not be counted as emissions reductions.</w:t>
      </w:r>
    </w:p>
    <w:p>
      <w:pPr>
        <w:spacing w:after="0" w:line="182" w:lineRule="exact"/>
        <w:rPr>
          <w:sz w:val="20"/>
          <w:szCs w:val="20"/>
          <w:color w:val="auto"/>
        </w:rPr>
      </w:pPr>
    </w:p>
    <w:p>
      <w:pPr>
        <w:ind w:left="760" w:right="120"/>
        <w:spacing w:after="0" w:line="231" w:lineRule="auto"/>
        <w:rPr>
          <w:sz w:val="20"/>
          <w:szCs w:val="20"/>
          <w:color w:val="auto"/>
        </w:rPr>
      </w:pPr>
      <w:r>
        <w:rPr>
          <w:rFonts w:ascii="Arial" w:cs="Arial" w:eastAsia="Arial" w:hAnsi="Arial"/>
          <w:sz w:val="18"/>
          <w:szCs w:val="18"/>
          <w:color w:val="auto"/>
        </w:rPr>
        <w:t>To accurately account for greenhouse gas (GHG) emissions reductions, the Greenhouse Gas Protocol provides that companies should recalculate base year emissions in the event of a ‘transfer of ownership or control of emissions-generating activities.’</w:t>
      </w:r>
      <w:r>
        <w:rPr>
          <w:rFonts w:ascii="Arial" w:cs="Arial" w:eastAsia="Arial" w:hAnsi="Arial"/>
          <w:sz w:val="26"/>
          <w:szCs w:val="26"/>
          <w:color w:val="auto"/>
          <w:vertAlign w:val="superscript"/>
        </w:rPr>
        <w:t>3</w:t>
      </w:r>
      <w:r>
        <w:rPr>
          <w:rFonts w:ascii="Arial" w:cs="Arial" w:eastAsia="Arial" w:hAnsi="Arial"/>
          <w:sz w:val="18"/>
          <w:szCs w:val="18"/>
          <w:color w:val="auto"/>
        </w:rPr>
        <w:t xml:space="preserve"> Oil and gas industry association IPIECA similarly recommends ‘adjustments to the base year emissions’ to account for asset divestiture, to avoid giving the appearance of ‘increases or decreases in emissions, when in fact. . . emissions would merely be transferred from one company to another.’</w:t>
      </w:r>
      <w:r>
        <w:rPr>
          <w:rFonts w:ascii="Arial" w:cs="Arial" w:eastAsia="Arial" w:hAnsi="Arial"/>
          <w:sz w:val="26"/>
          <w:szCs w:val="26"/>
          <w:color w:val="auto"/>
          <w:vertAlign w:val="superscript"/>
        </w:rPr>
        <w:t>4</w:t>
      </w:r>
    </w:p>
    <w:p>
      <w:pPr>
        <w:spacing w:after="0" w:line="55" w:lineRule="exact"/>
        <w:rPr>
          <w:sz w:val="20"/>
          <w:szCs w:val="20"/>
          <w:color w:val="auto"/>
        </w:rPr>
      </w:pPr>
    </w:p>
    <w:p>
      <w:pPr>
        <w:ind w:left="760" w:right="200"/>
        <w:spacing w:after="0" w:line="206" w:lineRule="auto"/>
        <w:rPr>
          <w:sz w:val="20"/>
          <w:szCs w:val="20"/>
          <w:color w:val="auto"/>
        </w:rPr>
      </w:pPr>
      <w:r>
        <w:rPr>
          <w:rFonts w:ascii="Arial" w:cs="Arial" w:eastAsia="Arial" w:hAnsi="Arial"/>
          <w:sz w:val="18"/>
          <w:szCs w:val="18"/>
          <w:color w:val="auto"/>
        </w:rPr>
        <w:t>Since 2016, ExxonMobil reports absolute Scope 1 and 2 emissions reductions of roughly 10% on both equity and operated bases.</w:t>
      </w:r>
      <w:r>
        <w:rPr>
          <w:rFonts w:ascii="Arial" w:cs="Arial" w:eastAsia="Arial" w:hAnsi="Arial"/>
          <w:sz w:val="26"/>
          <w:szCs w:val="26"/>
          <w:color w:val="auto"/>
          <w:vertAlign w:val="superscript"/>
        </w:rPr>
        <w:t>5</w:t>
      </w:r>
      <w:r>
        <w:rPr>
          <w:rFonts w:ascii="Arial" w:cs="Arial" w:eastAsia="Arial" w:hAnsi="Arial"/>
          <w:sz w:val="18"/>
          <w:szCs w:val="18"/>
          <w:color w:val="auto"/>
        </w:rPr>
        <w:t xml:space="preserve"> However, between 2017 and 2021, ExxonMobil sold more assets than any other American oil and gas company except Chevron, ranking fourth globally among sellers.</w:t>
      </w:r>
      <w:r>
        <w:rPr>
          <w:rFonts w:ascii="Arial" w:cs="Arial" w:eastAsia="Arial" w:hAnsi="Arial"/>
          <w:sz w:val="26"/>
          <w:szCs w:val="26"/>
          <w:color w:val="auto"/>
          <w:vertAlign w:val="superscript"/>
        </w:rPr>
        <w:t>6</w:t>
      </w:r>
      <w:r>
        <w:rPr>
          <w:rFonts w:ascii="Arial" w:cs="Arial" w:eastAsia="Arial" w:hAnsi="Arial"/>
          <w:sz w:val="18"/>
          <w:szCs w:val="18"/>
          <w:color w:val="auto"/>
        </w:rPr>
        <w:t xml:space="preserve"> It is unclear how ExxonMobil accounts for these divestitures in its emissions reporting. Therefore, shareholders cannot determine whether ExxonMobil’s reported GHG reductions are the result of operational improvements or of transferring emissions off its books.</w:t>
      </w:r>
    </w:p>
    <w:p>
      <w:pPr>
        <w:spacing w:after="0" w:line="182" w:lineRule="exact"/>
        <w:rPr>
          <w:sz w:val="20"/>
          <w:szCs w:val="20"/>
          <w:color w:val="auto"/>
        </w:rPr>
      </w:pPr>
    </w:p>
    <w:p>
      <w:pPr>
        <w:ind w:left="760" w:right="280"/>
        <w:spacing w:after="0" w:line="206" w:lineRule="auto"/>
        <w:rPr>
          <w:sz w:val="20"/>
          <w:szCs w:val="20"/>
          <w:color w:val="auto"/>
        </w:rPr>
      </w:pPr>
      <w:r>
        <w:rPr>
          <w:rFonts w:ascii="Arial" w:cs="Arial" w:eastAsia="Arial" w:hAnsi="Arial"/>
          <w:sz w:val="18"/>
          <w:szCs w:val="18"/>
          <w:color w:val="auto"/>
        </w:rPr>
        <w:t>In contrast, peer company Devon Energy recalculates its baseline when asset divestitures or investments result in ‘a change to its emissions baseline of 5% or higher’ to ensure accuracy and comparability of emissions reporting.</w:t>
      </w:r>
      <w:r>
        <w:rPr>
          <w:rFonts w:ascii="Arial" w:cs="Arial" w:eastAsia="Arial" w:hAnsi="Arial"/>
          <w:sz w:val="26"/>
          <w:szCs w:val="26"/>
          <w:color w:val="auto"/>
          <w:vertAlign w:val="superscript"/>
        </w:rPr>
        <w:t>7</w:t>
      </w:r>
      <w:r>
        <w:rPr>
          <w:rFonts w:ascii="Arial" w:cs="Arial" w:eastAsia="Arial" w:hAnsi="Arial"/>
          <w:sz w:val="18"/>
          <w:szCs w:val="18"/>
          <w:color w:val="auto"/>
        </w:rPr>
        <w:t xml:space="preserve"> Devon notes that this ‘recalculation methodology affirms our commitment to structurally drive down emissions, rather than divesting assets as a means to achieve our ambitious emissions reduction targets.’</w:t>
      </w:r>
      <w:r>
        <w:rPr>
          <w:rFonts w:ascii="Arial" w:cs="Arial" w:eastAsia="Arial" w:hAnsi="Arial"/>
          <w:sz w:val="26"/>
          <w:szCs w:val="26"/>
          <w:color w:val="auto"/>
          <w:vertAlign w:val="superscript"/>
        </w:rPr>
        <w:t>8</w:t>
      </w:r>
      <w:r>
        <w:rPr>
          <w:rFonts w:ascii="Arial" w:cs="Arial" w:eastAsia="Arial" w:hAnsi="Arial"/>
          <w:sz w:val="18"/>
          <w:szCs w:val="18"/>
          <w:color w:val="auto"/>
        </w:rPr>
        <w:t xml:space="preserve"> Investors deserve the same transparency from ExxonMobil.</w:t>
      </w:r>
    </w:p>
    <w:p>
      <w:pPr>
        <w:spacing w:after="0" w:line="182" w:lineRule="exact"/>
        <w:rPr>
          <w:sz w:val="20"/>
          <w:szCs w:val="20"/>
          <w:color w:val="auto"/>
        </w:rPr>
      </w:pPr>
    </w:p>
    <w:p>
      <w:pPr>
        <w:jc w:val="both"/>
        <w:ind w:left="760" w:right="160"/>
        <w:spacing w:after="0" w:line="253"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Shareholders request that ExxonMobil, at reasonable cost and omitting proprietary information, disclose a</w:t>
      </w:r>
      <w:r>
        <w:rPr>
          <w:rFonts w:ascii="Arial" w:cs="Arial" w:eastAsia="Arial" w:hAnsi="Arial"/>
          <w:sz w:val="18"/>
          <w:szCs w:val="18"/>
          <w:b w:val="1"/>
          <w:bCs w:val="1"/>
          <w:color w:val="auto"/>
        </w:rPr>
        <w:t xml:space="preserve"> </w:t>
      </w:r>
      <w:r>
        <w:rPr>
          <w:rFonts w:ascii="Arial" w:cs="Arial" w:eastAsia="Arial" w:hAnsi="Arial"/>
          <w:sz w:val="18"/>
          <w:szCs w:val="18"/>
          <w:color w:val="auto"/>
        </w:rPr>
        <w:t>recalculated emissions baseline that excludes the aggregated GHG emissions from material asset divestitures occurring since 2016, the year ExxonMobil uses to baseline its emissions.</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SUPPORTING STATEMENT: </w:t>
      </w:r>
      <w:r>
        <w:rPr>
          <w:rFonts w:ascii="Arial" w:cs="Arial" w:eastAsia="Arial" w:hAnsi="Arial"/>
          <w:sz w:val="18"/>
          <w:szCs w:val="18"/>
          <w:color w:val="auto"/>
        </w:rPr>
        <w:t>Proponents recommend disclosing, at management’s discretion:</w:t>
      </w:r>
    </w:p>
    <w:p>
      <w:pPr>
        <w:spacing w:after="0" w:line="117" w:lineRule="exact"/>
        <w:rPr>
          <w:sz w:val="20"/>
          <w:szCs w:val="20"/>
          <w:color w:val="auto"/>
        </w:rPr>
      </w:pPr>
    </w:p>
    <w:p>
      <w:pPr>
        <w:ind w:left="1140" w:hanging="376"/>
        <w:spacing w:after="0"/>
        <w:tabs>
          <w:tab w:leader="none" w:pos="1140" w:val="left"/>
        </w:tabs>
        <w:numPr>
          <w:ilvl w:val="0"/>
          <w:numId w:val="67"/>
        </w:numPr>
        <w:rPr>
          <w:rFonts w:ascii="Times New Roman" w:cs="Times New Roman" w:eastAsia="Times New Roman" w:hAnsi="Times New Roman"/>
          <w:sz w:val="18"/>
          <w:szCs w:val="18"/>
          <w:color w:val="auto"/>
        </w:rPr>
      </w:pPr>
      <w:r>
        <w:rPr>
          <w:rFonts w:ascii="Arial" w:cs="Arial" w:eastAsia="Arial" w:hAnsi="Arial"/>
          <w:sz w:val="18"/>
          <w:szCs w:val="18"/>
          <w:color w:val="auto"/>
        </w:rPr>
        <w:t>The emissions associated with ExxonMobil’s material asset divestments since 2016;</w:t>
      </w:r>
    </w:p>
    <w:p>
      <w:pPr>
        <w:spacing w:after="0" w:line="129" w:lineRule="exact"/>
        <w:rPr>
          <w:rFonts w:ascii="Times New Roman" w:cs="Times New Roman" w:eastAsia="Times New Roman" w:hAnsi="Times New Roman"/>
          <w:sz w:val="18"/>
          <w:szCs w:val="18"/>
          <w:color w:val="auto"/>
        </w:rPr>
      </w:pPr>
    </w:p>
    <w:p>
      <w:pPr>
        <w:ind w:left="1140" w:right="220" w:hanging="376"/>
        <w:spacing w:after="0" w:line="270" w:lineRule="auto"/>
        <w:tabs>
          <w:tab w:leader="none" w:pos="1140" w:val="left"/>
        </w:tabs>
        <w:numPr>
          <w:ilvl w:val="0"/>
          <w:numId w:val="67"/>
        </w:numPr>
        <w:rPr>
          <w:rFonts w:ascii="Times New Roman" w:cs="Times New Roman" w:eastAsia="Times New Roman" w:hAnsi="Times New Roman"/>
          <w:sz w:val="18"/>
          <w:szCs w:val="18"/>
          <w:color w:val="auto"/>
        </w:rPr>
      </w:pPr>
      <w:r>
        <w:rPr>
          <w:rFonts w:ascii="Arial" w:cs="Arial" w:eastAsia="Arial" w:hAnsi="Arial"/>
          <w:sz w:val="18"/>
          <w:szCs w:val="18"/>
          <w:color w:val="auto"/>
        </w:rPr>
        <w:t>What portion, if any, of ExxonMobil’s current emissions reduction targets relies on accounting for asset transfers as emissions reductions;</w:t>
      </w:r>
    </w:p>
    <w:p>
      <w:pPr>
        <w:spacing w:after="0" w:line="5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67"/>
        </w:numPr>
        <w:rPr>
          <w:rFonts w:ascii="Times New Roman" w:cs="Times New Roman" w:eastAsia="Times New Roman" w:hAnsi="Times New Roman"/>
          <w:sz w:val="18"/>
          <w:szCs w:val="18"/>
          <w:color w:val="auto"/>
        </w:rPr>
      </w:pPr>
      <w:r>
        <w:rPr>
          <w:rFonts w:ascii="Arial" w:cs="Arial" w:eastAsia="Arial" w:hAnsi="Arial"/>
          <w:sz w:val="18"/>
          <w:szCs w:val="18"/>
          <w:color w:val="auto"/>
        </w:rPr>
        <w:t>A base year emissions recalculation policy establishing a threshold for future recalculations related to 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188595</wp:posOffset>
            </wp:positionV>
            <wp:extent cx="166306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42" w:lineRule="exact"/>
        <w:rPr>
          <w:sz w:val="20"/>
          <w:szCs w:val="20"/>
          <w:color w:val="auto"/>
        </w:rPr>
      </w:pPr>
    </w:p>
    <w:p>
      <w:pPr>
        <w:ind w:left="1140" w:hanging="376"/>
        <w:spacing w:after="0"/>
        <w:tabs>
          <w:tab w:leader="none" w:pos="1140" w:val="left"/>
        </w:tabs>
        <w:numPr>
          <w:ilvl w:val="0"/>
          <w:numId w:val="68"/>
        </w:numPr>
        <w:rPr>
          <w:rFonts w:ascii="Arial" w:cs="Arial" w:eastAsia="Arial" w:hAnsi="Arial"/>
          <w:sz w:val="24"/>
          <w:szCs w:val="24"/>
          <w:color w:val="auto"/>
          <w:vertAlign w:val="superscript"/>
        </w:rPr>
      </w:pPr>
      <w:r>
        <w:rPr>
          <w:rFonts w:ascii="Arial" w:cs="Arial" w:eastAsia="Arial" w:hAnsi="Arial"/>
          <w:sz w:val="16"/>
          <w:szCs w:val="16"/>
          <w:color w:val="auto"/>
        </w:rPr>
        <w:t>https://business.edf.org/files/Transferred-Emissions-How-Oil-Gas-MA-Hamper-Energy-Transition.pdf p. 4</w:t>
      </w:r>
    </w:p>
    <w:p>
      <w:pPr>
        <w:ind w:left="1140" w:hanging="376"/>
        <w:spacing w:after="0" w:line="187" w:lineRule="auto"/>
        <w:tabs>
          <w:tab w:leader="none" w:pos="1140" w:val="left"/>
        </w:tabs>
        <w:numPr>
          <w:ilvl w:val="0"/>
          <w:numId w:val="69"/>
        </w:numPr>
        <w:rPr>
          <w:rFonts w:ascii="Arial" w:cs="Arial" w:eastAsia="Arial" w:hAnsi="Arial"/>
          <w:sz w:val="21"/>
          <w:szCs w:val="21"/>
          <w:color w:val="auto"/>
          <w:vertAlign w:val="superscript"/>
        </w:rPr>
      </w:pPr>
      <w:r>
        <w:rPr>
          <w:rFonts w:ascii="Arial" w:cs="Arial" w:eastAsia="Arial" w:hAnsi="Arial"/>
          <w:sz w:val="14"/>
          <w:szCs w:val="14"/>
          <w:color w:val="auto"/>
        </w:rPr>
        <w:t>https://assets.bbhub.io/company/sites/63/2021/11/GFANZ-Progress-Report.pdf p. 52</w:t>
      </w:r>
    </w:p>
    <w:p>
      <w:pPr>
        <w:ind w:left="1140" w:hanging="376"/>
        <w:spacing w:after="0" w:line="180" w:lineRule="auto"/>
        <w:tabs>
          <w:tab w:leader="none" w:pos="1140" w:val="left"/>
        </w:tabs>
        <w:numPr>
          <w:ilvl w:val="0"/>
          <w:numId w:val="70"/>
        </w:numPr>
        <w:rPr>
          <w:rFonts w:ascii="Arial" w:cs="Arial" w:eastAsia="Arial" w:hAnsi="Arial"/>
          <w:sz w:val="22"/>
          <w:szCs w:val="22"/>
          <w:color w:val="auto"/>
          <w:vertAlign w:val="superscript"/>
        </w:rPr>
      </w:pPr>
      <w:r>
        <w:rPr>
          <w:rFonts w:ascii="Arial" w:cs="Arial" w:eastAsia="Arial" w:hAnsi="Arial"/>
          <w:sz w:val="15"/>
          <w:szCs w:val="15"/>
          <w:color w:val="auto"/>
        </w:rPr>
        <w:t>https://ghgprotocol.org/sites/default/files/standards/ghg-protocol-revised.pdf p. 35</w:t>
      </w:r>
    </w:p>
    <w:p>
      <w:pPr>
        <w:ind w:left="1140" w:right="460" w:hanging="376"/>
        <w:spacing w:after="0" w:line="204" w:lineRule="auto"/>
        <w:tabs>
          <w:tab w:leader="none" w:pos="1140" w:val="left"/>
        </w:tabs>
        <w:numPr>
          <w:ilvl w:val="0"/>
          <w:numId w:val="71"/>
        </w:numPr>
        <w:rPr>
          <w:rFonts w:ascii="Arial" w:cs="Arial" w:eastAsia="Arial" w:hAnsi="Arial"/>
          <w:sz w:val="24"/>
          <w:szCs w:val="24"/>
          <w:color w:val="auto"/>
          <w:vertAlign w:val="superscript"/>
        </w:rPr>
      </w:pPr>
      <w:r>
        <w:rPr>
          <w:rFonts w:ascii="Arial" w:cs="Arial" w:eastAsia="Arial" w:hAnsi="Arial"/>
          <w:sz w:val="16"/>
          <w:szCs w:val="16"/>
          <w:color w:val="auto"/>
        </w:rPr>
        <w:t>https://www.ipieca.org/resources/good-practice/petroleum-industry-guidelines-for-reporting-greenhouse-gas- emissions-2nd-edition/ p. 39</w:t>
      </w:r>
    </w:p>
    <w:p>
      <w:pPr>
        <w:spacing w:after="0" w:line="117"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605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480"/>
          </w:cols>
          <w:pgMar w:left="320" w:top="482" w:right="10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ind w:left="1140" w:right="1580" w:hanging="376"/>
        <w:spacing w:after="0" w:line="215" w:lineRule="auto"/>
        <w:tabs>
          <w:tab w:leader="none" w:pos="1140" w:val="left"/>
        </w:tabs>
        <w:numPr>
          <w:ilvl w:val="0"/>
          <w:numId w:val="72"/>
        </w:numPr>
        <w:rPr>
          <w:rFonts w:ascii="Arial" w:cs="Arial" w:eastAsia="Arial" w:hAnsi="Arial"/>
          <w:sz w:val="24"/>
          <w:szCs w:val="24"/>
          <w:color w:val="auto"/>
          <w:vertAlign w:val="superscript"/>
        </w:rPr>
      </w:pPr>
      <w:r>
        <w:rPr>
          <w:rFonts w:ascii="Arial" w:cs="Arial" w:eastAsia="Arial" w:hAnsi="Arial"/>
          <w:sz w:val="16"/>
          <w:szCs w:val="16"/>
          <w:color w:val="auto"/>
        </w:rPr>
        <w:t>https://corporate.exxonmobil.com/-/media/global/files/advancing-climate-solutions-progress-report/2022-july-update/exxonmobil-advancing-climate-solutions-2022-progress-report.pdf?la=en&amp;hash= 3A2B299463CE50DCDD6A9595E49AC3030CFF4350</w:t>
      </w:r>
    </w:p>
    <w:p>
      <w:pPr>
        <w:ind w:left="1140" w:hanging="376"/>
        <w:spacing w:after="0" w:line="181" w:lineRule="auto"/>
        <w:tabs>
          <w:tab w:leader="none" w:pos="1140" w:val="left"/>
        </w:tabs>
        <w:numPr>
          <w:ilvl w:val="0"/>
          <w:numId w:val="73"/>
        </w:numPr>
        <w:rPr>
          <w:rFonts w:ascii="Arial" w:cs="Arial" w:eastAsia="Arial" w:hAnsi="Arial"/>
          <w:sz w:val="22"/>
          <w:szCs w:val="22"/>
          <w:color w:val="auto"/>
          <w:vertAlign w:val="superscript"/>
        </w:rPr>
      </w:pPr>
      <w:r>
        <w:rPr>
          <w:rFonts w:ascii="Arial" w:cs="Arial" w:eastAsia="Arial" w:hAnsi="Arial"/>
          <w:sz w:val="15"/>
          <w:szCs w:val="15"/>
          <w:color w:val="auto"/>
        </w:rPr>
        <w:t>https://business.edf.org/files/Transferred-Emissions-How-Oil-Gas-MA-Hamper-Energy-Transition.pdf p. 22</w:t>
      </w:r>
    </w:p>
    <w:p>
      <w:pPr>
        <w:ind w:left="1140" w:hanging="376"/>
        <w:spacing w:after="0" w:line="183" w:lineRule="auto"/>
        <w:tabs>
          <w:tab w:leader="none" w:pos="1140" w:val="left"/>
        </w:tabs>
        <w:numPr>
          <w:ilvl w:val="0"/>
          <w:numId w:val="74"/>
        </w:numPr>
        <w:rPr>
          <w:rFonts w:ascii="Arial" w:cs="Arial" w:eastAsia="Arial" w:hAnsi="Arial"/>
          <w:sz w:val="22"/>
          <w:szCs w:val="22"/>
          <w:color w:val="auto"/>
          <w:vertAlign w:val="superscript"/>
        </w:rPr>
      </w:pPr>
      <w:r>
        <w:rPr>
          <w:rFonts w:ascii="Arial" w:cs="Arial" w:eastAsia="Arial" w:hAnsi="Arial"/>
          <w:sz w:val="15"/>
          <w:szCs w:val="15"/>
          <w:color w:val="auto"/>
        </w:rPr>
        <w:t>https://dvnweb.azureedge.net/assets/documents/Sustainability/DVN_2022_SustainabilityReport.pdf p. 20</w:t>
      </w:r>
    </w:p>
    <w:p>
      <w:pPr>
        <w:ind w:left="760"/>
        <w:spacing w:after="0"/>
        <w:rPr>
          <w:rFonts w:ascii="Arial" w:cs="Arial" w:eastAsia="Arial" w:hAnsi="Arial"/>
          <w:sz w:val="22"/>
          <w:szCs w:val="22"/>
          <w:color w:val="auto"/>
          <w:vertAlign w:val="superscript"/>
        </w:rPr>
      </w:pPr>
      <w:r>
        <w:rPr>
          <w:rFonts w:ascii="Arial" w:cs="Arial" w:eastAsia="Arial" w:hAnsi="Arial"/>
          <w:sz w:val="24"/>
          <w:szCs w:val="24"/>
          <w:color w:val="auto"/>
          <w:vertAlign w:val="superscript"/>
        </w:rPr>
        <w:t>8</w:t>
      </w:r>
      <w:r>
        <w:rPr>
          <w:rFonts w:ascii="Arial" w:cs="Arial" w:eastAsia="Arial" w:hAnsi="Arial"/>
          <w:sz w:val="16"/>
          <w:szCs w:val="16"/>
          <w:color w:val="auto"/>
        </w:rPr>
        <w:t>Ibid.”</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The Board carefully considered this proposal and recommends you vote AGAINST it for the following reasons:</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This is one of 10 new reports requested by proponents at this annual shareholder meeting.</w:t>
      </w:r>
    </w:p>
    <w:p>
      <w:pPr>
        <w:spacing w:after="0" w:line="212" w:lineRule="exact"/>
        <w:rPr>
          <w:sz w:val="20"/>
          <w:szCs w:val="20"/>
          <w:color w:val="auto"/>
        </w:rPr>
      </w:pPr>
    </w:p>
    <w:p>
      <w:pPr>
        <w:ind w:left="760" w:right="20"/>
        <w:spacing w:after="0" w:line="247" w:lineRule="auto"/>
        <w:rPr>
          <w:sz w:val="20"/>
          <w:szCs w:val="20"/>
          <w:color w:val="auto"/>
        </w:rPr>
      </w:pPr>
      <w:r>
        <w:rPr>
          <w:rFonts w:ascii="Arial" w:cs="Arial" w:eastAsia="Arial" w:hAnsi="Arial"/>
          <w:sz w:val="18"/>
          <w:szCs w:val="18"/>
          <w:color w:val="auto"/>
        </w:rPr>
        <w:t>The Board agrees with the proponent that greenhouse gas metrics and calculation methods should incentivize actions to address emissions. We also acknowledge that the proponent is aligned with our long-held position that divesting assets to manipulate company-specific absolute emissions is not a constructive way to reduce global emissions. We make divestment decisions to maximize value and improve competitiveness, not to manage emissions.</w:t>
      </w:r>
    </w:p>
    <w:p>
      <w:pPr>
        <w:spacing w:after="0" w:line="174" w:lineRule="exact"/>
        <w:rPr>
          <w:sz w:val="20"/>
          <w:szCs w:val="20"/>
          <w:color w:val="auto"/>
        </w:rPr>
      </w:pPr>
    </w:p>
    <w:p>
      <w:pPr>
        <w:ind w:left="760" w:right="100"/>
        <w:spacing w:after="0" w:line="242" w:lineRule="auto"/>
        <w:rPr>
          <w:sz w:val="20"/>
          <w:szCs w:val="20"/>
          <w:color w:val="auto"/>
        </w:rPr>
      </w:pPr>
      <w:r>
        <w:rPr>
          <w:rFonts w:ascii="Arial" w:cs="Arial" w:eastAsia="Arial" w:hAnsi="Arial"/>
          <w:sz w:val="18"/>
          <w:szCs w:val="18"/>
          <w:color w:val="auto"/>
        </w:rPr>
        <w:t>Divesting assets to reduce emissions and meet an emissions target does not reduce global emissions and could result in potentially higher emissions depending on the capabilities of the acquiring company. Similarly, an individual company reducing oil and natural gas investments required to meet global demand does not reduce emissions; rather, it shifts the investments needed to meet demand and resulting emissions to other, potentially less capable, companies. That is why we commit to reducing emissions intensity. We believe that society’s demand for oil and natural gas should be met by producers with the lowest-emissions intensity for the resource types required to meet that demand.</w:t>
      </w:r>
    </w:p>
    <w:p>
      <w:pPr>
        <w:spacing w:after="0" w:line="179" w:lineRule="exact"/>
        <w:rPr>
          <w:sz w:val="20"/>
          <w:szCs w:val="20"/>
          <w:color w:val="auto"/>
        </w:rPr>
      </w:pPr>
    </w:p>
    <w:p>
      <w:pPr>
        <w:ind w:left="760"/>
        <w:spacing w:after="0" w:line="244" w:lineRule="auto"/>
        <w:rPr>
          <w:sz w:val="20"/>
          <w:szCs w:val="20"/>
          <w:color w:val="auto"/>
        </w:rPr>
      </w:pPr>
      <w:r>
        <w:rPr>
          <w:rFonts w:ascii="Arial" w:cs="Arial" w:eastAsia="Arial" w:hAnsi="Arial"/>
          <w:sz w:val="18"/>
          <w:szCs w:val="18"/>
          <w:color w:val="auto"/>
        </w:rPr>
        <w:t>Further, we believe that a company’s size, reflected in absolute emissions, should not be used to evaluate a company’s commitment to improving global emissions. To offset reduced industry capacity and meet growing demand, we are planning to increase oil and natural gas production and refining throughput while reducing the emissions of our operations, resulting in a lower emissions intensity. Focusing exclusively on absolute emissions would discourage this and lead to further supply shortages and higher prices – disproportionately increasing the burden on low-income families.</w:t>
      </w:r>
    </w:p>
    <w:p>
      <w:pPr>
        <w:spacing w:after="0" w:line="176" w:lineRule="exact"/>
        <w:rPr>
          <w:sz w:val="20"/>
          <w:szCs w:val="20"/>
          <w:color w:val="auto"/>
        </w:rPr>
      </w:pPr>
    </w:p>
    <w:p>
      <w:pPr>
        <w:ind w:left="760" w:right="480"/>
        <w:spacing w:after="0" w:line="271" w:lineRule="auto"/>
        <w:rPr>
          <w:sz w:val="20"/>
          <w:szCs w:val="20"/>
          <w:color w:val="auto"/>
        </w:rPr>
      </w:pPr>
      <w:r>
        <w:rPr>
          <w:rFonts w:ascii="Arial" w:cs="Arial" w:eastAsia="Arial" w:hAnsi="Arial"/>
          <w:sz w:val="18"/>
          <w:szCs w:val="18"/>
          <w:color w:val="auto"/>
        </w:rPr>
        <w:t>We advocate for economy-wide, comprehensive emissions measurement using a life-cycle approach and emissions intensity.</w:t>
      </w:r>
    </w:p>
    <w:p>
      <w:pPr>
        <w:spacing w:after="0" w:line="154" w:lineRule="exact"/>
        <w:rPr>
          <w:sz w:val="20"/>
          <w:szCs w:val="20"/>
          <w:color w:val="auto"/>
        </w:rPr>
      </w:pPr>
    </w:p>
    <w:p>
      <w:pPr>
        <w:ind w:left="760" w:right="120"/>
        <w:spacing w:after="0" w:line="244" w:lineRule="auto"/>
        <w:rPr>
          <w:sz w:val="20"/>
          <w:szCs w:val="20"/>
          <w:color w:val="auto"/>
        </w:rPr>
      </w:pPr>
      <w:r>
        <w:rPr>
          <w:rFonts w:ascii="Arial" w:cs="Arial" w:eastAsia="Arial" w:hAnsi="Arial"/>
          <w:sz w:val="18"/>
          <w:szCs w:val="18"/>
          <w:color w:val="auto"/>
        </w:rPr>
        <w:t>The proponent correctly states that we do not adjust for divestments. As we have discussed with the proponent, we also do not adjust for acquisitions or added capacity. This is consistent with a majority of the industry, and aligns with the U.S. EPA Greenhouse Gas Reporting Program (GHGRP) regulations. The proponent’s request to recalculate the baseline to remove divested assets would be inconsistent with the GHGRP regulatory requirements and reporting practices for reserves and financial data.</w:t>
      </w:r>
    </w:p>
    <w:p>
      <w:pPr>
        <w:spacing w:after="0" w:line="176" w:lineRule="exact"/>
        <w:rPr>
          <w:sz w:val="20"/>
          <w:szCs w:val="20"/>
          <w:color w:val="auto"/>
        </w:rPr>
      </w:pPr>
    </w:p>
    <w:p>
      <w:pPr>
        <w:ind w:left="760" w:right="140"/>
        <w:spacing w:after="0"/>
        <w:rPr>
          <w:sz w:val="20"/>
          <w:szCs w:val="20"/>
          <w:color w:val="auto"/>
        </w:rPr>
      </w:pPr>
      <w:r>
        <w:rPr>
          <w:rFonts w:ascii="Arial" w:cs="Arial" w:eastAsia="Arial" w:hAnsi="Arial"/>
          <w:sz w:val="17"/>
          <w:szCs w:val="17"/>
          <w:color w:val="auto"/>
        </w:rPr>
        <w:t>Consistent with regulatory requirements, through 2022 and using a baseline year of 2016 for Scope 1 and Scope 2 emissions from operated assets, we have disclosed that the Company has achieved a greater than 10 percent reduction in its greenhouse gas emissions intensity and approximately a 15 percent reduction in absolute emissions. For the same period, methane emissions intensity from operated assets is down more than 50 percent and by 50 percent on an absolute basis. Informed by detailed emission-reduction roadmaps for major operated assets, the Company is making significant progress toward its greenhouse gas emission-reduction plans, including meeting our 2025 emission intensity reduction goals four years early.</w:t>
      </w:r>
      <w:r>
        <w:rPr>
          <w:rFonts w:ascii="Arial" w:cs="Arial" w:eastAsia="Arial" w:hAnsi="Arial"/>
          <w:sz w:val="25"/>
          <w:szCs w:val="25"/>
          <w:color w:val="auto"/>
          <w:vertAlign w:val="superscript"/>
        </w:rPr>
        <w:t>1</w:t>
      </w:r>
      <w:r>
        <w:rPr>
          <w:rFonts w:ascii="Arial" w:cs="Arial" w:eastAsia="Arial" w:hAnsi="Arial"/>
          <w:sz w:val="17"/>
          <w:szCs w:val="17"/>
          <w:color w:val="auto"/>
        </w:rPr>
        <w:t xml:space="preserve"> The Company also has announced that, with advances in technology and clear and consistent government policies, it aims to achieve net-zero operated Scope 1 and 2 greenhouse gas emissions by 2050.</w:t>
      </w:r>
    </w:p>
    <w:p>
      <w:pPr>
        <w:spacing w:after="0" w:line="180" w:lineRule="exact"/>
        <w:rPr>
          <w:sz w:val="20"/>
          <w:szCs w:val="20"/>
          <w:color w:val="auto"/>
        </w:rPr>
      </w:pPr>
    </w:p>
    <w:p>
      <w:pPr>
        <w:ind w:left="760" w:right="120"/>
        <w:spacing w:after="0" w:line="249" w:lineRule="auto"/>
        <w:rPr>
          <w:sz w:val="20"/>
          <w:szCs w:val="20"/>
          <w:color w:val="auto"/>
        </w:rPr>
      </w:pPr>
      <w:r>
        <w:rPr>
          <w:rFonts w:ascii="Arial" w:cs="Arial" w:eastAsia="Arial" w:hAnsi="Arial"/>
          <w:sz w:val="18"/>
          <w:szCs w:val="18"/>
          <w:color w:val="auto"/>
        </w:rPr>
        <w:t>In addition, we notified the SEC of our view that this proposal, together with the proposal from Anna Marie Lyles (Item 14 below), misuses the shareholder proposal process by violating the clear intent of the SEC’s one-proposal limitation given that both proposals originate with persons directly affiliated with As You Sow. This proponent is the CEO of As You Sow, and Ms. Lyles serves as board member and treasurer of As You Sow. As You Sow is an organization with a history of activism against the oil and natural gas industry. This includes working with 350.org and EarthJustice to promote “keep it in the ground” efforts.</w:t>
      </w:r>
      <w:r>
        <w:rPr>
          <w:rFonts w:ascii="Arial" w:cs="Arial" w:eastAsia="Arial" w:hAnsi="Arial"/>
          <w:sz w:val="26"/>
          <w:szCs w:val="26"/>
          <w:color w:val="auto"/>
          <w:vertAlign w:val="superscript"/>
        </w:rPr>
        <w:t>2,3</w:t>
      </w:r>
    </w:p>
    <w:p>
      <w:pPr>
        <w:spacing w:after="0" w:line="47" w:lineRule="exact"/>
        <w:rPr>
          <w:sz w:val="20"/>
          <w:szCs w:val="20"/>
          <w:color w:val="auto"/>
        </w:rPr>
      </w:pPr>
    </w:p>
    <w:p>
      <w:pPr>
        <w:ind w:left="760" w:right="340"/>
        <w:spacing w:after="0" w:line="301" w:lineRule="auto"/>
        <w:rPr>
          <w:sz w:val="20"/>
          <w:szCs w:val="20"/>
          <w:color w:val="auto"/>
        </w:rPr>
      </w:pPr>
      <w:r>
        <w:rPr>
          <w:rFonts w:ascii="Arial" w:cs="Arial" w:eastAsia="Arial" w:hAnsi="Arial"/>
          <w:sz w:val="17"/>
          <w:szCs w:val="17"/>
          <w:color w:val="auto"/>
        </w:rPr>
        <w:t xml:space="preserve">For these reasons, the Board recommends a vote </w:t>
      </w:r>
      <w:r>
        <w:rPr>
          <w:rFonts w:ascii="Arial" w:cs="Arial" w:eastAsia="Arial" w:hAnsi="Arial"/>
          <w:sz w:val="17"/>
          <w:szCs w:val="17"/>
          <w:b w:val="1"/>
          <w:bCs w:val="1"/>
          <w:color w:val="auto"/>
        </w:rPr>
        <w:t>against</w:t>
      </w:r>
      <w:r>
        <w:rPr>
          <w:rFonts w:ascii="Arial" w:cs="Arial" w:eastAsia="Arial" w:hAnsi="Arial"/>
          <w:sz w:val="17"/>
          <w:szCs w:val="17"/>
          <w:color w:val="auto"/>
        </w:rPr>
        <w:t xml:space="preserve"> this proposal, as it narrowly focuses on divestments and doesn’t address the broader measurement issue associated with continuing to responsibly meet society’s needs while</w:t>
      </w:r>
    </w:p>
    <w:p>
      <w:pPr>
        <w:spacing w:after="0" w:line="43"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90</w:t>
      </w:r>
      <w:r>
        <w:rPr>
          <w:sz w:val="20"/>
          <w:szCs w:val="20"/>
          <w:color w:val="auto"/>
        </w:rPr>
        <w:tab/>
      </w:r>
      <w:r>
        <w:rPr>
          <w:sz w:val="1"/>
          <w:szCs w:val="1"/>
          <w:color w:val="auto"/>
        </w:rPr>
        <w:drawing>
          <wp:inline distT="0" distB="0" distL="0" distR="0">
            <wp:extent cx="737235" cy="146050"/>
            <wp:effectExtent l="0" t="0" r="0" b="0"/>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2023 Proxy Statement</w:t>
      </w:r>
    </w:p>
    <w:p>
      <w:pPr>
        <w:sectPr>
          <w:pgSz w:w="11900" w:h="16838" w:orient="portrait"/>
          <w:cols w:equalWidth="0" w:num="1">
            <w:col w:w="10460"/>
          </w:cols>
          <w:pgMar w:left="320" w:top="482" w:right="11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760" w:right="160"/>
        <w:spacing w:after="0" w:line="253" w:lineRule="auto"/>
        <w:rPr>
          <w:sz w:val="20"/>
          <w:szCs w:val="20"/>
          <w:color w:val="auto"/>
        </w:rPr>
      </w:pPr>
      <w:r>
        <w:rPr>
          <w:rFonts w:ascii="Arial" w:cs="Arial" w:eastAsia="Arial" w:hAnsi="Arial"/>
          <w:sz w:val="18"/>
          <w:szCs w:val="18"/>
          <w:color w:val="auto"/>
        </w:rPr>
        <w:t>reducing emissions. In addition, it would lead to a reporting basis that is inconsistent with the majority of industry. It also fails to recognize the Company’s disclosures and clear actions to achieve its emission-reduction plans, and the progress that is being made to achieve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153670</wp:posOffset>
            </wp:positionV>
            <wp:extent cx="166306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62" w:lineRule="exact"/>
        <w:rPr>
          <w:sz w:val="20"/>
          <w:szCs w:val="20"/>
          <w:color w:val="auto"/>
        </w:rPr>
      </w:pPr>
    </w:p>
    <w:p>
      <w:pPr>
        <w:ind w:left="1140" w:right="960" w:hanging="376"/>
        <w:spacing w:after="0" w:line="203" w:lineRule="auto"/>
        <w:tabs>
          <w:tab w:leader="none" w:pos="1140" w:val="left"/>
        </w:tabs>
        <w:numPr>
          <w:ilvl w:val="0"/>
          <w:numId w:val="75"/>
        </w:numPr>
        <w:rPr>
          <w:rFonts w:ascii="Arial" w:cs="Arial" w:eastAsia="Arial" w:hAnsi="Arial"/>
          <w:sz w:val="24"/>
          <w:szCs w:val="24"/>
          <w:color w:val="auto"/>
          <w:vertAlign w:val="superscript"/>
        </w:rPr>
      </w:pPr>
      <w:r>
        <w:rPr>
          <w:rFonts w:ascii="Arial" w:cs="Arial" w:eastAsia="Arial" w:hAnsi="Arial"/>
          <w:sz w:val="16"/>
          <w:szCs w:val="16"/>
          <w:color w:val="auto"/>
        </w:rPr>
        <w:t>corporate.exxonmobil.com/news/newsroom/news-releases/2021/1201_exxonmobil-announces-plans-to-2027-doubling-earnings-and-cash-flow-potential-reducing-emissions; exxonmobil.com/advancingclimatesolutions, page 88.</w:t>
      </w:r>
    </w:p>
    <w:p>
      <w:pPr>
        <w:spacing w:after="0" w:line="1" w:lineRule="exact"/>
        <w:rPr>
          <w:sz w:val="20"/>
          <w:szCs w:val="20"/>
          <w:color w:val="auto"/>
        </w:rPr>
      </w:pPr>
    </w:p>
    <w:p>
      <w:pPr>
        <w:ind w:left="1140" w:right="40" w:hanging="376"/>
        <w:spacing w:after="0" w:line="220" w:lineRule="auto"/>
        <w:tabs>
          <w:tab w:leader="none" w:pos="1140" w:val="left"/>
        </w:tabs>
        <w:numPr>
          <w:ilvl w:val="0"/>
          <w:numId w:val="76"/>
        </w:numPr>
        <w:rPr>
          <w:rFonts w:ascii="Arial" w:cs="Arial" w:eastAsia="Arial" w:hAnsi="Arial"/>
          <w:sz w:val="24"/>
          <w:szCs w:val="24"/>
          <w:color w:val="auto"/>
          <w:vertAlign w:val="superscript"/>
        </w:rPr>
      </w:pPr>
      <w:r>
        <w:rPr>
          <w:rFonts w:ascii="Arial" w:cs="Arial" w:eastAsia="Arial" w:hAnsi="Arial"/>
          <w:sz w:val="16"/>
          <w:szCs w:val="16"/>
          <w:color w:val="auto"/>
        </w:rPr>
        <w:t>As You Sow is listed under the heading “Allies” on 350.org’s website. 350.org describes itself as, “an international movement of ordinary people working to end the age of fossil fuels and build a world of community-led renewable energy for all.” 350.org’s aims include, “No new fossil fuel projects anywhere,” “Stop[ping] and ban[ning] all oil, coal and gas projects from being built…” and, “Cut[ting] off the social license and financing for fossil fuel companies – divest, desponsor and defund.” (Sources:</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https://350.org/allies/ and https://350.org/about/).</w:t>
      </w:r>
    </w:p>
    <w:p>
      <w:pPr>
        <w:spacing w:after="0" w:line="1" w:lineRule="exact"/>
        <w:rPr>
          <w:sz w:val="20"/>
          <w:szCs w:val="20"/>
          <w:color w:val="auto"/>
        </w:rPr>
      </w:pPr>
    </w:p>
    <w:p>
      <w:pPr>
        <w:ind w:left="1140" w:right="40" w:hanging="376"/>
        <w:spacing w:after="0" w:line="228" w:lineRule="auto"/>
        <w:tabs>
          <w:tab w:leader="none" w:pos="1140" w:val="left"/>
        </w:tabs>
        <w:numPr>
          <w:ilvl w:val="0"/>
          <w:numId w:val="77"/>
        </w:numPr>
        <w:rPr>
          <w:rFonts w:ascii="Arial" w:cs="Arial" w:eastAsia="Arial" w:hAnsi="Arial"/>
          <w:sz w:val="24"/>
          <w:szCs w:val="24"/>
          <w:color w:val="auto"/>
          <w:vertAlign w:val="superscript"/>
        </w:rPr>
      </w:pPr>
      <w:r>
        <w:rPr>
          <w:rFonts w:ascii="Arial" w:cs="Arial" w:eastAsia="Arial" w:hAnsi="Arial"/>
          <w:sz w:val="16"/>
          <w:szCs w:val="16"/>
          <w:color w:val="auto"/>
        </w:rPr>
        <w:t>As You Sow has previously worked with EarthJustice in filing complaints with the SEC against energy companies. (Source: https://www.upi.com/Energy-News/2014/05/07/Maryland-LNG-terminal-draws-fire/4981399470232/). EarthJustice describes the aims of its work to include: “End the extraction and burning of fossil fuels…blocking new fossil fuel infrastructure, and more.” (Source: https://earthjustice.org/our_work). Its strategies include, “…work[ing] to halt investments in massive new gas plants…and we compel utilities to consider clean energy and energy efficiency alternatives.” (Source: https://earthjustice.org/our_work/oil-coal-gas).</w:t>
      </w:r>
    </w:p>
    <w:p>
      <w:pPr>
        <w:spacing w:after="0" w:line="1" w:lineRule="exact"/>
        <w:rPr>
          <w:rFonts w:ascii="Arial" w:cs="Arial" w:eastAsia="Arial" w:hAnsi="Arial"/>
          <w:sz w:val="24"/>
          <w:szCs w:val="24"/>
          <w:color w:val="auto"/>
          <w:vertAlign w:val="superscript"/>
        </w:rPr>
      </w:pPr>
    </w:p>
    <w:p>
      <w:pPr>
        <w:ind w:left="1140" w:right="2360"/>
        <w:spacing w:after="0" w:line="265" w:lineRule="auto"/>
        <w:rPr>
          <w:rFonts w:ascii="Arial" w:cs="Arial" w:eastAsia="Arial" w:hAnsi="Arial"/>
          <w:sz w:val="24"/>
          <w:szCs w:val="24"/>
          <w:color w:val="auto"/>
          <w:vertAlign w:val="superscript"/>
        </w:rPr>
      </w:pPr>
      <w:r>
        <w:rPr>
          <w:rFonts w:ascii="Arial" w:cs="Arial" w:eastAsia="Arial" w:hAnsi="Arial"/>
          <w:sz w:val="16"/>
          <w:szCs w:val="16"/>
          <w:color w:val="auto"/>
        </w:rPr>
        <w:t>EarthJustice has also engaged in several legal campaigns that involved Exxon. (Source: https://earthjustice.org/blog/2017-may/taking-exxon-to-court-to-protect-clean-air-and-winning-big).</w:t>
      </w:r>
    </w:p>
    <w:p>
      <w:pPr>
        <w:spacing w:after="0" w:line="378"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Item 12 – Report on Asset Retirement Obligations Under IEA NZE Scenario</w:t>
      </w:r>
    </w:p>
    <w:p>
      <w:pPr>
        <w:spacing w:after="0" w:line="99" w:lineRule="exact"/>
        <w:rPr>
          <w:sz w:val="20"/>
          <w:szCs w:val="20"/>
          <w:color w:val="auto"/>
        </w:rPr>
      </w:pPr>
    </w:p>
    <w:p>
      <w:pPr>
        <w:ind w:left="760"/>
        <w:spacing w:after="0" w:line="301" w:lineRule="auto"/>
        <w:rPr>
          <w:sz w:val="20"/>
          <w:szCs w:val="20"/>
          <w:color w:val="auto"/>
        </w:rPr>
      </w:pPr>
      <w:r>
        <w:rPr>
          <w:rFonts w:ascii="Arial" w:cs="Arial" w:eastAsia="Arial" w:hAnsi="Arial"/>
          <w:sz w:val="17"/>
          <w:szCs w:val="17"/>
          <w:color w:val="auto"/>
        </w:rPr>
        <w:t>This proposal was submitted by Legal &amp; General Investment Management America, Inc., 71 S. Wacker Drive, Suite 800, Chicago Illinois 60606, the beneficial owner of 1,082,666 shares for at least one year, and lead proponent of a filing group.</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 on the Impact of the Energy Transition on Asset Retirement Obligations</w:t>
      </w:r>
    </w:p>
    <w:p>
      <w:pPr>
        <w:spacing w:after="0" w:line="104" w:lineRule="exact"/>
        <w:rPr>
          <w:sz w:val="20"/>
          <w:szCs w:val="20"/>
          <w:color w:val="auto"/>
        </w:rPr>
      </w:pPr>
    </w:p>
    <w:p>
      <w:pPr>
        <w:ind w:left="760" w:right="280"/>
        <w:spacing w:after="0" w:line="244" w:lineRule="auto"/>
        <w:rPr>
          <w:sz w:val="20"/>
          <w:szCs w:val="20"/>
          <w:color w:val="auto"/>
        </w:rPr>
      </w:pPr>
      <w:r>
        <w:rPr>
          <w:rFonts w:ascii="Arial" w:cs="Arial" w:eastAsia="Arial" w:hAnsi="Arial"/>
          <w:sz w:val="18"/>
          <w:szCs w:val="18"/>
          <w:color w:val="auto"/>
        </w:rPr>
        <w:t>Last year 51% of ExxonMobil shareholders supported a proposal asking for an audited report on how the International Energy Agency Net Zero by 2050 pathway (IEA NZE) would affect the assumptions, costs, estimates, and valuations underlying its financial statements, including Asset Retirement Obligations (AROs). Despite the majority vote, investors continue to lack the requisite transparency to assess the financial impact associated with the energy transition and the potential for accelerated remediation and closure obligations.</w:t>
      </w:r>
    </w:p>
    <w:p>
      <w:pPr>
        <w:spacing w:after="0" w:line="176" w:lineRule="exact"/>
        <w:rPr>
          <w:sz w:val="20"/>
          <w:szCs w:val="20"/>
          <w:color w:val="auto"/>
        </w:rPr>
      </w:pPr>
    </w:p>
    <w:p>
      <w:pPr>
        <w:ind w:left="760" w:right="20"/>
        <w:spacing w:after="0" w:line="247" w:lineRule="auto"/>
        <w:rPr>
          <w:sz w:val="20"/>
          <w:szCs w:val="20"/>
          <w:color w:val="auto"/>
        </w:rPr>
      </w:pPr>
      <w:r>
        <w:rPr>
          <w:rFonts w:ascii="Arial" w:cs="Arial" w:eastAsia="Arial" w:hAnsi="Arial"/>
          <w:sz w:val="18"/>
          <w:szCs w:val="18"/>
          <w:color w:val="auto"/>
        </w:rPr>
        <w:t>Oil and gas companies are legally required to decommission long-lived tangible assets at the end of their useful lives. However, given uncertainty around lives of assets in midstream and downstream segments (e.g., refineries, pipelines, and wells), most oil and gas companies have only recognized upstream AROs (presented on a discounted basis). For example, ExxonMobil has generally not recognized the relevant liabilities or disclosed estimated costs for downstream and chemical facilities, maintaining that ‘these sites have indeterminate lives based on plans for continued operations and as such, the fair value of the conditional legal obligations cannot be measured, since it is impossible to estimate the future settlement dates of such obligations.’</w:t>
      </w:r>
      <w:r>
        <w:rPr>
          <w:rFonts w:ascii="Arial" w:cs="Arial" w:eastAsia="Arial" w:hAnsi="Arial"/>
          <w:sz w:val="26"/>
          <w:szCs w:val="26"/>
          <w:color w:val="auto"/>
          <w:vertAlign w:val="superscript"/>
        </w:rPr>
        <w:t>1</w:t>
      </w:r>
    </w:p>
    <w:p>
      <w:pPr>
        <w:spacing w:after="0" w:line="48" w:lineRule="exact"/>
        <w:rPr>
          <w:sz w:val="20"/>
          <w:szCs w:val="20"/>
          <w:color w:val="auto"/>
        </w:rPr>
      </w:pPr>
    </w:p>
    <w:p>
      <w:pPr>
        <w:ind w:left="760" w:right="20"/>
        <w:spacing w:after="0" w:line="216" w:lineRule="auto"/>
        <w:rPr>
          <w:sz w:val="20"/>
          <w:szCs w:val="20"/>
          <w:color w:val="auto"/>
        </w:rPr>
      </w:pPr>
      <w:r>
        <w:rPr>
          <w:rFonts w:ascii="Arial" w:cs="Arial" w:eastAsia="Arial" w:hAnsi="Arial"/>
          <w:sz w:val="18"/>
          <w:szCs w:val="18"/>
          <w:color w:val="auto"/>
        </w:rPr>
        <w:t>As companies are not disclosing estimated undiscounted costs or discount rates used and/or the payment schedule of those obligations, investors also have limited insight into the estimates and assumptions that underpin reported AROs, making it difficult for them to analyze the impact of the energy transition on these obligations and to formulate their own risk-adjusted values. However, peers such as bp</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w:t>
      </w:r>
      <w:r>
        <w:rPr>
          <w:rFonts w:ascii="Arial" w:cs="Arial" w:eastAsia="Arial" w:hAnsi="Arial"/>
          <w:sz w:val="18"/>
          <w:szCs w:val="18"/>
          <w:i w:val="1"/>
          <w:iCs w:val="1"/>
          <w:color w:val="auto"/>
        </w:rPr>
        <w:t>have</w:t>
      </w:r>
      <w:r>
        <w:rPr>
          <w:rFonts w:ascii="Arial" w:cs="Arial" w:eastAsia="Arial" w:hAnsi="Arial"/>
          <w:sz w:val="18"/>
          <w:szCs w:val="18"/>
          <w:color w:val="auto"/>
        </w:rPr>
        <w:t xml:space="preserve"> disclosed the estimated undiscounted ARO [‘decommissioning’] amounts and estimated timing thereof. Shell</w:t>
      </w:r>
      <w:r>
        <w:rPr>
          <w:rFonts w:ascii="Arial" w:cs="Arial" w:eastAsia="Arial" w:hAnsi="Arial"/>
          <w:sz w:val="26"/>
          <w:szCs w:val="26"/>
          <w:color w:val="auto"/>
          <w:vertAlign w:val="superscript"/>
        </w:rPr>
        <w:t>3</w:t>
      </w:r>
      <w:r>
        <w:rPr>
          <w:rFonts w:ascii="Arial" w:cs="Arial" w:eastAsia="Arial" w:hAnsi="Arial"/>
          <w:sz w:val="18"/>
          <w:szCs w:val="18"/>
          <w:color w:val="auto"/>
        </w:rPr>
        <w:t xml:space="preserve"> has also noted that some previously unrecognized AROs [‘decommissioning and restoration’ provisions] would have to be recognized, given the energy transition. Ideally, corporate disclosures would include discount rates, asset types, the range of potential settlement dates and probabilities associated with those dates given potential accelerated timing of the energy transition.</w:t>
      </w:r>
    </w:p>
    <w:p>
      <w:pPr>
        <w:spacing w:after="0" w:line="180" w:lineRule="exact"/>
        <w:rPr>
          <w:sz w:val="20"/>
          <w:szCs w:val="20"/>
          <w:color w:val="auto"/>
        </w:rPr>
      </w:pPr>
    </w:p>
    <w:p>
      <w:pPr>
        <w:ind w:left="760" w:right="200"/>
        <w:spacing w:after="0" w:line="242"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Shareholders request that the Board provide an audited report estimating the quantitative impacts of the IEA</w:t>
      </w:r>
      <w:r>
        <w:rPr>
          <w:rFonts w:ascii="Arial" w:cs="Arial" w:eastAsia="Arial" w:hAnsi="Arial"/>
          <w:sz w:val="18"/>
          <w:szCs w:val="18"/>
          <w:b w:val="1"/>
          <w:bCs w:val="1"/>
          <w:color w:val="auto"/>
        </w:rPr>
        <w:t xml:space="preserve"> </w:t>
      </w:r>
      <w:r>
        <w:rPr>
          <w:rFonts w:ascii="Arial" w:cs="Arial" w:eastAsia="Arial" w:hAnsi="Arial"/>
          <w:sz w:val="18"/>
          <w:szCs w:val="18"/>
          <w:color w:val="auto"/>
        </w:rPr>
        <w:t>NZE scenario on all asset retirement obligations. The report should disclose, as the Board deems appropriate, the estimated undiscounted costs to settle, in aggregate, related upstream and downstream AROs, and separately, identify both recognized and unrecognized amounts, as applicable. The Board should publish the report by February 2024 at reasonable cost and omitting proprietary information. Alternately this information could be disclosed in the 2023 consolidated financial statements.</w:t>
      </w:r>
    </w:p>
    <w:p>
      <w:pPr>
        <w:spacing w:after="0" w:line="179" w:lineRule="exact"/>
        <w:rPr>
          <w:sz w:val="20"/>
          <w:szCs w:val="20"/>
          <w:color w:val="auto"/>
        </w:rPr>
      </w:pPr>
    </w:p>
    <w:p>
      <w:pPr>
        <w:ind w:left="760" w:right="700"/>
        <w:spacing w:after="0" w:line="271" w:lineRule="auto"/>
        <w:rPr>
          <w:sz w:val="20"/>
          <w:szCs w:val="20"/>
          <w:color w:val="auto"/>
        </w:rPr>
      </w:pPr>
      <w:r>
        <w:rPr>
          <w:rFonts w:ascii="Arial" w:cs="Arial" w:eastAsia="Arial" w:hAnsi="Arial"/>
          <w:sz w:val="18"/>
          <w:szCs w:val="18"/>
          <w:b w:val="1"/>
          <w:bCs w:val="1"/>
          <w:color w:val="auto"/>
        </w:rPr>
        <w:t xml:space="preserve">Supporting statement: </w:t>
      </w:r>
      <w:r>
        <w:rPr>
          <w:rFonts w:ascii="Arial" w:cs="Arial" w:eastAsia="Arial" w:hAnsi="Arial"/>
          <w:sz w:val="18"/>
          <w:szCs w:val="18"/>
          <w:color w:val="auto"/>
        </w:rPr>
        <w:t>The Proponent recommends the report be supported with reasonable assurance from an</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auditor. In the Board and management’s discretion we recommend such report also disclose</w:t>
      </w:r>
    </w:p>
    <w:p>
      <w:pPr>
        <w:spacing w:after="0" w:line="85"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54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480"/>
          </w:cols>
          <w:pgMar w:left="320" w:top="482" w:right="10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760" w:right="480"/>
        <w:spacing w:after="0" w:line="271" w:lineRule="auto"/>
        <w:rPr>
          <w:sz w:val="20"/>
          <w:szCs w:val="20"/>
          <w:color w:val="auto"/>
        </w:rPr>
      </w:pPr>
      <w:r>
        <w:rPr>
          <w:rFonts w:ascii="Arial" w:cs="Arial" w:eastAsia="Arial" w:hAnsi="Arial"/>
          <w:sz w:val="18"/>
          <w:szCs w:val="18"/>
          <w:color w:val="auto"/>
        </w:rPr>
        <w:t>quantitative key assumptions used to estimate the AROs and whether, based on known information, it is reasonably possible that assumptions and estimates will change in the near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143510</wp:posOffset>
            </wp:positionV>
            <wp:extent cx="166306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46" w:lineRule="exact"/>
        <w:rPr>
          <w:sz w:val="20"/>
          <w:szCs w:val="20"/>
          <w:color w:val="auto"/>
        </w:rPr>
      </w:pPr>
    </w:p>
    <w:p>
      <w:pPr>
        <w:ind w:left="1140" w:right="2800" w:hanging="376"/>
        <w:spacing w:after="0" w:line="203" w:lineRule="auto"/>
        <w:tabs>
          <w:tab w:leader="none" w:pos="1140" w:val="left"/>
        </w:tabs>
        <w:numPr>
          <w:ilvl w:val="0"/>
          <w:numId w:val="78"/>
        </w:numPr>
        <w:rPr>
          <w:rFonts w:ascii="Arial" w:cs="Arial" w:eastAsia="Arial" w:hAnsi="Arial"/>
          <w:sz w:val="24"/>
          <w:szCs w:val="24"/>
          <w:color w:val="auto"/>
          <w:vertAlign w:val="superscript"/>
        </w:rPr>
      </w:pPr>
      <w:r>
        <w:rPr>
          <w:rFonts w:ascii="Arial" w:cs="Arial" w:eastAsia="Arial" w:hAnsi="Arial"/>
          <w:sz w:val="16"/>
          <w:szCs w:val="16"/>
          <w:color w:val="auto"/>
        </w:rPr>
        <w:t>Exxon Mobil Corporation Form 10-K for the fiscal year ended December 31, 2021, p. 86. https://www.sec.gov/Archives/edgar/data/34088/000003408822000011/xom-20211231.htm</w:t>
      </w:r>
    </w:p>
    <w:p>
      <w:pPr>
        <w:spacing w:after="0" w:line="1" w:lineRule="exact"/>
        <w:rPr>
          <w:sz w:val="20"/>
          <w:szCs w:val="20"/>
          <w:color w:val="auto"/>
        </w:rPr>
      </w:pPr>
    </w:p>
    <w:p>
      <w:pPr>
        <w:ind w:left="1140" w:right="80" w:hanging="376"/>
        <w:spacing w:after="0" w:line="197" w:lineRule="auto"/>
        <w:tabs>
          <w:tab w:leader="none" w:pos="1140" w:val="left"/>
        </w:tabs>
        <w:numPr>
          <w:ilvl w:val="0"/>
          <w:numId w:val="79"/>
        </w:numPr>
        <w:rPr>
          <w:rFonts w:ascii="Arial" w:cs="Arial" w:eastAsia="Arial" w:hAnsi="Arial"/>
          <w:sz w:val="24"/>
          <w:szCs w:val="24"/>
          <w:color w:val="auto"/>
          <w:vertAlign w:val="superscript"/>
        </w:rPr>
      </w:pPr>
      <w:r>
        <w:rPr>
          <w:rFonts w:ascii="Arial" w:cs="Arial" w:eastAsia="Arial" w:hAnsi="Arial"/>
          <w:sz w:val="16"/>
          <w:szCs w:val="16"/>
          <w:color w:val="auto"/>
        </w:rPr>
        <w:t>bp Annual Report and Form 20-F 2021, p. 191. https://www.sec.gov/Archives/edgar/data/0000313807/000031380722000012/bp-20211231.htm</w:t>
      </w:r>
    </w:p>
    <w:p>
      <w:pPr>
        <w:ind w:left="1140" w:right="180" w:hanging="376"/>
        <w:spacing w:after="0" w:line="204" w:lineRule="auto"/>
        <w:tabs>
          <w:tab w:leader="none" w:pos="1140" w:val="left"/>
        </w:tabs>
        <w:numPr>
          <w:ilvl w:val="0"/>
          <w:numId w:val="80"/>
        </w:numPr>
        <w:rPr>
          <w:rFonts w:ascii="Arial" w:cs="Arial" w:eastAsia="Arial" w:hAnsi="Arial"/>
          <w:sz w:val="24"/>
          <w:szCs w:val="24"/>
          <w:color w:val="auto"/>
          <w:vertAlign w:val="superscript"/>
        </w:rPr>
      </w:pPr>
      <w:r>
        <w:rPr>
          <w:rFonts w:ascii="Arial" w:cs="Arial" w:eastAsia="Arial" w:hAnsi="Arial"/>
          <w:sz w:val="16"/>
          <w:szCs w:val="16"/>
          <w:color w:val="auto"/>
        </w:rPr>
        <w:t>Shell plc Form 20-F, 2021, p. 222, 245 and 256. https://www.sec.gov/Archives/edgar/data/1306965/000130696522000012/shel-20211231.htm”</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The Board carefully considered this proposal and recommends you vote AGAINST it for the following reasons:</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This is one of 10 new reports requested by proponents at this annual shareholder meeting.</w:t>
      </w:r>
    </w:p>
    <w:p>
      <w:pPr>
        <w:spacing w:after="0" w:line="212" w:lineRule="exact"/>
        <w:rPr>
          <w:sz w:val="20"/>
          <w:szCs w:val="20"/>
          <w:color w:val="auto"/>
        </w:rPr>
      </w:pPr>
    </w:p>
    <w:p>
      <w:pPr>
        <w:ind w:left="760" w:right="400"/>
        <w:spacing w:after="0" w:line="247" w:lineRule="auto"/>
        <w:rPr>
          <w:sz w:val="20"/>
          <w:szCs w:val="20"/>
          <w:color w:val="auto"/>
        </w:rPr>
      </w:pPr>
      <w:r>
        <w:rPr>
          <w:rFonts w:ascii="Arial" w:cs="Arial" w:eastAsia="Arial" w:hAnsi="Arial"/>
          <w:sz w:val="18"/>
          <w:szCs w:val="18"/>
          <w:color w:val="auto"/>
        </w:rPr>
        <w:t>ExxonMobil’s Advancing Climate Solutions 2023 Progress Report, discussed with this proponent, contains a detailed account of our most recent resiliency modeling and expands disclosures on this topic in direct response to previous requests from shareholders. As a result, the proponent’s request for this narrow, prescriptive additional disclosure is unnecessary.</w:t>
      </w:r>
    </w:p>
    <w:p>
      <w:pPr>
        <w:spacing w:after="0" w:line="174" w:lineRule="exact"/>
        <w:rPr>
          <w:sz w:val="20"/>
          <w:szCs w:val="20"/>
          <w:color w:val="auto"/>
        </w:rPr>
      </w:pPr>
    </w:p>
    <w:p>
      <w:pPr>
        <w:ind w:left="760" w:right="280"/>
        <w:spacing w:after="0" w:line="242" w:lineRule="auto"/>
        <w:rPr>
          <w:sz w:val="20"/>
          <w:szCs w:val="20"/>
          <w:color w:val="auto"/>
        </w:rPr>
      </w:pPr>
      <w:r>
        <w:rPr>
          <w:rFonts w:ascii="Arial" w:cs="Arial" w:eastAsia="Arial" w:hAnsi="Arial"/>
          <w:sz w:val="18"/>
          <w:szCs w:val="18"/>
          <w:color w:val="auto"/>
        </w:rPr>
        <w:t>It is not reasonable to require us to arbitrarily establish asset retirement obligations for assets with indeterminate lives, contrary to our International Energy Agency Net Zero Emissions by 2050 (IEA NZE) scenario analysis. The proposal seeks to replace our thoughtful, data-based approach to the analysis with the proponent’s expectations for the energy transition or with strategies that peers are pursuing to shrink or exit businesses. We believe this is inappropriate, is not reflective of how we expect to manage our assets as the energy transition progresses, and would result in misleading disclosure. This would not serve the interests of our shareholders.</w:t>
      </w:r>
    </w:p>
    <w:p>
      <w:pPr>
        <w:spacing w:after="0" w:line="179" w:lineRule="exact"/>
        <w:rPr>
          <w:sz w:val="20"/>
          <w:szCs w:val="20"/>
          <w:color w:val="auto"/>
        </w:rPr>
      </w:pPr>
    </w:p>
    <w:p>
      <w:pPr>
        <w:ind w:left="760" w:right="20"/>
        <w:spacing w:after="0"/>
        <w:rPr>
          <w:sz w:val="20"/>
          <w:szCs w:val="20"/>
          <w:color w:val="auto"/>
        </w:rPr>
      </w:pPr>
      <w:r>
        <w:rPr>
          <w:rFonts w:ascii="Arial" w:cs="Arial" w:eastAsia="Arial" w:hAnsi="Arial"/>
          <w:sz w:val="18"/>
          <w:szCs w:val="18"/>
          <w:color w:val="auto"/>
        </w:rPr>
        <w:t>For background, our most recent resiliency modeling, which was subject to a quality-assurance audit by an independent third-party, describes our approach to scenario analysis and the robustness of our business and assets through an aggressive energy transition scenario. As requested by the prior proposal, it was conducted using the assumptions provided by the IEA NZE scenario. It is important to note that the IEA acknowledges that society is not on an IEA NZE pathway, and that the IEA NZE scenario assumes unprecedented energy efficiency gains, innovation and technology transfer, lower-emission investments, and globally coordinated greenhouse gas reduction policy by governments. Further, under that scenario, oil and natural gas remain an important part of the supply mix at least through 2050.</w:t>
      </w:r>
    </w:p>
    <w:p>
      <w:pPr>
        <w:spacing w:after="0" w:line="185" w:lineRule="exact"/>
        <w:rPr>
          <w:sz w:val="20"/>
          <w:szCs w:val="20"/>
          <w:color w:val="auto"/>
        </w:rPr>
      </w:pPr>
    </w:p>
    <w:p>
      <w:pPr>
        <w:ind w:left="760" w:right="100"/>
        <w:spacing w:after="0" w:line="239" w:lineRule="auto"/>
        <w:rPr>
          <w:sz w:val="20"/>
          <w:szCs w:val="20"/>
          <w:color w:val="auto"/>
        </w:rPr>
      </w:pPr>
      <w:r>
        <w:rPr>
          <w:rFonts w:ascii="Arial" w:cs="Arial" w:eastAsia="Arial" w:hAnsi="Arial"/>
          <w:sz w:val="18"/>
          <w:szCs w:val="18"/>
          <w:color w:val="auto"/>
        </w:rPr>
        <w:t>The Advancing Climate Solutions 2023 Progress Report makes clear that assets with a low cost of supply, like those in our portfolio, will be needed to meet society’s needs. In particular, assets with shorter production cycles, such as unconventional developments in the Permian Basin, and a lower cost of supply, like deepwater production in Guyana, would continue to attract capital and generate competitive returns under a multitude of different scenarios, including the IEA NZE scenario. The future value and flexibility of individual assets in our portfolio vary based on their type, location, and other characteristics that respond differently to global and regional economic signals, technology evolution, commodity prices, government policies, and many other variables. As a result, the life span of many of our refineries and chemical plants is indeterminate. Market conditions as described in the IEA NZE scenario do not necessarily make an individual asset obsolete.</w:t>
      </w:r>
    </w:p>
    <w:p>
      <w:pPr>
        <w:spacing w:after="0" w:line="183" w:lineRule="exact"/>
        <w:rPr>
          <w:sz w:val="20"/>
          <w:szCs w:val="20"/>
          <w:color w:val="auto"/>
        </w:rPr>
      </w:pPr>
    </w:p>
    <w:p>
      <w:pPr>
        <w:ind w:left="760" w:right="180"/>
        <w:spacing w:after="0" w:line="244" w:lineRule="auto"/>
        <w:rPr>
          <w:sz w:val="20"/>
          <w:szCs w:val="20"/>
          <w:color w:val="auto"/>
        </w:rPr>
      </w:pPr>
      <w:r>
        <w:rPr>
          <w:rFonts w:ascii="Arial" w:cs="Arial" w:eastAsia="Arial" w:hAnsi="Arial"/>
          <w:sz w:val="18"/>
          <w:szCs w:val="18"/>
          <w:color w:val="auto"/>
        </w:rPr>
        <w:t>As with any business, we incur retirement obligations for certain assets, and to the extent the timing of these can be reasonably estimated, we record on our balance sheet the fair value of those obligations on a discounted basis. Asset retirement obligations for other types of assets, such as refineries and chemical plants, cannot be reasonably estimated because they have indeterminate life spans, based on plans for continued operations. Those assets, by design, provide greater optionality and lend themselves to the possibility of other use.</w:t>
      </w:r>
    </w:p>
    <w:p>
      <w:pPr>
        <w:spacing w:after="0" w:line="176" w:lineRule="exact"/>
        <w:rPr>
          <w:sz w:val="20"/>
          <w:szCs w:val="20"/>
          <w:color w:val="auto"/>
        </w:rPr>
      </w:pPr>
    </w:p>
    <w:p>
      <w:pPr>
        <w:ind w:left="760"/>
        <w:spacing w:after="0" w:line="242" w:lineRule="auto"/>
        <w:rPr>
          <w:sz w:val="20"/>
          <w:szCs w:val="20"/>
          <w:color w:val="auto"/>
        </w:rPr>
      </w:pPr>
      <w:r>
        <w:rPr>
          <w:rFonts w:ascii="Arial" w:cs="Arial" w:eastAsia="Arial" w:hAnsi="Arial"/>
          <w:sz w:val="18"/>
          <w:szCs w:val="18"/>
          <w:color w:val="auto"/>
        </w:rPr>
        <w:t>More than 75 percent of our refining and chemical manufacturing capacity is co-located in large, integrated sites that have the flexibility to shift product yield to best meet society’s evolving needs. As demand for conventional road transport fuels declines, select assets can be repurposed to manufacture high-value products including chemicals, lubricants, and lower-emission fuels. Less-advantaged, non-integrated refineries could be converted to terminals or sold. Under the IEA NZE scenario, the market for chemical products continues to grow, in part supported by their greenhouse gas benefits and lower cost compared to alternatives. Further, we are investing in technologies and</w:t>
      </w:r>
    </w:p>
    <w:p>
      <w:pPr>
        <w:spacing w:after="0" w:line="91"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92</w:t>
      </w:r>
      <w:r>
        <w:rPr>
          <w:sz w:val="20"/>
          <w:szCs w:val="20"/>
          <w:color w:val="auto"/>
        </w:rPr>
        <w:tab/>
      </w:r>
      <w:r>
        <w:rPr>
          <w:sz w:val="1"/>
          <w:szCs w:val="1"/>
          <w:color w:val="auto"/>
        </w:rPr>
        <w:drawing>
          <wp:inline distT="0" distB="0" distL="0" distR="0">
            <wp:extent cx="737235" cy="145415"/>
            <wp:effectExtent l="0" t="0" r="0" b="0"/>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2023 Proxy Statement</w:t>
      </w:r>
    </w:p>
    <w:p>
      <w:pPr>
        <w:sectPr>
          <w:pgSz w:w="11900" w:h="16838" w:orient="portrait"/>
          <w:cols w:equalWidth="0" w:num="1">
            <w:col w:w="10440"/>
          </w:cols>
          <w:pgMar w:left="320" w:top="482" w:right="11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760" w:right="240"/>
        <w:spacing w:after="0" w:line="253" w:lineRule="auto"/>
        <w:rPr>
          <w:sz w:val="20"/>
          <w:szCs w:val="20"/>
          <w:color w:val="auto"/>
        </w:rPr>
      </w:pPr>
      <w:r>
        <w:rPr>
          <w:rFonts w:ascii="Arial" w:cs="Arial" w:eastAsia="Arial" w:hAnsi="Arial"/>
          <w:sz w:val="18"/>
          <w:szCs w:val="18"/>
          <w:color w:val="auto"/>
        </w:rPr>
        <w:t>capabilities to change our product mix as market demand changes. We continue to improve our portfolio, focusing investments on those major assets in advantaged locations, including locations with low cost of supply and with sound, comprehensive carbon policy.</w:t>
      </w:r>
    </w:p>
    <w:p>
      <w:pPr>
        <w:spacing w:after="0" w:line="169" w:lineRule="exact"/>
        <w:rPr>
          <w:sz w:val="20"/>
          <w:szCs w:val="20"/>
          <w:color w:val="auto"/>
        </w:rPr>
      </w:pPr>
    </w:p>
    <w:p>
      <w:pPr>
        <w:ind w:left="760" w:right="420"/>
        <w:spacing w:after="0" w:line="247" w:lineRule="auto"/>
        <w:rPr>
          <w:sz w:val="20"/>
          <w:szCs w:val="20"/>
          <w:color w:val="auto"/>
        </w:rPr>
      </w:pPr>
      <w:r>
        <w:rPr>
          <w:rFonts w:ascii="Arial" w:cs="Arial" w:eastAsia="Arial" w:hAnsi="Arial"/>
          <w:sz w:val="18"/>
          <w:szCs w:val="18"/>
          <w:color w:val="auto"/>
        </w:rPr>
        <w:t>Our investments in North America, China, and Singapore will help meet demand for products with lower life-cycle emissions, and the flexibility of our sites will allow us to change as society’s needs evolve. This is consistent with our strategy and the flexibility we have to repurpose assets in a changing market environment. It would therefore be premature and inappropriate to assume specific asset-life limitations even under the IEA NZE scenario.</w:t>
      </w:r>
    </w:p>
    <w:p>
      <w:pPr>
        <w:spacing w:after="0" w:line="174" w:lineRule="exact"/>
        <w:rPr>
          <w:sz w:val="20"/>
          <w:szCs w:val="20"/>
          <w:color w:val="auto"/>
        </w:rPr>
      </w:pPr>
    </w:p>
    <w:p>
      <w:pPr>
        <w:jc w:val="both"/>
        <w:ind w:left="760" w:right="40"/>
        <w:spacing w:after="0" w:line="253" w:lineRule="auto"/>
        <w:rPr>
          <w:sz w:val="20"/>
          <w:szCs w:val="20"/>
          <w:color w:val="auto"/>
        </w:rPr>
      </w:pPr>
      <w:r>
        <w:rPr>
          <w:rFonts w:ascii="Arial" w:cs="Arial" w:eastAsia="Arial" w:hAnsi="Arial"/>
          <w:sz w:val="18"/>
          <w:szCs w:val="18"/>
          <w:color w:val="auto"/>
        </w:rPr>
        <w:t>To be clear, our recently updated resiliency disclosures, which were made in response to shareholder feedback, describe the flexibility we have to change the product mix in our integrated, petrochemical assets to extend their useful lives as the energy transition evolves.</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The Board recommends that shareholders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this proposal.</w:t>
      </w:r>
    </w:p>
    <w:p>
      <w:pPr>
        <w:spacing w:after="0" w:line="200" w:lineRule="exact"/>
        <w:rPr>
          <w:sz w:val="20"/>
          <w:szCs w:val="20"/>
          <w:color w:val="auto"/>
        </w:rPr>
      </w:pPr>
    </w:p>
    <w:p>
      <w:pPr>
        <w:spacing w:after="0" w:line="223"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Item 13 – Report on Plastics Under SCS Scenario</w:t>
      </w:r>
    </w:p>
    <w:p>
      <w:pPr>
        <w:spacing w:after="0" w:line="99" w:lineRule="exact"/>
        <w:rPr>
          <w:sz w:val="20"/>
          <w:szCs w:val="20"/>
          <w:color w:val="auto"/>
        </w:rPr>
      </w:pPr>
    </w:p>
    <w:p>
      <w:pPr>
        <w:ind w:left="760" w:right="380"/>
        <w:spacing w:after="0" w:line="271" w:lineRule="auto"/>
        <w:rPr>
          <w:sz w:val="20"/>
          <w:szCs w:val="20"/>
          <w:color w:val="auto"/>
        </w:rPr>
      </w:pPr>
      <w:r>
        <w:rPr>
          <w:rFonts w:ascii="Arial" w:cs="Arial" w:eastAsia="Arial" w:hAnsi="Arial"/>
          <w:sz w:val="18"/>
          <w:szCs w:val="18"/>
          <w:color w:val="auto"/>
        </w:rPr>
        <w:t>This proposal was submitted by Meyer Memorial Trust (S), 2020 Milvia St., Suite 500, Berkeley, California 94704, the beneficial owner of 11,225 shares for at least one year.</w:t>
      </w:r>
    </w:p>
    <w:p>
      <w:pPr>
        <w:spacing w:after="0" w:line="154" w:lineRule="exact"/>
        <w:rPr>
          <w:sz w:val="20"/>
          <w:szCs w:val="20"/>
          <w:color w:val="auto"/>
        </w:rPr>
      </w:pPr>
    </w:p>
    <w:p>
      <w:pPr>
        <w:ind w:left="760" w:right="240"/>
        <w:spacing w:after="0" w:line="20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WHEREAS:</w:t>
      </w:r>
      <w:r>
        <w:rPr>
          <w:rFonts w:ascii="Arial" w:cs="Arial" w:eastAsia="Arial" w:hAnsi="Arial"/>
          <w:sz w:val="18"/>
          <w:szCs w:val="18"/>
          <w:color w:val="auto"/>
        </w:rPr>
        <w:t xml:space="preserve"> Plastics, with a lifecycle social cost at least ten times higher than its market price, actively threatens the world’s oceans, wildlife, and public health.</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Concern about the growing scale and impact of global plastic pollution has elevated the issue to crisis levels.</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Of particular concern are single-use plastics (SUPs)</w:t>
      </w:r>
      <w:r>
        <w:rPr>
          <w:rFonts w:ascii="Arial" w:cs="Arial" w:eastAsia="Arial" w:hAnsi="Arial"/>
          <w:sz w:val="26"/>
          <w:szCs w:val="26"/>
          <w:color w:val="auto"/>
          <w:vertAlign w:val="superscript"/>
        </w:rPr>
        <w:t>3</w:t>
      </w:r>
      <w:r>
        <w:rPr>
          <w:rFonts w:ascii="Arial" w:cs="Arial" w:eastAsia="Arial" w:hAnsi="Arial"/>
          <w:sz w:val="18"/>
          <w:szCs w:val="18"/>
          <w:color w:val="auto"/>
        </w:rPr>
        <w:t xml:space="preserve"> which make up the largest component of the 11 million metric tons of plastic ending up in waterways annually.</w:t>
      </w:r>
      <w:r>
        <w:rPr>
          <w:rFonts w:ascii="Arial" w:cs="Arial" w:eastAsia="Arial" w:hAnsi="Arial"/>
          <w:sz w:val="26"/>
          <w:szCs w:val="26"/>
          <w:color w:val="auto"/>
          <w:vertAlign w:val="superscript"/>
        </w:rPr>
        <w:t>4</w:t>
      </w:r>
      <w:r>
        <w:rPr>
          <w:rFonts w:ascii="Arial" w:cs="Arial" w:eastAsia="Arial" w:hAnsi="Arial"/>
          <w:sz w:val="18"/>
          <w:szCs w:val="18"/>
          <w:color w:val="auto"/>
        </w:rPr>
        <w:t xml:space="preserve"> Without drastic action, this amount could triple by 2040.</w:t>
      </w:r>
      <w:r>
        <w:rPr>
          <w:rFonts w:ascii="Arial" w:cs="Arial" w:eastAsia="Arial" w:hAnsi="Arial"/>
          <w:sz w:val="26"/>
          <w:szCs w:val="26"/>
          <w:color w:val="auto"/>
          <w:vertAlign w:val="superscript"/>
        </w:rPr>
        <w:t>5</w:t>
      </w:r>
    </w:p>
    <w:p>
      <w:pPr>
        <w:spacing w:after="0" w:line="54" w:lineRule="exact"/>
        <w:rPr>
          <w:sz w:val="20"/>
          <w:szCs w:val="20"/>
          <w:color w:val="auto"/>
        </w:rPr>
      </w:pPr>
    </w:p>
    <w:p>
      <w:pPr>
        <w:ind w:left="760" w:right="20"/>
        <w:spacing w:after="0" w:line="289" w:lineRule="auto"/>
        <w:rPr>
          <w:sz w:val="20"/>
          <w:szCs w:val="20"/>
          <w:color w:val="auto"/>
        </w:rPr>
      </w:pPr>
      <w:r>
        <w:rPr>
          <w:rFonts w:ascii="Arial" w:cs="Arial" w:eastAsia="Arial" w:hAnsi="Arial"/>
          <w:sz w:val="18"/>
          <w:szCs w:val="18"/>
          <w:color w:val="auto"/>
        </w:rPr>
        <w:t>In response to the plastic pollution crisis, countries and major packaging brands are beginning to drive reductions in virgin plastic use.</w:t>
      </w:r>
      <w:r>
        <w:rPr>
          <w:rFonts w:ascii="Arial" w:cs="Arial" w:eastAsia="Arial" w:hAnsi="Arial"/>
          <w:sz w:val="26"/>
          <w:szCs w:val="26"/>
          <w:color w:val="auto"/>
          <w:vertAlign w:val="superscript"/>
        </w:rPr>
        <w:t>6,7</w:t>
      </w:r>
    </w:p>
    <w:p>
      <w:pPr>
        <w:spacing w:after="0" w:line="12" w:lineRule="exact"/>
        <w:rPr>
          <w:sz w:val="20"/>
          <w:szCs w:val="20"/>
          <w:color w:val="auto"/>
        </w:rPr>
      </w:pPr>
    </w:p>
    <w:p>
      <w:pPr>
        <w:ind w:left="760" w:right="40"/>
        <w:spacing w:after="0" w:line="230" w:lineRule="auto"/>
        <w:rPr>
          <w:sz w:val="20"/>
          <w:szCs w:val="20"/>
          <w:color w:val="auto"/>
        </w:rPr>
      </w:pPr>
      <w:r>
        <w:rPr>
          <w:rFonts w:ascii="Arial" w:cs="Arial" w:eastAsia="Arial" w:hAnsi="Arial"/>
          <w:sz w:val="18"/>
          <w:szCs w:val="18"/>
          <w:color w:val="auto"/>
        </w:rPr>
        <w:t>Several studies demonstrate that a significant absolute reduction in virgin plastic demand is critical to curbing the flow of plastic into oceans.</w:t>
      </w:r>
      <w:r>
        <w:rPr>
          <w:rFonts w:ascii="Arial" w:cs="Arial" w:eastAsia="Arial" w:hAnsi="Arial"/>
          <w:sz w:val="26"/>
          <w:szCs w:val="26"/>
          <w:color w:val="auto"/>
          <w:vertAlign w:val="superscript"/>
        </w:rPr>
        <w:t>8</w:t>
      </w:r>
      <w:r>
        <w:rPr>
          <w:rFonts w:ascii="Arial" w:cs="Arial" w:eastAsia="Arial" w:hAnsi="Arial"/>
          <w:sz w:val="18"/>
          <w:szCs w:val="18"/>
          <w:color w:val="auto"/>
        </w:rPr>
        <w:t xml:space="preserve"> One of the most robust reduction pathways is presented in the widely-respected report, </w:t>
      </w:r>
      <w:r>
        <w:rPr>
          <w:rFonts w:ascii="Arial" w:cs="Arial" w:eastAsia="Arial" w:hAnsi="Arial"/>
          <w:sz w:val="18"/>
          <w:szCs w:val="18"/>
          <w:i w:val="1"/>
          <w:iCs w:val="1"/>
          <w:color w:val="auto"/>
        </w:rPr>
        <w:t>Breaking the</w:t>
      </w:r>
      <w:r>
        <w:rPr>
          <w:rFonts w:ascii="Arial" w:cs="Arial" w:eastAsia="Arial" w:hAnsi="Arial"/>
          <w:sz w:val="18"/>
          <w:szCs w:val="18"/>
          <w:color w:val="auto"/>
        </w:rPr>
        <w:t xml:space="preserve"> </w:t>
      </w:r>
      <w:r>
        <w:rPr>
          <w:rFonts w:ascii="Arial" w:cs="Arial" w:eastAsia="Arial" w:hAnsi="Arial"/>
          <w:sz w:val="18"/>
          <w:szCs w:val="18"/>
          <w:i w:val="1"/>
          <w:iCs w:val="1"/>
          <w:color w:val="auto"/>
        </w:rPr>
        <w:t>Plastic Wave</w:t>
      </w:r>
      <w:r>
        <w:rPr>
          <w:rFonts w:ascii="Arial" w:cs="Arial" w:eastAsia="Arial" w:hAnsi="Arial"/>
          <w:sz w:val="18"/>
          <w:szCs w:val="18"/>
          <w:color w:val="auto"/>
        </w:rPr>
        <w:t>, which found that plastic leakage into the ocean can be feasibly reduced by 80% under its System Change</w:t>
      </w:r>
      <w:r>
        <w:rPr>
          <w:rFonts w:ascii="Arial" w:cs="Arial" w:eastAsia="Arial" w:hAnsi="Arial"/>
          <w:sz w:val="18"/>
          <w:szCs w:val="18"/>
          <w:i w:val="1"/>
          <w:iCs w:val="1"/>
          <w:color w:val="auto"/>
        </w:rPr>
        <w:t xml:space="preserve"> </w:t>
      </w:r>
      <w:r>
        <w:rPr>
          <w:rFonts w:ascii="Arial" w:cs="Arial" w:eastAsia="Arial" w:hAnsi="Arial"/>
          <w:sz w:val="18"/>
          <w:szCs w:val="18"/>
          <w:color w:val="auto"/>
        </w:rPr>
        <w:t>Scenario (SCS), which is based on a significant absolute reduction of virgin SUPs.</w:t>
      </w:r>
      <w:r>
        <w:rPr>
          <w:rFonts w:ascii="Arial" w:cs="Arial" w:eastAsia="Arial" w:hAnsi="Arial"/>
          <w:sz w:val="26"/>
          <w:szCs w:val="26"/>
          <w:color w:val="auto"/>
          <w:vertAlign w:val="superscript"/>
        </w:rPr>
        <w:t>9,10</w:t>
      </w:r>
    </w:p>
    <w:p>
      <w:pPr>
        <w:spacing w:after="0" w:line="56" w:lineRule="exact"/>
        <w:rPr>
          <w:sz w:val="20"/>
          <w:szCs w:val="20"/>
          <w:color w:val="auto"/>
        </w:rPr>
      </w:pPr>
    </w:p>
    <w:p>
      <w:pPr>
        <w:ind w:left="760" w:right="160"/>
        <w:spacing w:after="0" w:line="289" w:lineRule="auto"/>
        <w:rPr>
          <w:sz w:val="20"/>
          <w:szCs w:val="20"/>
          <w:color w:val="auto"/>
        </w:rPr>
      </w:pPr>
      <w:r>
        <w:rPr>
          <w:rFonts w:ascii="Arial" w:cs="Arial" w:eastAsia="Arial" w:hAnsi="Arial"/>
          <w:sz w:val="18"/>
          <w:szCs w:val="18"/>
          <w:color w:val="auto"/>
        </w:rPr>
        <w:t xml:space="preserve">BP has recognized the potential disruption that global SUP reductions could have on the oil industry in its </w:t>
      </w:r>
      <w:r>
        <w:rPr>
          <w:rFonts w:ascii="Arial" w:cs="Arial" w:eastAsia="Arial" w:hAnsi="Arial"/>
          <w:sz w:val="18"/>
          <w:szCs w:val="18"/>
          <w:i w:val="1"/>
          <w:iCs w:val="1"/>
          <w:color w:val="auto"/>
        </w:rPr>
        <w:t>2019 Outlook</w:t>
      </w:r>
      <w:r>
        <w:rPr>
          <w:rFonts w:ascii="Arial" w:cs="Arial" w:eastAsia="Arial" w:hAnsi="Arial"/>
          <w:sz w:val="18"/>
          <w:szCs w:val="18"/>
          <w:color w:val="auto"/>
        </w:rPr>
        <w:t>, where it found a global SUP ban by 2040 would reduce oil demand growth by 60%.</w:t>
      </w:r>
      <w:r>
        <w:rPr>
          <w:rFonts w:ascii="Arial" w:cs="Arial" w:eastAsia="Arial" w:hAnsi="Arial"/>
          <w:sz w:val="26"/>
          <w:szCs w:val="26"/>
          <w:color w:val="auto"/>
          <w:vertAlign w:val="superscript"/>
        </w:rPr>
        <w:t>11</w:t>
      </w:r>
    </w:p>
    <w:p>
      <w:pPr>
        <w:spacing w:after="0" w:line="12" w:lineRule="exact"/>
        <w:rPr>
          <w:sz w:val="20"/>
          <w:szCs w:val="20"/>
          <w:color w:val="auto"/>
        </w:rPr>
      </w:pPr>
    </w:p>
    <w:p>
      <w:pPr>
        <w:ind w:left="760"/>
        <w:spacing w:after="0" w:line="257" w:lineRule="auto"/>
        <w:rPr>
          <w:sz w:val="20"/>
          <w:szCs w:val="20"/>
          <w:color w:val="auto"/>
        </w:rPr>
      </w:pPr>
      <w:r>
        <w:rPr>
          <w:rFonts w:ascii="Arial" w:cs="Arial" w:eastAsia="Arial" w:hAnsi="Arial"/>
          <w:sz w:val="18"/>
          <w:szCs w:val="18"/>
          <w:color w:val="auto"/>
        </w:rPr>
        <w:t>The future under the SCS – one built on recycled plastics and circular business models – looks drastically different than today’s linear take-make-waste production model. Several implications of the SCS, including a one-third absolute demand reduction (mostly of virgin SUPs) and immediate reduction of new investment in virgin production, are at odds with Exxon’s planned investments.</w:t>
      </w:r>
      <w:r>
        <w:rPr>
          <w:rFonts w:ascii="Arial" w:cs="Arial" w:eastAsia="Arial" w:hAnsi="Arial"/>
          <w:sz w:val="26"/>
          <w:szCs w:val="26"/>
          <w:color w:val="auto"/>
          <w:vertAlign w:val="superscript"/>
        </w:rPr>
        <w:t>12</w:t>
      </w:r>
    </w:p>
    <w:p>
      <w:pPr>
        <w:spacing w:after="0" w:line="41" w:lineRule="exact"/>
        <w:rPr>
          <w:sz w:val="20"/>
          <w:szCs w:val="20"/>
          <w:color w:val="auto"/>
        </w:rPr>
      </w:pPr>
    </w:p>
    <w:p>
      <w:pPr>
        <w:jc w:val="both"/>
        <w:ind w:left="760" w:right="160"/>
        <w:spacing w:after="0" w:line="230" w:lineRule="auto"/>
        <w:rPr>
          <w:sz w:val="20"/>
          <w:szCs w:val="20"/>
          <w:color w:val="auto"/>
        </w:rPr>
      </w:pPr>
      <w:r>
        <w:rPr>
          <w:rFonts w:ascii="Arial" w:cs="Arial" w:eastAsia="Arial" w:hAnsi="Arial"/>
          <w:sz w:val="18"/>
          <w:szCs w:val="18"/>
          <w:color w:val="auto"/>
        </w:rPr>
        <w:t>Exxon was recently identified as the largest global producer of SUP-bound polymers (5.9 million metric tons in 2019, an estimated 50% of its total polymer production) and exposed for lobbying against plastic pollution laws.</w:t>
      </w:r>
      <w:r>
        <w:rPr>
          <w:rFonts w:ascii="Arial" w:cs="Arial" w:eastAsia="Arial" w:hAnsi="Arial"/>
          <w:sz w:val="26"/>
          <w:szCs w:val="26"/>
          <w:color w:val="auto"/>
          <w:vertAlign w:val="superscript"/>
        </w:rPr>
        <w:t>13,14</w:t>
      </w:r>
      <w:r>
        <w:rPr>
          <w:rFonts w:ascii="Arial" w:cs="Arial" w:eastAsia="Arial" w:hAnsi="Arial"/>
          <w:sz w:val="18"/>
          <w:szCs w:val="18"/>
          <w:color w:val="auto"/>
        </w:rPr>
        <w:t xml:space="preserve"> While Exxon states it is acting to ‘address plastic waste,’ it fails to meaningfully address the potential for regulatory restrictions and/or significant disruption in demand for virgin plastic, both of which could result in stranded assets.</w:t>
      </w:r>
      <w:r>
        <w:rPr>
          <w:rFonts w:ascii="Arial" w:cs="Arial" w:eastAsia="Arial" w:hAnsi="Arial"/>
          <w:sz w:val="26"/>
          <w:szCs w:val="26"/>
          <w:color w:val="auto"/>
          <w:vertAlign w:val="superscript"/>
        </w:rPr>
        <w:t>15,16</w:t>
      </w:r>
    </w:p>
    <w:p>
      <w:pPr>
        <w:spacing w:after="0" w:line="56" w:lineRule="exact"/>
        <w:rPr>
          <w:sz w:val="20"/>
          <w:szCs w:val="20"/>
          <w:color w:val="auto"/>
        </w:rPr>
      </w:pPr>
    </w:p>
    <w:p>
      <w:pPr>
        <w:ind w:left="760" w:right="440"/>
        <w:spacing w:after="0" w:line="247"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Shareholders request the Board issue an audited report addressing, at reasonable cost and omitting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proprietary information, whether and how a significant reduction in virgin plastic demand, as set forth in </w:t>
      </w:r>
      <w:r>
        <w:rPr>
          <w:rFonts w:ascii="Arial" w:cs="Arial" w:eastAsia="Arial" w:hAnsi="Arial"/>
          <w:sz w:val="18"/>
          <w:szCs w:val="18"/>
          <w:i w:val="1"/>
          <w:iCs w:val="1"/>
          <w:color w:val="auto"/>
        </w:rPr>
        <w:t>Breaking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Plastic Wave’s </w:t>
      </w:r>
      <w:r>
        <w:rPr>
          <w:rFonts w:ascii="Arial" w:cs="Arial" w:eastAsia="Arial" w:hAnsi="Arial"/>
          <w:sz w:val="18"/>
          <w:szCs w:val="18"/>
          <w:color w:val="auto"/>
        </w:rPr>
        <w:t>System Change Scenario for reducing ocean plastic pollution, would affect the Company’s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 and assumptions underlying its financial statements.</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SUPPORTING STATEMENT: </w:t>
      </w:r>
      <w:r>
        <w:rPr>
          <w:rFonts w:ascii="Arial" w:cs="Arial" w:eastAsia="Arial" w:hAnsi="Arial"/>
          <w:sz w:val="18"/>
          <w:szCs w:val="18"/>
          <w:color w:val="auto"/>
        </w:rPr>
        <w:t>Proponents recommend that, at Board discretion, the report include:</w:t>
      </w:r>
    </w:p>
    <w:p>
      <w:pPr>
        <w:spacing w:after="0" w:line="117" w:lineRule="exact"/>
        <w:rPr>
          <w:sz w:val="20"/>
          <w:szCs w:val="20"/>
          <w:color w:val="auto"/>
        </w:rPr>
      </w:pPr>
    </w:p>
    <w:p>
      <w:pPr>
        <w:ind w:left="1140" w:hanging="376"/>
        <w:spacing w:after="0"/>
        <w:tabs>
          <w:tab w:leader="none" w:pos="1140" w:val="left"/>
        </w:tabs>
        <w:numPr>
          <w:ilvl w:val="0"/>
          <w:numId w:val="81"/>
        </w:numPr>
        <w:rPr>
          <w:rFonts w:ascii="Times New Roman" w:cs="Times New Roman" w:eastAsia="Times New Roman" w:hAnsi="Times New Roman"/>
          <w:sz w:val="18"/>
          <w:szCs w:val="18"/>
          <w:color w:val="auto"/>
        </w:rPr>
      </w:pPr>
      <w:r>
        <w:rPr>
          <w:rFonts w:ascii="Arial" w:cs="Arial" w:eastAsia="Arial" w:hAnsi="Arial"/>
          <w:sz w:val="18"/>
          <w:szCs w:val="18"/>
          <w:color w:val="auto"/>
        </w:rPr>
        <w:t>Quantification (in tons and/or as a percentage of the total) of the Company’s polymer production for SUP markets;</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81"/>
        </w:numPr>
        <w:rPr>
          <w:rFonts w:ascii="Times New Roman" w:cs="Times New Roman" w:eastAsia="Times New Roman" w:hAnsi="Times New Roman"/>
          <w:sz w:val="18"/>
          <w:szCs w:val="18"/>
          <w:color w:val="auto"/>
        </w:rPr>
      </w:pPr>
      <w:r>
        <w:rPr>
          <w:rFonts w:ascii="Arial" w:cs="Arial" w:eastAsia="Arial" w:hAnsi="Arial"/>
          <w:sz w:val="18"/>
          <w:szCs w:val="18"/>
          <w:color w:val="auto"/>
        </w:rPr>
        <w:t>A summary or list of the Company’s existing and planned investments that may be materially impacted by the SCS;</w:t>
      </w:r>
    </w:p>
    <w:p>
      <w:pPr>
        <w:spacing w:after="0" w:line="155"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54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440"/>
          </w:cols>
          <w:pgMar w:left="320" w:top="482" w:right="11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140" w:right="80" w:hanging="376"/>
        <w:spacing w:after="0" w:line="270" w:lineRule="auto"/>
        <w:tabs>
          <w:tab w:leader="none" w:pos="1140" w:val="left"/>
        </w:tabs>
        <w:numPr>
          <w:ilvl w:val="0"/>
          <w:numId w:val="82"/>
        </w:numPr>
        <w:rPr>
          <w:rFonts w:ascii="Times New Roman" w:cs="Times New Roman" w:eastAsia="Times New Roman" w:hAnsi="Times New Roman"/>
          <w:sz w:val="18"/>
          <w:szCs w:val="18"/>
          <w:color w:val="auto"/>
        </w:rPr>
      </w:pPr>
      <w:r>
        <w:rPr>
          <w:rFonts w:ascii="Arial" w:cs="Arial" w:eastAsia="Arial" w:hAnsi="Arial"/>
          <w:sz w:val="18"/>
          <w:szCs w:val="18"/>
          <w:color w:val="auto"/>
        </w:rPr>
        <w:t>Plans or goals to shift Exxon’s business model from virgin to recycled plastics and use of recycling technologies that are cost-effective, process and energy efficient, and environmentally sound.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144145</wp:posOffset>
            </wp:positionV>
            <wp:extent cx="166306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172" w:lineRule="exact"/>
        <w:rPr>
          <w:sz w:val="20"/>
          <w:szCs w:val="20"/>
          <w:color w:val="auto"/>
        </w:rPr>
      </w:pPr>
    </w:p>
    <w:p>
      <w:pPr>
        <w:ind w:left="1140" w:hanging="376"/>
        <w:spacing w:after="0"/>
        <w:tabs>
          <w:tab w:leader="none" w:pos="1140" w:val="left"/>
        </w:tabs>
        <w:numPr>
          <w:ilvl w:val="0"/>
          <w:numId w:val="83"/>
        </w:numPr>
        <w:rPr>
          <w:rFonts w:ascii="Arial" w:cs="Arial" w:eastAsia="Arial" w:hAnsi="Arial"/>
          <w:sz w:val="24"/>
          <w:szCs w:val="24"/>
          <w:color w:val="auto"/>
          <w:vertAlign w:val="superscript"/>
        </w:rPr>
      </w:pPr>
      <w:r>
        <w:rPr>
          <w:rFonts w:ascii="Arial" w:cs="Arial" w:eastAsia="Arial" w:hAnsi="Arial"/>
          <w:sz w:val="16"/>
          <w:szCs w:val="16"/>
          <w:color w:val="auto"/>
        </w:rPr>
        <w:t>https://wwfint.awsassets.panda.org/downloads/wwf_pctsee_report_english.pdf</w:t>
      </w:r>
    </w:p>
    <w:p>
      <w:pPr>
        <w:ind w:left="1140" w:hanging="376"/>
        <w:spacing w:after="0" w:line="187" w:lineRule="auto"/>
        <w:tabs>
          <w:tab w:leader="none" w:pos="1140" w:val="left"/>
        </w:tabs>
        <w:numPr>
          <w:ilvl w:val="0"/>
          <w:numId w:val="84"/>
        </w:numPr>
        <w:rPr>
          <w:rFonts w:ascii="Arial" w:cs="Arial" w:eastAsia="Arial" w:hAnsi="Arial"/>
          <w:sz w:val="21"/>
          <w:szCs w:val="21"/>
          <w:color w:val="auto"/>
          <w:vertAlign w:val="superscript"/>
        </w:rPr>
      </w:pPr>
      <w:r>
        <w:rPr>
          <w:rFonts w:ascii="Arial" w:cs="Arial" w:eastAsia="Arial" w:hAnsi="Arial"/>
          <w:sz w:val="14"/>
          <w:szCs w:val="14"/>
          <w:color w:val="auto"/>
        </w:rPr>
        <w:t>https://www.unep.org/resources/pollution-solution-global-assessment-marine-litter-and-plastic-pollution</w:t>
      </w:r>
    </w:p>
    <w:p>
      <w:pPr>
        <w:ind w:left="1140" w:hanging="376"/>
        <w:spacing w:after="0" w:line="180" w:lineRule="auto"/>
        <w:tabs>
          <w:tab w:leader="none" w:pos="1140" w:val="left"/>
        </w:tabs>
        <w:numPr>
          <w:ilvl w:val="0"/>
          <w:numId w:val="85"/>
        </w:numPr>
        <w:rPr>
          <w:rFonts w:ascii="Arial" w:cs="Arial" w:eastAsia="Arial" w:hAnsi="Arial"/>
          <w:sz w:val="22"/>
          <w:szCs w:val="22"/>
          <w:color w:val="auto"/>
          <w:vertAlign w:val="superscript"/>
        </w:rPr>
      </w:pPr>
      <w:r>
        <w:rPr>
          <w:rFonts w:ascii="Arial" w:cs="Arial" w:eastAsia="Arial" w:hAnsi="Arial"/>
          <w:sz w:val="15"/>
          <w:szCs w:val="15"/>
          <w:color w:val="auto"/>
        </w:rPr>
        <w:t>https://eur-lex.europa.eu/legal-content/EN/TXT/PDF/?uri=CELEX:32019L0904&amp;from=EN#page=8</w:t>
      </w:r>
    </w:p>
    <w:p>
      <w:pPr>
        <w:ind w:left="1140" w:hanging="376"/>
        <w:spacing w:after="0" w:line="187" w:lineRule="auto"/>
        <w:tabs>
          <w:tab w:leader="none" w:pos="1140" w:val="left"/>
        </w:tabs>
        <w:numPr>
          <w:ilvl w:val="0"/>
          <w:numId w:val="86"/>
        </w:numPr>
        <w:rPr>
          <w:rFonts w:ascii="Arial" w:cs="Arial" w:eastAsia="Arial" w:hAnsi="Arial"/>
          <w:sz w:val="21"/>
          <w:szCs w:val="21"/>
          <w:color w:val="auto"/>
          <w:vertAlign w:val="superscript"/>
        </w:rPr>
      </w:pPr>
      <w:r>
        <w:rPr>
          <w:rFonts w:ascii="Arial" w:cs="Arial" w:eastAsia="Arial" w:hAnsi="Arial"/>
          <w:sz w:val="14"/>
          <w:szCs w:val="14"/>
          <w:color w:val="auto"/>
        </w:rPr>
        <w:t>https://www.minderoo.org/plastic-waste-makers-index/findings/executive-summary/</w:t>
      </w:r>
    </w:p>
    <w:p>
      <w:pPr>
        <w:ind w:left="1140" w:hanging="376"/>
        <w:spacing w:after="0" w:line="180" w:lineRule="auto"/>
        <w:tabs>
          <w:tab w:leader="none" w:pos="1140" w:val="left"/>
        </w:tabs>
        <w:numPr>
          <w:ilvl w:val="0"/>
          <w:numId w:val="87"/>
        </w:numPr>
        <w:rPr>
          <w:rFonts w:ascii="Arial" w:cs="Arial" w:eastAsia="Arial" w:hAnsi="Arial"/>
          <w:sz w:val="22"/>
          <w:szCs w:val="22"/>
          <w:color w:val="auto"/>
          <w:vertAlign w:val="superscript"/>
        </w:rPr>
      </w:pPr>
      <w:r>
        <w:rPr>
          <w:rFonts w:ascii="Arial" w:cs="Arial" w:eastAsia="Arial" w:hAnsi="Arial"/>
          <w:sz w:val="15"/>
          <w:szCs w:val="15"/>
          <w:color w:val="auto"/>
        </w:rPr>
        <w:t>https://www.nationalgeographic.com/science/article/plastic-trash-in-seas-will-nearly-triple-by-2040-if-nothing-done</w:t>
      </w:r>
    </w:p>
    <w:p>
      <w:pPr>
        <w:ind w:left="1140" w:hanging="376"/>
        <w:spacing w:after="0" w:line="188" w:lineRule="auto"/>
        <w:tabs>
          <w:tab w:leader="none" w:pos="1140" w:val="left"/>
        </w:tabs>
        <w:numPr>
          <w:ilvl w:val="0"/>
          <w:numId w:val="88"/>
        </w:numPr>
        <w:rPr>
          <w:rFonts w:ascii="Arial" w:cs="Arial" w:eastAsia="Arial" w:hAnsi="Arial"/>
          <w:sz w:val="21"/>
          <w:szCs w:val="21"/>
          <w:color w:val="auto"/>
          <w:vertAlign w:val="superscript"/>
        </w:rPr>
      </w:pPr>
      <w:r>
        <w:rPr>
          <w:rFonts w:ascii="Arial" w:cs="Arial" w:eastAsia="Arial" w:hAnsi="Arial"/>
          <w:sz w:val="14"/>
          <w:szCs w:val="14"/>
          <w:color w:val="auto"/>
        </w:rPr>
        <w:t>https://www.pbs.org/newshour/science/bold-single-use-plastic-ban-kicks-europes-plastic-purge-into-high-gear</w:t>
      </w:r>
    </w:p>
    <w:p>
      <w:pPr>
        <w:ind w:left="1140" w:hanging="376"/>
        <w:spacing w:after="0" w:line="187" w:lineRule="auto"/>
        <w:tabs>
          <w:tab w:leader="none" w:pos="1140" w:val="left"/>
        </w:tabs>
        <w:numPr>
          <w:ilvl w:val="0"/>
          <w:numId w:val="89"/>
        </w:numPr>
        <w:rPr>
          <w:rFonts w:ascii="Arial" w:cs="Arial" w:eastAsia="Arial" w:hAnsi="Arial"/>
          <w:sz w:val="21"/>
          <w:szCs w:val="21"/>
          <w:color w:val="auto"/>
          <w:vertAlign w:val="superscript"/>
        </w:rPr>
      </w:pPr>
      <w:r>
        <w:rPr>
          <w:rFonts w:ascii="Arial" w:cs="Arial" w:eastAsia="Arial" w:hAnsi="Arial"/>
          <w:sz w:val="14"/>
          <w:szCs w:val="14"/>
          <w:color w:val="auto"/>
        </w:rPr>
        <w:t>https://www.unilever.com/news/press-releases/2019/unilever-announces-ambitious-new-commitments-for-a-waste-free-world.html</w:t>
      </w:r>
    </w:p>
    <w:p>
      <w:pPr>
        <w:ind w:left="1140" w:hanging="376"/>
        <w:spacing w:after="0" w:line="183" w:lineRule="auto"/>
        <w:tabs>
          <w:tab w:leader="none" w:pos="1140" w:val="left"/>
        </w:tabs>
        <w:numPr>
          <w:ilvl w:val="0"/>
          <w:numId w:val="90"/>
        </w:numPr>
        <w:rPr>
          <w:rFonts w:ascii="Arial" w:cs="Arial" w:eastAsia="Arial" w:hAnsi="Arial"/>
          <w:sz w:val="22"/>
          <w:szCs w:val="22"/>
          <w:color w:val="auto"/>
          <w:vertAlign w:val="superscript"/>
        </w:rPr>
      </w:pPr>
      <w:r>
        <w:rPr>
          <w:rFonts w:ascii="Arial" w:cs="Arial" w:eastAsia="Arial" w:hAnsi="Arial"/>
          <w:sz w:val="15"/>
          <w:szCs w:val="15"/>
          <w:color w:val="auto"/>
        </w:rPr>
        <w:t>https://www.theguardian.com/environment/2021/jul/01/call-for-global-treaty-to-end-production-of-virgin-plastic-by-2040</w:t>
      </w:r>
    </w:p>
    <w:p>
      <w:pPr>
        <w:ind w:left="760"/>
        <w:spacing w:after="0"/>
        <w:rPr>
          <w:rFonts w:ascii="Arial" w:cs="Arial" w:eastAsia="Arial" w:hAnsi="Arial"/>
          <w:sz w:val="22"/>
          <w:szCs w:val="22"/>
          <w:color w:val="auto"/>
          <w:vertAlign w:val="superscript"/>
        </w:rPr>
      </w:pPr>
      <w:r>
        <w:rPr>
          <w:rFonts w:ascii="Arial" w:cs="Arial" w:eastAsia="Arial" w:hAnsi="Arial"/>
          <w:sz w:val="21"/>
          <w:szCs w:val="21"/>
          <w:color w:val="auto"/>
          <w:vertAlign w:val="superscript"/>
        </w:rPr>
        <w:t>9</w:t>
      </w:r>
      <w:r>
        <w:rPr>
          <w:rFonts w:ascii="Arial" w:cs="Arial" w:eastAsia="Arial" w:hAnsi="Arial"/>
          <w:sz w:val="16"/>
          <w:szCs w:val="16"/>
          <w:color w:val="auto"/>
        </w:rPr>
        <w:t>https://www.pewtrusts.org/-/media/assets/2020/07/breakingtheplasticwave_report.pdf</w:t>
      </w:r>
    </w:p>
    <w:p>
      <w:pPr>
        <w:ind w:left="760"/>
        <w:spacing w:after="0" w:line="187" w:lineRule="auto"/>
        <w:rPr>
          <w:rFonts w:ascii="Arial" w:cs="Arial" w:eastAsia="Arial" w:hAnsi="Arial"/>
          <w:sz w:val="22"/>
          <w:szCs w:val="22"/>
          <w:color w:val="auto"/>
          <w:vertAlign w:val="superscript"/>
        </w:rPr>
      </w:pPr>
      <w:r>
        <w:rPr>
          <w:rFonts w:ascii="Arial" w:cs="Arial" w:eastAsia="Arial" w:hAnsi="Arial"/>
          <w:sz w:val="21"/>
          <w:szCs w:val="21"/>
          <w:color w:val="auto"/>
          <w:vertAlign w:val="superscript"/>
        </w:rPr>
        <w:t>10</w:t>
      </w:r>
      <w:r>
        <w:rPr>
          <w:rFonts w:ascii="Arial" w:cs="Arial" w:eastAsia="Arial" w:hAnsi="Arial"/>
          <w:sz w:val="14"/>
          <w:szCs w:val="14"/>
          <w:color w:val="auto"/>
        </w:rPr>
        <w:t xml:space="preserve">    https://www.science.org/doi/full/10.1126/science.aba9475</w:t>
      </w:r>
    </w:p>
    <w:p>
      <w:pPr>
        <w:ind w:left="1140" w:right="1340" w:hanging="378"/>
        <w:spacing w:after="0" w:line="197" w:lineRule="auto"/>
        <w:rPr>
          <w:rFonts w:ascii="Arial" w:cs="Arial" w:eastAsia="Arial" w:hAnsi="Arial"/>
          <w:sz w:val="22"/>
          <w:szCs w:val="22"/>
          <w:color w:val="auto"/>
          <w:vertAlign w:val="superscript"/>
        </w:rPr>
      </w:pPr>
      <w:r>
        <w:rPr>
          <w:rFonts w:ascii="Arial" w:cs="Arial" w:eastAsia="Arial" w:hAnsi="Arial"/>
          <w:sz w:val="24"/>
          <w:szCs w:val="24"/>
          <w:color w:val="auto"/>
          <w:vertAlign w:val="superscript"/>
        </w:rPr>
        <w:t>11</w:t>
      </w:r>
      <w:r>
        <w:rPr>
          <w:rFonts w:ascii="Arial" w:cs="Arial" w:eastAsia="Arial" w:hAnsi="Arial"/>
          <w:sz w:val="16"/>
          <w:szCs w:val="16"/>
          <w:color w:val="auto"/>
        </w:rPr>
        <w:t xml:space="preserve"> https://www.bp.com/content/dam/bp/business-sites/en/global/corporate/pdfs/energy-economics/energy-outlook/ bp-energy-outlook-2019.pdf#page=18</w:t>
      </w:r>
    </w:p>
    <w:p>
      <w:pPr>
        <w:ind w:left="1140" w:right="740" w:hanging="378"/>
        <w:spacing w:after="0" w:line="197" w:lineRule="auto"/>
        <w:rPr>
          <w:rFonts w:ascii="Arial" w:cs="Arial" w:eastAsia="Arial" w:hAnsi="Arial"/>
          <w:sz w:val="22"/>
          <w:szCs w:val="22"/>
          <w:color w:val="auto"/>
          <w:vertAlign w:val="superscript"/>
        </w:rPr>
      </w:pPr>
      <w:r>
        <w:rPr>
          <w:rFonts w:ascii="Arial" w:cs="Arial" w:eastAsia="Arial" w:hAnsi="Arial"/>
          <w:sz w:val="24"/>
          <w:szCs w:val="24"/>
          <w:color w:val="auto"/>
          <w:vertAlign w:val="superscript"/>
        </w:rPr>
        <w:t>12</w:t>
      </w:r>
      <w:r>
        <w:rPr>
          <w:rFonts w:ascii="Arial" w:cs="Arial" w:eastAsia="Arial" w:hAnsi="Arial"/>
          <w:sz w:val="16"/>
          <w:szCs w:val="16"/>
          <w:color w:val="auto"/>
        </w:rPr>
        <w:t xml:space="preserve"> https://www.bloomberg.com/news/articles/2019-06-13/exxon-sabic-greenlight-new-texas-plant-to-process-shale-output? sref=TtrRgti9</w:t>
      </w:r>
    </w:p>
    <w:p>
      <w:pPr>
        <w:ind w:left="760"/>
        <w:spacing w:after="0" w:line="187" w:lineRule="auto"/>
        <w:rPr>
          <w:rFonts w:ascii="Arial" w:cs="Arial" w:eastAsia="Arial" w:hAnsi="Arial"/>
          <w:sz w:val="22"/>
          <w:szCs w:val="22"/>
          <w:color w:val="auto"/>
          <w:vertAlign w:val="superscript"/>
        </w:rPr>
      </w:pPr>
      <w:r>
        <w:rPr>
          <w:rFonts w:ascii="Arial" w:cs="Arial" w:eastAsia="Arial" w:hAnsi="Arial"/>
          <w:sz w:val="21"/>
          <w:szCs w:val="21"/>
          <w:color w:val="auto"/>
          <w:vertAlign w:val="superscript"/>
        </w:rPr>
        <w:t>13</w:t>
      </w:r>
      <w:r>
        <w:rPr>
          <w:rFonts w:ascii="Arial" w:cs="Arial" w:eastAsia="Arial" w:hAnsi="Arial"/>
          <w:sz w:val="14"/>
          <w:szCs w:val="14"/>
          <w:color w:val="auto"/>
        </w:rPr>
        <w:t xml:space="preserve">    https://www.minderoo.org/plastic-waste-makers-index/data/flows/#/sankey/global/10</w:t>
      </w:r>
    </w:p>
    <w:p>
      <w:pPr>
        <w:ind w:left="760"/>
        <w:spacing w:after="0" w:line="187" w:lineRule="auto"/>
        <w:rPr>
          <w:rFonts w:ascii="Arial" w:cs="Arial" w:eastAsia="Arial" w:hAnsi="Arial"/>
          <w:sz w:val="22"/>
          <w:szCs w:val="22"/>
          <w:color w:val="auto"/>
          <w:vertAlign w:val="superscript"/>
        </w:rPr>
      </w:pPr>
      <w:r>
        <w:rPr>
          <w:rFonts w:ascii="Arial" w:cs="Arial" w:eastAsia="Arial" w:hAnsi="Arial"/>
          <w:sz w:val="21"/>
          <w:szCs w:val="21"/>
          <w:color w:val="auto"/>
          <w:vertAlign w:val="superscript"/>
        </w:rPr>
        <w:t>14</w:t>
      </w:r>
      <w:r>
        <w:rPr>
          <w:rFonts w:ascii="Arial" w:cs="Arial" w:eastAsia="Arial" w:hAnsi="Arial"/>
          <w:sz w:val="14"/>
          <w:szCs w:val="14"/>
          <w:color w:val="auto"/>
        </w:rPr>
        <w:t xml:space="preserve">    https://gizmodo.com/we-now-know-how-exxon-secretly-fights-crackdowns-on-pla-1847220288</w:t>
      </w:r>
    </w:p>
    <w:p>
      <w:pPr>
        <w:ind w:left="1140" w:right="2360" w:hanging="378"/>
        <w:spacing w:after="0" w:line="197" w:lineRule="auto"/>
        <w:rPr>
          <w:rFonts w:ascii="Arial" w:cs="Arial" w:eastAsia="Arial" w:hAnsi="Arial"/>
          <w:sz w:val="22"/>
          <w:szCs w:val="22"/>
          <w:color w:val="auto"/>
          <w:vertAlign w:val="superscript"/>
        </w:rPr>
      </w:pPr>
      <w:r>
        <w:rPr>
          <w:rFonts w:ascii="Arial" w:cs="Arial" w:eastAsia="Arial" w:hAnsi="Arial"/>
          <w:sz w:val="24"/>
          <w:szCs w:val="24"/>
          <w:color w:val="auto"/>
          <w:vertAlign w:val="superscript"/>
        </w:rPr>
        <w:t>15</w:t>
      </w:r>
      <w:r>
        <w:rPr>
          <w:rFonts w:ascii="Arial" w:cs="Arial" w:eastAsia="Arial" w:hAnsi="Arial"/>
          <w:sz w:val="16"/>
          <w:szCs w:val="16"/>
          <w:color w:val="auto"/>
        </w:rPr>
        <w:t xml:space="preserve"> https://corporate.exxonmobil.com/Sustainability/Sustainability-Report/Environment/Plastic-waste-management#Addressingplasticwaste</w:t>
      </w:r>
    </w:p>
    <w:p>
      <w:pPr>
        <w:ind w:left="1140" w:right="640" w:hanging="378"/>
        <w:spacing w:after="0" w:line="202" w:lineRule="auto"/>
        <w:rPr>
          <w:rFonts w:ascii="Arial" w:cs="Arial" w:eastAsia="Arial" w:hAnsi="Arial"/>
          <w:sz w:val="22"/>
          <w:szCs w:val="22"/>
          <w:color w:val="auto"/>
          <w:vertAlign w:val="superscript"/>
        </w:rPr>
      </w:pPr>
      <w:r>
        <w:rPr>
          <w:rFonts w:ascii="Arial" w:cs="Arial" w:eastAsia="Arial" w:hAnsi="Arial"/>
          <w:sz w:val="24"/>
          <w:szCs w:val="24"/>
          <w:color w:val="auto"/>
          <w:vertAlign w:val="superscript"/>
        </w:rPr>
        <w:t>16</w:t>
      </w:r>
      <w:r>
        <w:rPr>
          <w:rFonts w:ascii="Arial" w:cs="Arial" w:eastAsia="Arial" w:hAnsi="Arial"/>
          <w:sz w:val="16"/>
          <w:szCs w:val="16"/>
          <w:color w:val="auto"/>
        </w:rPr>
        <w:t xml:space="preserve"> https://www.forbes.com/sites/scottcarpenter/2020/09/05/why-the-oil-industrys-400-billion-bet-on-plastics-could- backfire/? sh=6e099bd843fe”</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The Board carefully considered this proposal and recommends you vote AGAINST it for the following reasons:</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This is one of 10 new reports requested by proponents at this annual shareholder meeting.</w:t>
      </w:r>
    </w:p>
    <w:p>
      <w:pPr>
        <w:spacing w:after="0" w:line="212" w:lineRule="exact"/>
        <w:rPr>
          <w:sz w:val="20"/>
          <w:szCs w:val="20"/>
          <w:color w:val="auto"/>
        </w:rPr>
      </w:pPr>
    </w:p>
    <w:p>
      <w:pPr>
        <w:ind w:left="760"/>
        <w:spacing w:after="0" w:line="244" w:lineRule="auto"/>
        <w:rPr>
          <w:sz w:val="20"/>
          <w:szCs w:val="20"/>
          <w:color w:val="auto"/>
        </w:rPr>
      </w:pPr>
      <w:r>
        <w:rPr>
          <w:rFonts w:ascii="Arial" w:cs="Arial" w:eastAsia="Arial" w:hAnsi="Arial"/>
          <w:sz w:val="18"/>
          <w:szCs w:val="18"/>
          <w:color w:val="auto"/>
        </w:rPr>
        <w:t>We are concerned about plastic waste in the environment and are actively working to address this issue as detailed in our Sustainability Report, Advancing Climate Solutions Progress Report, and other communications. As mentioned in the introductory paragraphs of the Shareholder Proposal section of this proxy statement, creating another report with a focus on a single remote scenario does not provide decision-useful information to our shareholders. This is why we recommend a vote against this proposal.</w:t>
      </w:r>
    </w:p>
    <w:p>
      <w:pPr>
        <w:spacing w:after="0" w:line="176" w:lineRule="exact"/>
        <w:rPr>
          <w:sz w:val="20"/>
          <w:szCs w:val="20"/>
          <w:color w:val="auto"/>
        </w:rPr>
      </w:pPr>
    </w:p>
    <w:p>
      <w:pPr>
        <w:ind w:left="760" w:right="180"/>
        <w:spacing w:after="0" w:line="244" w:lineRule="auto"/>
        <w:rPr>
          <w:sz w:val="20"/>
          <w:szCs w:val="20"/>
          <w:color w:val="auto"/>
        </w:rPr>
      </w:pPr>
      <w:r>
        <w:rPr>
          <w:rFonts w:ascii="Arial" w:cs="Arial" w:eastAsia="Arial" w:hAnsi="Arial"/>
          <w:sz w:val="18"/>
          <w:szCs w:val="18"/>
          <w:color w:val="auto"/>
        </w:rPr>
        <w:t>As conveyed to this proponent, solutions to all types of municipal solid waste, including plastic waste, require significant enhancements in waste management infrastructure, particularly in rapidly growing economies. These solutions can and should be implemented without depriving society of the countless benefits plastics provide. The proponent has wrongly concluded that developing solutions to the plastic waste challenge requires the elimination or reduced use of plastics, thereby using a flawed scenario to support a flawed conclusion.</w:t>
      </w:r>
    </w:p>
    <w:p>
      <w:pPr>
        <w:spacing w:after="0" w:line="176" w:lineRule="exact"/>
        <w:rPr>
          <w:sz w:val="20"/>
          <w:szCs w:val="20"/>
          <w:color w:val="auto"/>
        </w:rPr>
      </w:pPr>
    </w:p>
    <w:p>
      <w:pPr>
        <w:ind w:left="760"/>
        <w:spacing w:after="0" w:line="239" w:lineRule="auto"/>
        <w:rPr>
          <w:sz w:val="20"/>
          <w:szCs w:val="20"/>
          <w:color w:val="auto"/>
        </w:rPr>
      </w:pPr>
      <w:r>
        <w:rPr>
          <w:rFonts w:ascii="Arial" w:cs="Arial" w:eastAsia="Arial" w:hAnsi="Arial"/>
          <w:sz w:val="18"/>
          <w:szCs w:val="18"/>
          <w:color w:val="auto"/>
        </w:rPr>
        <w:t>ExxonMobil agrees with many statements in the “Breaking the Plastic Wave” report, for example, that waste collection infrastructure should be developed and that plastic waste recycling rates should be increased worldwide. However, the report incorrectly developed two key assumptions, which result in plastic demand growth conclusions well below projections from industry and the International Energy Agency Net Zero Emissions by 2050 scenario. The report’s System Change Scenario substitutes plastics with paper-based or compostable materials without sufficient assessment of the scalability of these alternatives and of potential unintended consequences of such substitution, including driving higher greenhouse gas emissions. Additionally, the scenario understates the potential of recycling, particularly advanced recycling. The report’s failure to properly ground its assumptions undermine the utility of the report in developing solutions to address the plastic waste challenge.</w:t>
      </w:r>
    </w:p>
    <w:p>
      <w:pPr>
        <w:spacing w:after="0" w:line="183" w:lineRule="exact"/>
        <w:rPr>
          <w:sz w:val="20"/>
          <w:szCs w:val="20"/>
          <w:color w:val="auto"/>
        </w:rPr>
      </w:pPr>
    </w:p>
    <w:p>
      <w:pPr>
        <w:ind w:left="760" w:right="80"/>
        <w:spacing w:after="0" w:line="244" w:lineRule="auto"/>
        <w:rPr>
          <w:sz w:val="20"/>
          <w:szCs w:val="20"/>
          <w:color w:val="auto"/>
        </w:rPr>
      </w:pPr>
      <w:r>
        <w:rPr>
          <w:rFonts w:ascii="Arial" w:cs="Arial" w:eastAsia="Arial" w:hAnsi="Arial"/>
          <w:sz w:val="18"/>
          <w:szCs w:val="18"/>
          <w:color w:val="auto"/>
        </w:rPr>
        <w:t>As described in our publications, plastics play an important role in both facilitating modern life and supporting decarbonization efforts. As a result, our efforts are focused on enabling these significant societal benefits and addressing plastic waste. We have a comprehensive approach including: developing plastic products that society can more easily recycle; expanding our advanced recycling capability that broadens the range of plastics that can be recycled; and supporting improvements in plastic waste recovery. Our efforts include:</w:t>
      </w:r>
    </w:p>
    <w:p>
      <w:pPr>
        <w:spacing w:after="0" w:line="82" w:lineRule="exact"/>
        <w:rPr>
          <w:sz w:val="20"/>
          <w:szCs w:val="20"/>
          <w:color w:val="auto"/>
        </w:rPr>
      </w:pPr>
    </w:p>
    <w:p>
      <w:pPr>
        <w:ind w:left="1140" w:right="360" w:hanging="376"/>
        <w:spacing w:after="0" w:line="253" w:lineRule="auto"/>
        <w:tabs>
          <w:tab w:leader="none" w:pos="1140" w:val="left"/>
        </w:tabs>
        <w:numPr>
          <w:ilvl w:val="0"/>
          <w:numId w:val="9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Responsible Manufacturing. </w:t>
      </w:r>
      <w:r>
        <w:rPr>
          <w:rFonts w:ascii="Arial" w:cs="Arial" w:eastAsia="Arial" w:hAnsi="Arial"/>
          <w:sz w:val="18"/>
          <w:szCs w:val="18"/>
          <w:color w:val="auto"/>
        </w:rPr>
        <w:t>We have established systems to responsibly manage the manufacture of plastics,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including a global standard across all of our resin-handling operations with the objective of zero pellet loss to the environment. As a result, we have had </w:t>
      </w:r>
      <w:r>
        <w:rPr>
          <w:rFonts w:ascii="Arial" w:cs="Arial" w:eastAsia="Arial" w:hAnsi="Arial"/>
          <w:sz w:val="18"/>
          <w:szCs w:val="18"/>
          <w:i w:val="1"/>
          <w:iCs w:val="1"/>
          <w:color w:val="auto"/>
        </w:rPr>
        <w:t>zero</w:t>
      </w:r>
      <w:r>
        <w:rPr>
          <w:rFonts w:ascii="Arial" w:cs="Arial" w:eastAsia="Arial" w:hAnsi="Arial"/>
          <w:sz w:val="18"/>
          <w:szCs w:val="18"/>
          <w:color w:val="auto"/>
        </w:rPr>
        <w:t xml:space="preserve"> reportable plastic pellet losses to the environment from our resin-handling facilities since 2018.</w:t>
      </w:r>
      <w:r>
        <w:rPr>
          <w:rFonts w:ascii="Arial" w:cs="Arial" w:eastAsia="Arial" w:hAnsi="Arial"/>
          <w:sz w:val="26"/>
          <w:szCs w:val="26"/>
          <w:color w:val="auto"/>
          <w:vertAlign w:val="superscript"/>
        </w:rPr>
        <w:t>1</w:t>
      </w:r>
    </w:p>
    <w:p>
      <w:pPr>
        <w:ind w:left="780"/>
        <w:spacing w:after="0"/>
        <w:tabs>
          <w:tab w:leader="none" w:pos="1486" w:val="left"/>
        </w:tabs>
        <w:rPr>
          <w:sz w:val="20"/>
          <w:szCs w:val="20"/>
          <w:color w:val="auto"/>
        </w:rPr>
      </w:pPr>
      <w:r>
        <w:rPr>
          <w:rFonts w:ascii="Arial" w:cs="Arial" w:eastAsia="Arial" w:hAnsi="Arial"/>
          <w:sz w:val="18"/>
          <w:szCs w:val="18"/>
          <w:color w:val="auto"/>
        </w:rPr>
        <w:t>94</w:t>
      </w:r>
      <w:r>
        <w:rPr>
          <w:sz w:val="20"/>
          <w:szCs w:val="20"/>
          <w:color w:val="auto"/>
        </w:rPr>
        <w:tab/>
      </w:r>
      <w:r>
        <w:rPr>
          <w:sz w:val="1"/>
          <w:szCs w:val="1"/>
          <w:color w:val="auto"/>
        </w:rPr>
        <w:drawing>
          <wp:inline distT="0" distB="0" distL="0" distR="0">
            <wp:extent cx="737235" cy="123825"/>
            <wp:effectExtent l="0" t="0" r="0" b="0"/>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37235" cy="123825"/>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2023 Proxy Statement</w:t>
      </w:r>
    </w:p>
    <w:p>
      <w:pPr>
        <w:sectPr>
          <w:pgSz w:w="11900" w:h="16838" w:orient="portrait"/>
          <w:cols w:equalWidth="0" w:num="1">
            <w:col w:w="10440"/>
          </w:cols>
          <w:pgMar w:left="320" w:top="482" w:right="11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140" w:right="80" w:hanging="376"/>
        <w:spacing w:after="0" w:line="227" w:lineRule="auto"/>
        <w:tabs>
          <w:tab w:leader="none" w:pos="1140" w:val="left"/>
        </w:tabs>
        <w:numPr>
          <w:ilvl w:val="0"/>
          <w:numId w:val="9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Advanced Recycling Solutions. </w:t>
      </w:r>
      <w:r>
        <w:rPr>
          <w:rFonts w:ascii="Arial" w:cs="Arial" w:eastAsia="Arial" w:hAnsi="Arial"/>
          <w:sz w:val="18"/>
          <w:szCs w:val="18"/>
          <w:color w:val="auto"/>
        </w:rPr>
        <w:t>Our advanced recycling solutions convert a broad range of plastic waste into raw</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 that can be used to make new, virgin-quality plastics and other valuable products. To date, we have processed nearly 14 million pounds of plastic waste with our Exxtend</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technology for advanced recycling in Baytown, Texas, and we recently expanded the facility’s capacity to approximately 80 million pounds of plastic waste per year, making it one of North America’s largest advanced recycling facilities. We are evaluating the use of this technology at our facilities in other U.S. locations, Belgium, Canada, and the Netherlands. We are also collaborating with third parties on advanced recycling projects in France, Malaysia, Indonesia, and Singapore. By year-end 2026, we hope to build about 1 billion pounds of annual advanced recycling capacity.</w:t>
      </w:r>
    </w:p>
    <w:p>
      <w:pPr>
        <w:spacing w:after="0" w:line="87" w:lineRule="exact"/>
        <w:rPr>
          <w:rFonts w:ascii="Times New Roman" w:cs="Times New Roman" w:eastAsia="Times New Roman" w:hAnsi="Times New Roman"/>
          <w:sz w:val="18"/>
          <w:szCs w:val="18"/>
          <w:color w:val="auto"/>
        </w:rPr>
      </w:pPr>
    </w:p>
    <w:p>
      <w:pPr>
        <w:ind w:left="1140" w:right="80"/>
        <w:spacing w:after="0" w:line="244" w:lineRule="auto"/>
        <w:rPr>
          <w:rFonts w:ascii="Times New Roman" w:cs="Times New Roman" w:eastAsia="Times New Roman" w:hAnsi="Times New Roman"/>
          <w:sz w:val="18"/>
          <w:szCs w:val="18"/>
          <w:color w:val="auto"/>
        </w:rPr>
      </w:pPr>
      <w:r>
        <w:rPr>
          <w:rFonts w:ascii="Arial" w:cs="Arial" w:eastAsia="Arial" w:hAnsi="Arial"/>
          <w:sz w:val="18"/>
          <w:szCs w:val="18"/>
          <w:color w:val="auto"/>
        </w:rPr>
        <w:t>To make advanced recycling even more effective, in 2020, we formed Cyclyx International, a joint venture with Agilyx Corporation. Together, we are developing innovative solutions for aggregating and pre-processing large volumes of plastic waste that can be recycled into valuable products. We are investing in Cyclyx’s first-of-its-kind $100 million plastic waste processing facility in Houston, Texas, which, upon startup in 2024, will provide feed for plastics recyclers, including ExxonMobil.</w:t>
      </w:r>
    </w:p>
    <w:p>
      <w:pPr>
        <w:spacing w:after="0" w:line="81" w:lineRule="exact"/>
        <w:rPr>
          <w:rFonts w:ascii="Times New Roman" w:cs="Times New Roman" w:eastAsia="Times New Roman" w:hAnsi="Times New Roman"/>
          <w:sz w:val="18"/>
          <w:szCs w:val="18"/>
          <w:color w:val="auto"/>
        </w:rPr>
      </w:pPr>
    </w:p>
    <w:p>
      <w:pPr>
        <w:ind w:left="1140" w:right="60" w:hanging="376"/>
        <w:spacing w:after="0" w:line="239" w:lineRule="auto"/>
        <w:tabs>
          <w:tab w:leader="none" w:pos="1140" w:val="left"/>
        </w:tabs>
        <w:numPr>
          <w:ilvl w:val="0"/>
          <w:numId w:val="9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Collaborations to Increase Plastic Recycling. </w:t>
      </w:r>
      <w:r>
        <w:rPr>
          <w:rFonts w:ascii="Arial" w:cs="Arial" w:eastAsia="Arial" w:hAnsi="Arial"/>
          <w:sz w:val="18"/>
          <w:szCs w:val="18"/>
          <w:color w:val="auto"/>
        </w:rPr>
        <w:t>At the same time, we collaborate with others across the value chain</w:t>
      </w:r>
      <w:r>
        <w:rPr>
          <w:rFonts w:ascii="Arial" w:cs="Arial" w:eastAsia="Arial" w:hAnsi="Arial"/>
          <w:sz w:val="18"/>
          <w:szCs w:val="18"/>
          <w:b w:val="1"/>
          <w:bCs w:val="1"/>
          <w:color w:val="auto"/>
        </w:rPr>
        <w:t xml:space="preserve"> </w:t>
      </w:r>
      <w:r>
        <w:rPr>
          <w:rFonts w:ascii="Arial" w:cs="Arial" w:eastAsia="Arial" w:hAnsi="Arial"/>
          <w:sz w:val="18"/>
          <w:szCs w:val="18"/>
          <w:color w:val="auto"/>
        </w:rPr>
        <w:t>to increase plastic waste collection and meet growing customer demand for certified circular products. Cyclyx and ExxonMobil are founding members of the Houston Recycling Collaboration, which brings together industry and government to increase access to plastic recycling. In addition, we are a founding member of the Alliance to End Plastic Waste, a global collaboration effort focused on increasing collection and sorting of plastic waste. In California, we are collaborating with TenCate Grass and Cyclyx to recycle artificial turf used in football fields – a material that might have otherwise gone to landfill. ExxonMobil has made initial sales of certified circular plastics to customers across multiple regions for use in food-safe plastic packaging, such as Sealed Air and Ahold Delhaize, Berry Global, and Amcor.</w:t>
      </w:r>
    </w:p>
    <w:p>
      <w:pPr>
        <w:spacing w:after="0" w:line="183" w:lineRule="exact"/>
        <w:rPr>
          <w:sz w:val="20"/>
          <w:szCs w:val="20"/>
          <w:color w:val="auto"/>
        </w:rPr>
      </w:pPr>
    </w:p>
    <w:p>
      <w:pPr>
        <w:ind w:left="760" w:right="60"/>
        <w:spacing w:after="0" w:line="253" w:lineRule="auto"/>
        <w:rPr>
          <w:sz w:val="20"/>
          <w:szCs w:val="20"/>
          <w:color w:val="auto"/>
        </w:rPr>
      </w:pPr>
      <w:r>
        <w:rPr>
          <w:rFonts w:ascii="Arial" w:cs="Arial" w:eastAsia="Arial" w:hAnsi="Arial"/>
          <w:sz w:val="18"/>
          <w:szCs w:val="18"/>
          <w:color w:val="auto"/>
        </w:rPr>
        <w:t>The Board considered the proponent’s views as well as the vital role both durable and non-durable, or single-use, plastics play in modern life in reducing greenhouse gas emissions and in the energy transition. All of these factors influence our investment decisions as a Company and why we believe context to the discussion is necessary:</w:t>
      </w:r>
    </w:p>
    <w:p>
      <w:pPr>
        <w:spacing w:after="0" w:line="74" w:lineRule="exact"/>
        <w:rPr>
          <w:sz w:val="20"/>
          <w:szCs w:val="20"/>
          <w:color w:val="auto"/>
        </w:rPr>
      </w:pPr>
    </w:p>
    <w:p>
      <w:pPr>
        <w:ind w:left="1140" w:right="280" w:hanging="376"/>
        <w:spacing w:after="0" w:line="216" w:lineRule="auto"/>
        <w:tabs>
          <w:tab w:leader="none" w:pos="114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Plastics help make modern life possible with their superior performance, affordability, and life-cycle sustainability benefits versus alternative materials as a group.</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In any hospital, kitchen, daycare center, science lab, airplane, or automobile, there are abundant examples of essential plastic products.</w:t>
      </w:r>
    </w:p>
    <w:p>
      <w:pPr>
        <w:spacing w:after="0" w:line="86" w:lineRule="exact"/>
        <w:rPr>
          <w:rFonts w:ascii="Times New Roman" w:cs="Times New Roman" w:eastAsia="Times New Roman" w:hAnsi="Times New Roman"/>
          <w:sz w:val="18"/>
          <w:szCs w:val="18"/>
          <w:color w:val="auto"/>
        </w:rPr>
      </w:pPr>
    </w:p>
    <w:p>
      <w:pPr>
        <w:ind w:left="1140" w:right="140" w:hanging="376"/>
        <w:spacing w:after="0" w:line="252" w:lineRule="auto"/>
        <w:tabs>
          <w:tab w:leader="none" w:pos="114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Plastics play an important role in the energy transition as they are used in many lower-emission technologies. For example, they are used in solar panels, wind turbine blades, energy-saving building insulation, and lightweight, fuel-efficient vehicles, both traditional and electric vehicles.</w:t>
      </w:r>
    </w:p>
    <w:p>
      <w:pPr>
        <w:spacing w:after="0" w:line="76" w:lineRule="exact"/>
        <w:rPr>
          <w:rFonts w:ascii="Times New Roman" w:cs="Times New Roman" w:eastAsia="Times New Roman" w:hAnsi="Times New Roman"/>
          <w:sz w:val="18"/>
          <w:szCs w:val="18"/>
          <w:color w:val="auto"/>
        </w:rPr>
      </w:pPr>
    </w:p>
    <w:p>
      <w:pPr>
        <w:ind w:left="1140" w:right="60" w:hanging="376"/>
        <w:spacing w:after="0" w:line="216" w:lineRule="auto"/>
        <w:tabs>
          <w:tab w:leader="none" w:pos="114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Single-use plastics are often seen to have many recognized benefits in their use, for example in medical applications or in packaging. According to an independent study by Franklin Associates, plastic packaging has 54 percent lower life-cycle greenhouse gas emissions versus alternative materials as a group, including aluminum, glass, and paper.</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Similarly, a recent report from McKinsey &amp; Company showed that in 13 of the 14 applications studied, plastics had greenhouse gas savings ranging between 10- and 90-percent compared to next-best alternatives.</w:t>
      </w:r>
      <w:r>
        <w:rPr>
          <w:rFonts w:ascii="Arial" w:cs="Arial" w:eastAsia="Arial" w:hAnsi="Arial"/>
          <w:sz w:val="26"/>
          <w:szCs w:val="26"/>
          <w:color w:val="auto"/>
          <w:vertAlign w:val="superscript"/>
        </w:rPr>
        <w:t>3</w:t>
      </w:r>
      <w:r>
        <w:rPr>
          <w:rFonts w:ascii="Arial" w:cs="Arial" w:eastAsia="Arial" w:hAnsi="Arial"/>
          <w:sz w:val="18"/>
          <w:szCs w:val="18"/>
          <w:color w:val="auto"/>
        </w:rPr>
        <w:t xml:space="preserve"> A 2016 TruCost study found that replacing plastics in consumer products and packaging with alternatives that perform the same function would have nearly four times the negative environmental cost on a full life-cycle basis.</w:t>
      </w:r>
      <w:r>
        <w:rPr>
          <w:rFonts w:ascii="Arial" w:cs="Arial" w:eastAsia="Arial" w:hAnsi="Arial"/>
          <w:sz w:val="26"/>
          <w:szCs w:val="26"/>
          <w:color w:val="auto"/>
          <w:vertAlign w:val="superscript"/>
        </w:rPr>
        <w:t>4</w:t>
      </w:r>
    </w:p>
    <w:p>
      <w:pPr>
        <w:spacing w:after="0" w:line="3" w:lineRule="exact"/>
        <w:rPr>
          <w:rFonts w:ascii="Times New Roman" w:cs="Times New Roman" w:eastAsia="Times New Roman" w:hAnsi="Times New Roman"/>
          <w:sz w:val="18"/>
          <w:szCs w:val="18"/>
          <w:color w:val="auto"/>
        </w:rPr>
      </w:pPr>
    </w:p>
    <w:p>
      <w:pPr>
        <w:ind w:left="1140" w:hanging="376"/>
        <w:spacing w:after="0" w:line="239" w:lineRule="auto"/>
        <w:tabs>
          <w:tab w:leader="none" w:pos="114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Plastics are instrumental to achieving many of the United Nations’ (UN) Sustainable Development Goals, including good health, food preservation, and clean drinking water. Even in the International Energy Agency’s Net Zero Emissions by 2050 Scenario, global demand for primary chemicals is 30 percent higher than 2020; and plastics make up about half of that total volume.</w:t>
      </w:r>
    </w:p>
    <w:p>
      <w:pPr>
        <w:spacing w:after="0" w:line="183" w:lineRule="exact"/>
        <w:rPr>
          <w:sz w:val="20"/>
          <w:szCs w:val="20"/>
          <w:color w:val="auto"/>
        </w:rPr>
      </w:pPr>
    </w:p>
    <w:p>
      <w:pPr>
        <w:ind w:left="760" w:right="300"/>
        <w:spacing w:after="0" w:line="257" w:lineRule="auto"/>
        <w:rPr>
          <w:sz w:val="20"/>
          <w:szCs w:val="20"/>
          <w:color w:val="auto"/>
        </w:rPr>
      </w:pPr>
      <w:r>
        <w:rPr>
          <w:rFonts w:ascii="Arial" w:cs="Arial" w:eastAsia="Arial" w:hAnsi="Arial"/>
          <w:sz w:val="17"/>
          <w:szCs w:val="17"/>
          <w:color w:val="auto"/>
        </w:rPr>
        <w:t>As mentioned above, we publicly provide our guidelines, measures, and practices to assess and mitigate risk factors related to plastics, and we include detailed information about plastic waste solutions in our Sustainability Report and Advancing Climate Solutions 2023 Progress Report, available on our website. We also publicly disclose our lobbying efforts, including those related to plastics, in a detailed Lobbying Report available on our website. Further, ExxonMobil, along with the American Chemistry Council and America’s plastic makers, looks forward to working with Congress on comprehensive solutions to address plastic waste in the environment while driving new economic growth in the United States through recycling – an important “win-win” that is achievable with the right policies, support, and dedication.</w:t>
      </w:r>
    </w:p>
    <w:p>
      <w:pPr>
        <w:spacing w:after="0" w:line="99"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605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480"/>
          </w:cols>
          <w:pgMar w:left="320" w:top="482" w:right="10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760" w:right="40"/>
        <w:spacing w:after="0" w:line="250" w:lineRule="auto"/>
        <w:rPr>
          <w:sz w:val="20"/>
          <w:szCs w:val="20"/>
          <w:color w:val="auto"/>
        </w:rPr>
      </w:pPr>
      <w:r>
        <w:rPr>
          <w:rFonts w:ascii="Arial" w:cs="Arial" w:eastAsia="Arial" w:hAnsi="Arial"/>
          <w:sz w:val="18"/>
          <w:szCs w:val="18"/>
          <w:color w:val="auto"/>
        </w:rPr>
        <w:t xml:space="preserve">Acknowledging the importance of plastics in helping society achieve its lower-emission ambitions, and the UN’s Sustainable Development goals, and in light of our strong commitment to responsible operations, our support of expanding advanced recycling efforts, our well-established risk management processes and procedures, and our existing detailed, publicly available disclosures, the Board recommends a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this unnecessary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149860</wp:posOffset>
            </wp:positionV>
            <wp:extent cx="166306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181" w:lineRule="exact"/>
        <w:rPr>
          <w:sz w:val="20"/>
          <w:szCs w:val="20"/>
          <w:color w:val="auto"/>
        </w:rPr>
      </w:pPr>
    </w:p>
    <w:p>
      <w:pPr>
        <w:ind w:left="1140" w:hanging="376"/>
        <w:spacing w:after="0"/>
        <w:tabs>
          <w:tab w:leader="none" w:pos="1140" w:val="left"/>
        </w:tabs>
        <w:numPr>
          <w:ilvl w:val="0"/>
          <w:numId w:val="94"/>
        </w:numPr>
        <w:rPr>
          <w:rFonts w:ascii="Arial" w:cs="Arial" w:eastAsia="Arial" w:hAnsi="Arial"/>
          <w:sz w:val="24"/>
          <w:szCs w:val="24"/>
          <w:color w:val="auto"/>
          <w:vertAlign w:val="superscript"/>
        </w:rPr>
      </w:pPr>
      <w:r>
        <w:rPr>
          <w:rFonts w:ascii="Arial" w:cs="Arial" w:eastAsia="Arial" w:hAnsi="Arial"/>
          <w:sz w:val="16"/>
          <w:szCs w:val="16"/>
          <w:color w:val="auto"/>
        </w:rPr>
        <w:t>Based on reporting under our global standard for resin-handling facilities.</w:t>
      </w:r>
    </w:p>
    <w:p>
      <w:pPr>
        <w:ind w:left="1140" w:hanging="376"/>
        <w:spacing w:after="0" w:line="182" w:lineRule="auto"/>
        <w:tabs>
          <w:tab w:leader="none" w:pos="1140" w:val="left"/>
        </w:tabs>
        <w:numPr>
          <w:ilvl w:val="0"/>
          <w:numId w:val="95"/>
        </w:numPr>
        <w:rPr>
          <w:rFonts w:ascii="Arial" w:cs="Arial" w:eastAsia="Arial" w:hAnsi="Arial"/>
          <w:sz w:val="22"/>
          <w:szCs w:val="22"/>
          <w:color w:val="auto"/>
          <w:vertAlign w:val="superscript"/>
        </w:rPr>
      </w:pPr>
      <w:r>
        <w:rPr>
          <w:rFonts w:ascii="Arial" w:cs="Arial" w:eastAsia="Arial" w:hAnsi="Arial"/>
          <w:sz w:val="15"/>
          <w:szCs w:val="15"/>
          <w:color w:val="auto"/>
        </w:rPr>
        <w:t>Per April 2018 report of Franklin Associates; US; Max Decomp.; Figure 4-1; Impacts as defined in Chapter 4.7: Global Warming</w:t>
      </w:r>
    </w:p>
    <w:p>
      <w:pPr>
        <w:spacing w:after="0" w:line="1" w:lineRule="exact"/>
        <w:rPr>
          <w:sz w:val="20"/>
          <w:szCs w:val="20"/>
          <w:color w:val="auto"/>
        </w:rPr>
      </w:pPr>
    </w:p>
    <w:p>
      <w:pPr>
        <w:ind w:left="1140" w:right="240"/>
        <w:spacing w:after="0" w:line="244" w:lineRule="auto"/>
        <w:rPr>
          <w:sz w:val="20"/>
          <w:szCs w:val="20"/>
          <w:color w:val="auto"/>
        </w:rPr>
      </w:pPr>
      <w:r>
        <w:rPr>
          <w:rFonts w:ascii="Arial" w:cs="Arial" w:eastAsia="Arial" w:hAnsi="Arial"/>
          <w:sz w:val="16"/>
          <w:szCs w:val="16"/>
          <w:color w:val="auto"/>
        </w:rPr>
        <w:t>Potential (GWP) results, and Indexed to the alternatives as a group (including steel; aluminum; glass; paper- based packaging; fiber-based textiles; and wood). Source: https://www.americanchemistry.com /content/download /7885/file/Life-Cycle-Impacts-of-Plastic-Packaging-Compared-to-Substitutes-in-the-United-States-and-Canada.pdf</w:t>
      </w:r>
    </w:p>
    <w:p>
      <w:pPr>
        <w:ind w:left="1140" w:hanging="376"/>
        <w:spacing w:after="0" w:line="181" w:lineRule="auto"/>
        <w:tabs>
          <w:tab w:leader="none" w:pos="1140" w:val="left"/>
        </w:tabs>
        <w:numPr>
          <w:ilvl w:val="0"/>
          <w:numId w:val="96"/>
        </w:numPr>
        <w:rPr>
          <w:rFonts w:ascii="Arial" w:cs="Arial" w:eastAsia="Arial" w:hAnsi="Arial"/>
          <w:sz w:val="22"/>
          <w:szCs w:val="22"/>
          <w:color w:val="auto"/>
          <w:vertAlign w:val="superscript"/>
        </w:rPr>
      </w:pPr>
      <w:r>
        <w:rPr>
          <w:rFonts w:ascii="Arial" w:cs="Arial" w:eastAsia="Arial" w:hAnsi="Arial"/>
          <w:sz w:val="15"/>
          <w:szCs w:val="15"/>
          <w:color w:val="auto"/>
        </w:rPr>
        <w:t>Climate Impact of Plastics, McKinsey, July 2022, p.12</w:t>
      </w:r>
    </w:p>
    <w:p>
      <w:pPr>
        <w:ind w:left="1140" w:right="20" w:hanging="376"/>
        <w:spacing w:after="0" w:line="204" w:lineRule="auto"/>
        <w:tabs>
          <w:tab w:leader="none" w:pos="1140" w:val="left"/>
        </w:tabs>
        <w:numPr>
          <w:ilvl w:val="0"/>
          <w:numId w:val="97"/>
        </w:numPr>
        <w:rPr>
          <w:rFonts w:ascii="Arial" w:cs="Arial" w:eastAsia="Arial" w:hAnsi="Arial"/>
          <w:sz w:val="24"/>
          <w:szCs w:val="24"/>
          <w:color w:val="auto"/>
          <w:vertAlign w:val="superscript"/>
        </w:rPr>
      </w:pPr>
      <w:r>
        <w:rPr>
          <w:rFonts w:ascii="Arial" w:cs="Arial" w:eastAsia="Arial" w:hAnsi="Arial"/>
          <w:sz w:val="16"/>
          <w:szCs w:val="16"/>
          <w:color w:val="auto"/>
        </w:rPr>
        <w:t>Plastics and Sustainability, A Valuation of Environmental Benefits, Costs and Opportunities for Continuous Improvement, TruCost, July 2016, p.7.</w:t>
      </w:r>
    </w:p>
    <w:p>
      <w:pPr>
        <w:spacing w:after="0" w:line="397"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Item 14 – Litigation Disclosure Beyond Legal and Accounting Requirements</w:t>
      </w:r>
    </w:p>
    <w:p>
      <w:pPr>
        <w:spacing w:after="0" w:line="99" w:lineRule="exact"/>
        <w:rPr>
          <w:sz w:val="20"/>
          <w:szCs w:val="20"/>
          <w:color w:val="auto"/>
        </w:rPr>
      </w:pPr>
    </w:p>
    <w:p>
      <w:pPr>
        <w:ind w:left="760" w:right="440"/>
        <w:spacing w:after="0" w:line="271" w:lineRule="auto"/>
        <w:rPr>
          <w:sz w:val="20"/>
          <w:szCs w:val="20"/>
          <w:color w:val="auto"/>
        </w:rPr>
      </w:pPr>
      <w:r>
        <w:rPr>
          <w:rFonts w:ascii="Arial" w:cs="Arial" w:eastAsia="Arial" w:hAnsi="Arial"/>
          <w:sz w:val="18"/>
          <w:szCs w:val="18"/>
          <w:color w:val="auto"/>
        </w:rPr>
        <w:t>This proposal was submitted by Anna Marie Lyles, 253 Jefferson Road, Princeton, New Jersey 08540, the beneficial owner of 60 shares for at least three years.</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“PROPOSAL</w:t>
      </w:r>
    </w:p>
    <w:p>
      <w:pPr>
        <w:spacing w:after="0" w:line="102" w:lineRule="exact"/>
        <w:rPr>
          <w:sz w:val="20"/>
          <w:szCs w:val="20"/>
          <w:color w:val="auto"/>
        </w:rPr>
      </w:pPr>
    </w:p>
    <w:p>
      <w:pPr>
        <w:ind w:left="760" w:right="60"/>
        <w:spacing w:after="0" w:line="253"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Shareholders request an actuarial assessment, omitting confidential information and prepared at a</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cost, of the potential cumulative risk to Exxon Mobil Corporation (‘ExxonMobil’ or the ‘Company’) from current environment-related litigation against the Company and its affiliates.</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SUPPORTING STATEMENT</w:t>
      </w:r>
    </w:p>
    <w:p>
      <w:pPr>
        <w:spacing w:after="0" w:line="102" w:lineRule="exact"/>
        <w:rPr>
          <w:sz w:val="20"/>
          <w:szCs w:val="20"/>
          <w:color w:val="auto"/>
        </w:rPr>
      </w:pPr>
    </w:p>
    <w:p>
      <w:pPr>
        <w:ind w:left="760"/>
        <w:spacing w:after="0" w:line="253" w:lineRule="auto"/>
        <w:rPr>
          <w:sz w:val="20"/>
          <w:szCs w:val="20"/>
          <w:color w:val="auto"/>
        </w:rPr>
      </w:pPr>
      <w:r>
        <w:rPr>
          <w:rFonts w:ascii="Arial" w:cs="Arial" w:eastAsia="Arial" w:hAnsi="Arial"/>
          <w:sz w:val="18"/>
          <w:szCs w:val="18"/>
          <w:color w:val="auto"/>
        </w:rPr>
        <w:t>Environment-related litigation poses an increasing risk to oil and gas investments. For instance, BP paid more than $60bn in criminal and civil penalties and remediation costs following the Macondo blowout, and Shell has been ordered by a Dutch court to reduce its CO2 emissions by 45% by 2030.</w:t>
      </w:r>
    </w:p>
    <w:p>
      <w:pPr>
        <w:spacing w:after="0" w:line="169" w:lineRule="exact"/>
        <w:rPr>
          <w:sz w:val="20"/>
          <w:szCs w:val="20"/>
          <w:color w:val="auto"/>
        </w:rPr>
      </w:pPr>
    </w:p>
    <w:p>
      <w:pPr>
        <w:ind w:left="760"/>
        <w:spacing w:after="0" w:line="242" w:lineRule="auto"/>
        <w:rPr>
          <w:sz w:val="20"/>
          <w:szCs w:val="20"/>
          <w:color w:val="auto"/>
        </w:rPr>
      </w:pPr>
      <w:r>
        <w:rPr>
          <w:rFonts w:ascii="Arial" w:cs="Arial" w:eastAsia="Arial" w:hAnsi="Arial"/>
          <w:sz w:val="18"/>
          <w:szCs w:val="18"/>
          <w:color w:val="auto"/>
        </w:rPr>
        <w:t>In addition, we have observed a recent trend of courts cancelling energy production permits (e.g. in Australia, South Africa, Brazil), which poses a particular risk for investments in new production. These cancellations allegedly result from non-compliance with environmental laws and the incompatibility of new production with climate goals. Notably, we believe that courts may now use as a point of reference the International Energy Agency’s assessment in its 2021 report Net Zero by 2050 that no new oil, gas, or thermal coal projects can be approved by relevant licensing authorities in order to meet Paris Agreement emissions goals.</w:t>
      </w:r>
    </w:p>
    <w:p>
      <w:pPr>
        <w:spacing w:after="0" w:line="179" w:lineRule="exact"/>
        <w:rPr>
          <w:sz w:val="20"/>
          <w:szCs w:val="20"/>
          <w:color w:val="auto"/>
        </w:rPr>
      </w:pPr>
    </w:p>
    <w:p>
      <w:pPr>
        <w:ind w:left="760" w:right="220"/>
        <w:spacing w:after="0" w:line="253" w:lineRule="auto"/>
        <w:rPr>
          <w:sz w:val="20"/>
          <w:szCs w:val="20"/>
          <w:color w:val="auto"/>
        </w:rPr>
      </w:pPr>
      <w:r>
        <w:rPr>
          <w:rFonts w:ascii="Arial" w:cs="Arial" w:eastAsia="Arial" w:hAnsi="Arial"/>
          <w:sz w:val="18"/>
          <w:szCs w:val="18"/>
          <w:color w:val="auto"/>
        </w:rPr>
        <w:t>These environment-related lawsuits are often lengthy and we believe that the direct and indirect risks posed to the business and shareholder value in case of losing some of these lawsuits appear substantial, and shareholders deserve proper disclosure of these risks.</w:t>
      </w:r>
    </w:p>
    <w:p>
      <w:pPr>
        <w:spacing w:after="0" w:line="169" w:lineRule="exact"/>
        <w:rPr>
          <w:sz w:val="20"/>
          <w:szCs w:val="20"/>
          <w:color w:val="auto"/>
        </w:rPr>
      </w:pPr>
    </w:p>
    <w:p>
      <w:pPr>
        <w:ind w:left="760" w:right="240"/>
        <w:spacing w:after="0" w:line="271" w:lineRule="auto"/>
        <w:rPr>
          <w:sz w:val="20"/>
          <w:szCs w:val="20"/>
          <w:color w:val="auto"/>
        </w:rPr>
      </w:pPr>
      <w:r>
        <w:rPr>
          <w:rFonts w:ascii="Arial" w:cs="Arial" w:eastAsia="Arial" w:hAnsi="Arial"/>
          <w:sz w:val="18"/>
          <w:szCs w:val="18"/>
          <w:color w:val="auto"/>
        </w:rPr>
        <w:t>Media reports indicate that ExxonMobil also faces environment-related lawsuits with potentially material impacts on the business. For example:</w:t>
      </w:r>
    </w:p>
    <w:p>
      <w:pPr>
        <w:spacing w:after="0" w:line="59" w:lineRule="exact"/>
        <w:rPr>
          <w:sz w:val="20"/>
          <w:szCs w:val="20"/>
          <w:color w:val="auto"/>
        </w:rPr>
      </w:pPr>
    </w:p>
    <w:p>
      <w:pPr>
        <w:ind w:left="1140" w:right="300" w:hanging="376"/>
        <w:spacing w:after="0" w:line="220" w:lineRule="auto"/>
        <w:tabs>
          <w:tab w:leader="none" w:pos="11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Multiple climate lawsuits brought by states and attorneys general alleging failures to adequately address climate risks, an obligation to pay damages for climate harms, and misleading consumers and investors regarding greenhouse gas emissions.</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Individually and cumulatively, losing these cases could have a direct financial and/or reputational impact on ExxonMobil.</w:t>
      </w:r>
    </w:p>
    <w:p>
      <w:pPr>
        <w:spacing w:after="0" w:line="88" w:lineRule="exact"/>
        <w:rPr>
          <w:rFonts w:ascii="Arial" w:cs="Arial" w:eastAsia="Arial" w:hAnsi="Arial"/>
          <w:sz w:val="18"/>
          <w:szCs w:val="18"/>
          <w:color w:val="auto"/>
        </w:rPr>
      </w:pPr>
    </w:p>
    <w:p>
      <w:pPr>
        <w:ind w:left="1140" w:right="240" w:hanging="376"/>
        <w:spacing w:after="0" w:line="271" w:lineRule="auto"/>
        <w:tabs>
          <w:tab w:leader="none" w:pos="11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Multiple lawsuits alleging non-compliance with legal requirements by ExxonMobil’s major investment in Guyana. A court has cut two of ExxonMobil’s Guyana subsidiary’s environmental permits from over 20 years to 5 years.</w:t>
      </w:r>
    </w:p>
    <w:p>
      <w:pPr>
        <w:spacing w:after="0" w:line="59" w:lineRule="exact"/>
        <w:rPr>
          <w:rFonts w:ascii="Arial" w:cs="Arial" w:eastAsia="Arial" w:hAnsi="Arial"/>
          <w:sz w:val="18"/>
          <w:szCs w:val="18"/>
          <w:color w:val="auto"/>
        </w:rPr>
      </w:pPr>
    </w:p>
    <w:p>
      <w:pPr>
        <w:ind w:left="1140" w:right="140" w:hanging="376"/>
        <w:spacing w:after="0" w:line="247" w:lineRule="auto"/>
        <w:tabs>
          <w:tab w:leader="none" w:pos="11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Ongoing lawsuits seek cancellation of more permits, enforcement regarding safety conditions amid reports of spills, and unlimited parent company indemnities to cover the risk of a major spill that could impact many Caribbean countries. Constitutional litigation demands that Guyana’s government halt oil and gas production entirely due to its alleged impact on the environment.</w:t>
      </w:r>
    </w:p>
    <w:p>
      <w:pPr>
        <w:spacing w:after="0" w:line="86"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96</w:t>
      </w:r>
      <w:r>
        <w:rPr>
          <w:sz w:val="20"/>
          <w:szCs w:val="20"/>
          <w:color w:val="auto"/>
        </w:rPr>
        <w:tab/>
      </w:r>
      <w:r>
        <w:rPr>
          <w:sz w:val="1"/>
          <w:szCs w:val="1"/>
          <w:color w:val="auto"/>
        </w:rPr>
        <w:drawing>
          <wp:inline distT="0" distB="0" distL="0" distR="0">
            <wp:extent cx="737235" cy="146050"/>
            <wp:effectExtent l="0" t="0" r="0" b="0"/>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2023 Proxy Statement</w:t>
      </w:r>
    </w:p>
    <w:p>
      <w:pPr>
        <w:sectPr>
          <w:pgSz w:w="11900" w:h="16838" w:orient="portrait"/>
          <w:cols w:equalWidth="0" w:num="1">
            <w:col w:w="10440"/>
          </w:cols>
          <w:pgMar w:left="320" w:top="482" w:right="11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760" w:right="120"/>
        <w:spacing w:after="0" w:line="244" w:lineRule="auto"/>
        <w:rPr>
          <w:sz w:val="20"/>
          <w:szCs w:val="20"/>
          <w:color w:val="auto"/>
        </w:rPr>
      </w:pPr>
      <w:r>
        <w:rPr>
          <w:rFonts w:ascii="Arial" w:cs="Arial" w:eastAsia="Arial" w:hAnsi="Arial"/>
          <w:sz w:val="18"/>
          <w:szCs w:val="18"/>
          <w:color w:val="auto"/>
        </w:rPr>
        <w:t>Clearly, ExxonMobil is not immune to risks of environment-related litigation. However, it discloses what we believe is insufficient information on these risks, leaving shareholders with an inadequate means to assess the future value of their investments. Therefore, the shareholders believe the board of directors of the Company should take the steps necessary to direct the Company to provide additional disclosure regarding these risks so that the shareholders are able to properly evaluate potential impact such risks may have on the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158115</wp:posOffset>
            </wp:positionV>
            <wp:extent cx="166306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69" w:lineRule="exact"/>
        <w:rPr>
          <w:sz w:val="20"/>
          <w:szCs w:val="20"/>
          <w:color w:val="auto"/>
        </w:rPr>
      </w:pPr>
    </w:p>
    <w:p>
      <w:pPr>
        <w:ind w:left="1140" w:right="60" w:hanging="376"/>
        <w:spacing w:after="0" w:line="205" w:lineRule="auto"/>
        <w:tabs>
          <w:tab w:leader="none" w:pos="1140" w:val="left"/>
        </w:tabs>
        <w:numPr>
          <w:ilvl w:val="0"/>
          <w:numId w:val="99"/>
        </w:numPr>
        <w:rPr>
          <w:rFonts w:ascii="Arial" w:cs="Arial" w:eastAsia="Arial" w:hAnsi="Arial"/>
          <w:sz w:val="24"/>
          <w:szCs w:val="24"/>
          <w:color w:val="auto"/>
          <w:vertAlign w:val="superscript"/>
        </w:rPr>
      </w:pPr>
      <w:r>
        <w:rPr>
          <w:rFonts w:ascii="Arial" w:cs="Arial" w:eastAsia="Arial" w:hAnsi="Arial"/>
          <w:sz w:val="16"/>
          <w:szCs w:val="16"/>
          <w:color w:val="auto"/>
        </w:rPr>
        <w:t>See e.g., City and County of Honolulu v. ExxonMobil et al. 1CCV-20-0000380; Matthew Platkin Attorney-General of New Jersey v. ExxonMobil Corporation et al. MER-L-001797-22; Commonwealth of Massachusetts v. ExxonMobil Corporation No.</w:t>
      </w:r>
    </w:p>
    <w:p>
      <w:pPr>
        <w:spacing w:after="0" w:line="1" w:lineRule="exact"/>
        <w:rPr>
          <w:rFonts w:ascii="Arial" w:cs="Arial" w:eastAsia="Arial" w:hAnsi="Arial"/>
          <w:sz w:val="24"/>
          <w:szCs w:val="24"/>
          <w:color w:val="auto"/>
          <w:vertAlign w:val="superscript"/>
        </w:rPr>
      </w:pPr>
    </w:p>
    <w:p>
      <w:pPr>
        <w:ind w:left="1140"/>
        <w:spacing w:after="0"/>
        <w:rPr>
          <w:rFonts w:ascii="Arial" w:cs="Arial" w:eastAsia="Arial" w:hAnsi="Arial"/>
          <w:sz w:val="24"/>
          <w:szCs w:val="24"/>
          <w:color w:val="auto"/>
          <w:vertAlign w:val="superscript"/>
        </w:rPr>
      </w:pPr>
      <w:r>
        <w:rPr>
          <w:rFonts w:ascii="Arial" w:cs="Arial" w:eastAsia="Arial" w:hAnsi="Arial"/>
          <w:sz w:val="16"/>
          <w:szCs w:val="16"/>
          <w:color w:val="auto"/>
        </w:rPr>
        <w:t>19-12430-WGY.”</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The Board carefully considered this proposal and recommends you vote AGAINST it for the following reasons:</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This is one of 10 new reports requested by proponents at this annual shareholder meeting.</w:t>
      </w:r>
    </w:p>
    <w:p>
      <w:pPr>
        <w:spacing w:after="0" w:line="212" w:lineRule="exact"/>
        <w:rPr>
          <w:sz w:val="20"/>
          <w:szCs w:val="20"/>
          <w:color w:val="auto"/>
        </w:rPr>
      </w:pPr>
    </w:p>
    <w:p>
      <w:pPr>
        <w:ind w:left="760" w:right="20"/>
        <w:spacing w:after="0" w:line="253" w:lineRule="auto"/>
        <w:rPr>
          <w:sz w:val="20"/>
          <w:szCs w:val="20"/>
          <w:color w:val="auto"/>
        </w:rPr>
      </w:pPr>
      <w:r>
        <w:rPr>
          <w:rFonts w:ascii="Arial" w:cs="Arial" w:eastAsia="Arial" w:hAnsi="Arial"/>
          <w:sz w:val="18"/>
          <w:szCs w:val="18"/>
          <w:color w:val="auto"/>
        </w:rPr>
        <w:t>ExxonMobil is committed to providing transparency to shareholders. In accordance with U.S. Securities and Exchange Commission (SEC) regulations and U.S. Generally Accepted Accounting Principles (GAAP), we disclose material litigation risks, and where appropriate, financial contingencies related to litigation.</w:t>
      </w:r>
    </w:p>
    <w:p>
      <w:pPr>
        <w:spacing w:after="0" w:line="169" w:lineRule="exact"/>
        <w:rPr>
          <w:sz w:val="20"/>
          <w:szCs w:val="20"/>
          <w:color w:val="auto"/>
        </w:rPr>
      </w:pPr>
    </w:p>
    <w:p>
      <w:pPr>
        <w:ind w:left="760" w:right="100"/>
        <w:spacing w:after="0" w:line="242" w:lineRule="auto"/>
        <w:rPr>
          <w:sz w:val="20"/>
          <w:szCs w:val="20"/>
          <w:color w:val="auto"/>
        </w:rPr>
      </w:pPr>
      <w:r>
        <w:rPr>
          <w:rFonts w:ascii="Arial" w:cs="Arial" w:eastAsia="Arial" w:hAnsi="Arial"/>
          <w:sz w:val="18"/>
          <w:szCs w:val="18"/>
          <w:color w:val="auto"/>
        </w:rPr>
        <w:t>SEC regulations also require public companies to disclose proceedings arising under environmental laws where a governmental authority is a party and the potential monetary sanctions exceed certain financial thresholds. These SEC and GAAP accounting rules strike a careful balance of providing information to investors while recognizing that the public disclosure of proprietary and/or confidential information, including protected attorney-client and work product communications, can impair a public company’s ability to defend itself in litigation while providing publicity and advantage to those attacking the company.</w:t>
      </w:r>
    </w:p>
    <w:p>
      <w:pPr>
        <w:spacing w:after="0" w:line="179" w:lineRule="exact"/>
        <w:rPr>
          <w:sz w:val="20"/>
          <w:szCs w:val="20"/>
          <w:color w:val="auto"/>
        </w:rPr>
      </w:pPr>
    </w:p>
    <w:p>
      <w:pPr>
        <w:ind w:left="760" w:right="120"/>
        <w:spacing w:after="0"/>
        <w:rPr>
          <w:sz w:val="20"/>
          <w:szCs w:val="20"/>
          <w:color w:val="auto"/>
        </w:rPr>
      </w:pPr>
      <w:r>
        <w:rPr>
          <w:rFonts w:ascii="Arial" w:cs="Arial" w:eastAsia="Arial" w:hAnsi="Arial"/>
          <w:sz w:val="18"/>
          <w:szCs w:val="18"/>
          <w:color w:val="auto"/>
        </w:rPr>
        <w:t>Despite our multiple invitations to the proponent to discuss the proposal, the proponent has declined to speak with us without her legal counsel present. Not only would the presence of counsel be inconsistent with the Company’s longstanding shareholder engagement practices, this particular proponent is affiliated with As You Sow, which has a history of adversarial conduct toward the Company in a litigation context; As You Sow’s President and Chief Counsel, Danielle Fugere, was named as a witness against the Company by the New York Attorney General (NYAG) and deposed in the lead up to the 2019 trial, in which the court ultimately ruled in favor of the Company on all claims brought by the NYAG. We believe this proposal is an extension of As You Sow’s continued advocacy against the Company and antithetical to the interests of its shareholders.</w:t>
      </w:r>
    </w:p>
    <w:p>
      <w:pPr>
        <w:spacing w:after="0" w:line="180" w:lineRule="exact"/>
        <w:rPr>
          <w:sz w:val="20"/>
          <w:szCs w:val="20"/>
          <w:color w:val="auto"/>
        </w:rPr>
      </w:pPr>
    </w:p>
    <w:p>
      <w:pPr>
        <w:ind w:left="760" w:right="200"/>
        <w:spacing w:after="0" w:line="244" w:lineRule="auto"/>
        <w:rPr>
          <w:sz w:val="20"/>
          <w:szCs w:val="20"/>
          <w:color w:val="auto"/>
        </w:rPr>
      </w:pPr>
      <w:r>
        <w:rPr>
          <w:rFonts w:ascii="Arial" w:cs="Arial" w:eastAsia="Arial" w:hAnsi="Arial"/>
          <w:sz w:val="18"/>
          <w:szCs w:val="18"/>
          <w:color w:val="auto"/>
        </w:rPr>
        <w:t>Demanding information beyond what is required by legal and accounting disclosure rules unnecessarily risks public disclosure of information that could jeopardize our operations or limit our ability to effectively defend the Company in current and future litigation. We believe that the proceedings referred to in the proposal do not meet the materiality standard for disclosure under applicable accounting rules and regulations. Moreover, we believe those proceedings lack merit, and we intend to vigorously defend against them.</w:t>
      </w:r>
    </w:p>
    <w:p>
      <w:pPr>
        <w:spacing w:after="0" w:line="176" w:lineRule="exact"/>
        <w:rPr>
          <w:sz w:val="20"/>
          <w:szCs w:val="20"/>
          <w:color w:val="auto"/>
        </w:rPr>
      </w:pPr>
    </w:p>
    <w:p>
      <w:pPr>
        <w:ind w:left="760"/>
        <w:spacing w:after="0" w:line="242" w:lineRule="auto"/>
        <w:rPr>
          <w:sz w:val="20"/>
          <w:szCs w:val="20"/>
          <w:color w:val="auto"/>
        </w:rPr>
      </w:pPr>
      <w:r>
        <w:rPr>
          <w:rFonts w:ascii="Arial" w:cs="Arial" w:eastAsia="Arial" w:hAnsi="Arial"/>
          <w:sz w:val="18"/>
          <w:szCs w:val="18"/>
          <w:color w:val="auto"/>
        </w:rPr>
        <w:t>As for the proposal’s reference to media reports regarding environmental proceedings in Guyana, ExxonMobil’s local affiliate works cooperatively with the Guyana Environmental Protection Agency to ensure environmental permitting relating to exploration, development, and production activity fully complies with Guyana law. To date, permit challenges have been found to be meritless by both trial and appellate courts. Similarly, activist litigation to halt oil and gas production has failed in the courts, and pending litigation against the Government of Guyana (in which ExxonMobil’s local affiliate has intervened) also is expected to fail.</w:t>
      </w:r>
    </w:p>
    <w:p>
      <w:pPr>
        <w:spacing w:after="0" w:line="179" w:lineRule="exact"/>
        <w:rPr>
          <w:sz w:val="20"/>
          <w:szCs w:val="20"/>
          <w:color w:val="auto"/>
        </w:rPr>
      </w:pPr>
    </w:p>
    <w:p>
      <w:pPr>
        <w:ind w:left="760" w:right="20"/>
        <w:spacing w:after="0" w:line="269" w:lineRule="auto"/>
        <w:rPr>
          <w:sz w:val="20"/>
          <w:szCs w:val="20"/>
          <w:color w:val="auto"/>
        </w:rPr>
      </w:pPr>
      <w:r>
        <w:rPr>
          <w:rFonts w:ascii="Arial" w:cs="Arial" w:eastAsia="Arial" w:hAnsi="Arial"/>
          <w:sz w:val="17"/>
          <w:szCs w:val="17"/>
          <w:color w:val="auto"/>
        </w:rPr>
        <w:t>In addition, we notified the SEC of our view that this proposal, combined with the proposal from Andrew Behar (Item 11 above), misuses the shareholder proposal process by violating the clear intent of the SEC’s one-proposal limitation given that both proposals originate with persons directly affiliated with As You Sow. The proponent serves as board member and treasurer of As You Sow, and Mr. Behar is the CEO of As You Sow. As we’ve pointed out, As You Sow has a history of activism against the oil and natural gas industry, including working with “keep it in the ground” activists like EarthJustice.</w:t>
      </w:r>
      <w:r>
        <w:rPr>
          <w:rFonts w:ascii="Arial" w:cs="Arial" w:eastAsia="Arial" w:hAnsi="Arial"/>
          <w:sz w:val="25"/>
          <w:szCs w:val="25"/>
          <w:color w:val="auto"/>
          <w:vertAlign w:val="superscript"/>
        </w:rPr>
        <w:t>1</w:t>
      </w:r>
    </w:p>
    <w:p>
      <w:pPr>
        <w:spacing w:after="0" w:line="30" w:lineRule="exact"/>
        <w:rPr>
          <w:sz w:val="20"/>
          <w:szCs w:val="20"/>
          <w:color w:val="auto"/>
        </w:rPr>
      </w:pPr>
    </w:p>
    <w:p>
      <w:pPr>
        <w:ind w:left="760" w:right="160"/>
        <w:spacing w:after="0" w:line="257" w:lineRule="auto"/>
        <w:rPr>
          <w:sz w:val="20"/>
          <w:szCs w:val="20"/>
          <w:color w:val="auto"/>
        </w:rPr>
      </w:pPr>
      <w:r>
        <w:rPr>
          <w:rFonts w:ascii="Arial" w:cs="Arial" w:eastAsia="Arial" w:hAnsi="Arial"/>
          <w:sz w:val="18"/>
          <w:szCs w:val="18"/>
          <w:color w:val="auto"/>
        </w:rPr>
        <w:t xml:space="preserve">Given these facts, we believe this proposal was written with the explicit intent to utilize the shareholder proposal process for the benefit of plaintiffs’ lawyers and could harm the Company and our shareholders. Therefore, we strongly recommend a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138430</wp:posOffset>
            </wp:positionV>
            <wp:extent cx="166306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38" w:lineRule="exact"/>
        <w:rPr>
          <w:sz w:val="20"/>
          <w:szCs w:val="20"/>
          <w:color w:val="auto"/>
        </w:rPr>
      </w:pPr>
    </w:p>
    <w:p>
      <w:pPr>
        <w:ind w:left="1140" w:right="40" w:hanging="376"/>
        <w:spacing w:after="0" w:line="234" w:lineRule="auto"/>
        <w:tabs>
          <w:tab w:leader="none" w:pos="1140" w:val="left"/>
        </w:tabs>
        <w:numPr>
          <w:ilvl w:val="0"/>
          <w:numId w:val="100"/>
        </w:numPr>
        <w:rPr>
          <w:rFonts w:ascii="Arial" w:cs="Arial" w:eastAsia="Arial" w:hAnsi="Arial"/>
          <w:sz w:val="24"/>
          <w:szCs w:val="24"/>
          <w:color w:val="auto"/>
          <w:vertAlign w:val="superscript"/>
        </w:rPr>
      </w:pPr>
      <w:r>
        <w:rPr>
          <w:rFonts w:ascii="Arial" w:cs="Arial" w:eastAsia="Arial" w:hAnsi="Arial"/>
          <w:sz w:val="16"/>
          <w:szCs w:val="16"/>
          <w:color w:val="auto"/>
        </w:rPr>
        <w:t>As You Sow has previously worked with EarthJustice in filing complaints with the SEC against energy companies. (Source: https://www.upi.com/Energy-News/2014/05/07/Maryland-LNG-terminal-draws-fire/4981399470232/). EarthJustice describes the aims of its work to include: “End the extraction and burning of fossil fuels…blocking new fossil fuel infrastructure, and more.” (Source: https://earthjustice.org/our_work). Its strategies include, “…work[ing] to halt investments in massive new gas plants…and we compel utilities to consider clean energy and energy efficiency alternatives.” (Source: https://earthjustice.org/our_work/oil-coal-gas). EarthJustice has also engaged in several legal campaigns that involved Exxon. (Source: https://earthjustice.org/blog/2017-may/taking-exxon-to-court-to-protect-clean-air-and-winning-big)</w:t>
      </w:r>
    </w:p>
    <w:p>
      <w:pPr>
        <w:spacing w:after="0" w:line="120"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605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480"/>
          </w:cols>
          <w:pgMar w:left="320" w:top="482" w:right="10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4"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Item 15 – Tax Reporting Beyond Legal Requirements</w:t>
      </w:r>
    </w:p>
    <w:p>
      <w:pPr>
        <w:spacing w:after="0" w:line="99" w:lineRule="exact"/>
        <w:rPr>
          <w:sz w:val="20"/>
          <w:szCs w:val="20"/>
          <w:color w:val="auto"/>
        </w:rPr>
      </w:pPr>
    </w:p>
    <w:p>
      <w:pPr>
        <w:ind w:left="760" w:right="60"/>
        <w:spacing w:after="0" w:line="216" w:lineRule="auto"/>
        <w:rPr>
          <w:sz w:val="20"/>
          <w:szCs w:val="20"/>
          <w:color w:val="auto"/>
        </w:rPr>
      </w:pPr>
      <w:r>
        <w:rPr>
          <w:rFonts w:ascii="Arial" w:cs="Arial" w:eastAsia="Arial" w:hAnsi="Arial"/>
          <w:sz w:val="18"/>
          <w:szCs w:val="18"/>
          <w:color w:val="auto"/>
        </w:rPr>
        <w:t>This proposal was submitted by Oxfam America, 226 Causeway Street, 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Boston, Massachusetts 02114, the beneficial owner of shares with a market value greater than $2,000 for at least three years, and lead proponent of a filing group.</w:t>
      </w:r>
    </w:p>
    <w:p>
      <w:pPr>
        <w:spacing w:after="0" w:line="182" w:lineRule="exact"/>
        <w:rPr>
          <w:sz w:val="20"/>
          <w:szCs w:val="20"/>
          <w:color w:val="auto"/>
        </w:rPr>
      </w:pPr>
    </w:p>
    <w:p>
      <w:pPr>
        <w:ind w:left="76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Shareholders request that the Board of Directors issue a tax transparency report to shareholders, at reasonable expense and excluding confidential information, prepared in consideration of the indicators and guidelines set forth in the Global Reporting Initiative’s (GRI) Tax Standard.</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Supporting Statement</w:t>
      </w:r>
    </w:p>
    <w:p>
      <w:pPr>
        <w:spacing w:after="0" w:line="104" w:lineRule="exact"/>
        <w:rPr>
          <w:sz w:val="20"/>
          <w:szCs w:val="20"/>
          <w:color w:val="auto"/>
        </w:rPr>
      </w:pPr>
    </w:p>
    <w:p>
      <w:pPr>
        <w:ind w:left="760"/>
        <w:spacing w:after="0" w:line="222" w:lineRule="auto"/>
        <w:rPr>
          <w:sz w:val="20"/>
          <w:szCs w:val="20"/>
          <w:color w:val="auto"/>
        </w:rPr>
      </w:pPr>
      <w:r>
        <w:rPr>
          <w:rFonts w:ascii="Arial" w:cs="Arial" w:eastAsia="Arial" w:hAnsi="Arial"/>
          <w:sz w:val="18"/>
          <w:szCs w:val="18"/>
          <w:color w:val="auto"/>
        </w:rPr>
        <w:t>The GRI Standards are the world’s most utilized corporate reporting standard.</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The GRI Tax Standard – GRI 207 – is the first comprehensive, global standard for public tax disclosure. It includes four components. GRI 207-1, 207-2, and 207-3 require companies to disclose their approach to tax; their tax governance, control, and risk management; and their stakeholder engagement and management of concerns related to tax, respectively. 207-4 requires public country-by-country reporting (CbCR) of certain company financial information, including revenues, profits and losses, and tax payments within each jurisdiction.</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GRI 207 also recommends disclosing ‘industry-related and other taxes or payments to governments.’ Given the significance of other project-specific payments to governments in the oil and gas sector, GRI identifies disclosures of all significant project-level payments to governments as relevant for that sector in reporting under the Tax Standard.</w:t>
      </w:r>
      <w:r>
        <w:rPr>
          <w:rFonts w:ascii="Arial" w:cs="Arial" w:eastAsia="Arial" w:hAnsi="Arial"/>
          <w:sz w:val="26"/>
          <w:szCs w:val="26"/>
          <w:color w:val="auto"/>
          <w:vertAlign w:val="superscript"/>
        </w:rPr>
        <w:t>3</w:t>
      </w:r>
    </w:p>
    <w:p>
      <w:pPr>
        <w:spacing w:after="0" w:line="60" w:lineRule="exact"/>
        <w:rPr>
          <w:sz w:val="20"/>
          <w:szCs w:val="20"/>
          <w:color w:val="auto"/>
        </w:rPr>
      </w:pPr>
    </w:p>
    <w:p>
      <w:pPr>
        <w:ind w:left="760" w:right="200"/>
        <w:spacing w:after="0" w:line="230" w:lineRule="auto"/>
        <w:rPr>
          <w:sz w:val="20"/>
          <w:szCs w:val="20"/>
          <w:color w:val="auto"/>
        </w:rPr>
      </w:pPr>
      <w:r>
        <w:rPr>
          <w:rFonts w:ascii="Arial" w:cs="Arial" w:eastAsia="Arial" w:hAnsi="Arial"/>
          <w:sz w:val="18"/>
          <w:szCs w:val="18"/>
          <w:color w:val="auto"/>
        </w:rPr>
        <w:t>Tax transparency is increasingly important to investors. The PRI, representing investors with $89 trillion assets under management, states that tax avoidance is a key driver of inequality.</w:t>
      </w:r>
      <w:r>
        <w:rPr>
          <w:rFonts w:ascii="Arial" w:cs="Arial" w:eastAsia="Arial" w:hAnsi="Arial"/>
          <w:sz w:val="26"/>
          <w:szCs w:val="26"/>
          <w:color w:val="auto"/>
          <w:vertAlign w:val="superscript"/>
        </w:rPr>
        <w:t>4</w:t>
      </w:r>
      <w:r>
        <w:rPr>
          <w:rFonts w:ascii="Arial" w:cs="Arial" w:eastAsia="Arial" w:hAnsi="Arial"/>
          <w:sz w:val="18"/>
          <w:szCs w:val="18"/>
          <w:color w:val="auto"/>
        </w:rPr>
        <w:t xml:space="preserve"> Economic challenges have increased government concern about corporate tax avoidance, and 96% of US companies expect more tax disputes as governments become more rigorous in tax examinations.</w:t>
      </w:r>
      <w:r>
        <w:rPr>
          <w:rFonts w:ascii="Arial" w:cs="Arial" w:eastAsia="Arial" w:hAnsi="Arial"/>
          <w:sz w:val="26"/>
          <w:szCs w:val="26"/>
          <w:color w:val="auto"/>
          <w:vertAlign w:val="superscript"/>
        </w:rPr>
        <w:t>5</w:t>
      </w:r>
    </w:p>
    <w:p>
      <w:pPr>
        <w:spacing w:after="0" w:line="56" w:lineRule="exact"/>
        <w:rPr>
          <w:sz w:val="20"/>
          <w:szCs w:val="20"/>
          <w:color w:val="auto"/>
        </w:rPr>
      </w:pPr>
    </w:p>
    <w:p>
      <w:pPr>
        <w:ind w:left="760" w:right="80"/>
        <w:spacing w:after="0" w:line="211" w:lineRule="auto"/>
        <w:rPr>
          <w:sz w:val="20"/>
          <w:szCs w:val="20"/>
          <w:color w:val="auto"/>
        </w:rPr>
      </w:pPr>
      <w:r>
        <w:rPr>
          <w:rFonts w:ascii="Arial" w:cs="Arial" w:eastAsia="Arial" w:hAnsi="Arial"/>
          <w:sz w:val="18"/>
          <w:szCs w:val="18"/>
          <w:color w:val="auto"/>
        </w:rPr>
        <w:t>In October 2021, 136 countries agreed to a global tax reform framework.</w:t>
      </w:r>
      <w:r>
        <w:rPr>
          <w:rFonts w:ascii="Arial" w:cs="Arial" w:eastAsia="Arial" w:hAnsi="Arial"/>
          <w:sz w:val="26"/>
          <w:szCs w:val="26"/>
          <w:color w:val="auto"/>
          <w:vertAlign w:val="superscript"/>
        </w:rPr>
        <w:t>6</w:t>
      </w:r>
      <w:r>
        <w:rPr>
          <w:rFonts w:ascii="Arial" w:cs="Arial" w:eastAsia="Arial" w:hAnsi="Arial"/>
          <w:sz w:val="18"/>
          <w:szCs w:val="18"/>
          <w:color w:val="auto"/>
        </w:rPr>
        <w:t xml:space="preserve"> The proposed Disclosure of Tax Havens and Offshoring Act, passed by the House of Representatives in 2021, would require public CbCR of financial (including tax) data by SEC-registered companies.</w:t>
      </w:r>
      <w:r>
        <w:rPr>
          <w:rFonts w:ascii="Arial" w:cs="Arial" w:eastAsia="Arial" w:hAnsi="Arial"/>
          <w:sz w:val="26"/>
          <w:szCs w:val="26"/>
          <w:color w:val="auto"/>
          <w:vertAlign w:val="superscript"/>
        </w:rPr>
        <w:t>7</w:t>
      </w:r>
      <w:r>
        <w:rPr>
          <w:rFonts w:ascii="Arial" w:cs="Arial" w:eastAsia="Arial" w:hAnsi="Arial"/>
          <w:sz w:val="18"/>
          <w:szCs w:val="18"/>
          <w:color w:val="auto"/>
        </w:rPr>
        <w:t xml:space="preserve"> Further, in November 2021, the European Union approved a directive to implement public CbCR for large multinationals operating there.</w:t>
      </w:r>
      <w:r>
        <w:rPr>
          <w:rFonts w:ascii="Arial" w:cs="Arial" w:eastAsia="Arial" w:hAnsi="Arial"/>
          <w:sz w:val="26"/>
          <w:szCs w:val="26"/>
          <w:color w:val="auto"/>
          <w:vertAlign w:val="superscript"/>
        </w:rPr>
        <w:t>8</w:t>
      </w:r>
    </w:p>
    <w:p>
      <w:pPr>
        <w:spacing w:after="0" w:line="55" w:lineRule="exact"/>
        <w:rPr>
          <w:sz w:val="20"/>
          <w:szCs w:val="20"/>
          <w:color w:val="auto"/>
        </w:rPr>
      </w:pPr>
    </w:p>
    <w:p>
      <w:pPr>
        <w:ind w:left="760" w:right="60"/>
        <w:spacing w:after="0" w:line="231" w:lineRule="auto"/>
        <w:rPr>
          <w:sz w:val="20"/>
          <w:szCs w:val="20"/>
          <w:color w:val="auto"/>
        </w:rPr>
      </w:pPr>
      <w:r>
        <w:rPr>
          <w:rFonts w:ascii="Arial" w:cs="Arial" w:eastAsia="Arial" w:hAnsi="Arial"/>
          <w:sz w:val="18"/>
          <w:szCs w:val="18"/>
          <w:color w:val="auto"/>
        </w:rPr>
        <w:t>ExxonMobil does not disclose revenues or profits in non-US markets, nor foreign tax payments, with adequately disaggregated data, challenging investors’ ability to evaluate the risks of taxation reforms, or whether ExxonMobil engages in responsible tax practices that ensure long term value creation. Tax authorities across the globe have repeatedly challenged ExxonMobil’s taxation approach, producing significant costs for the company.</w:t>
      </w:r>
      <w:r>
        <w:rPr>
          <w:rFonts w:ascii="Arial" w:cs="Arial" w:eastAsia="Arial" w:hAnsi="Arial"/>
          <w:sz w:val="26"/>
          <w:szCs w:val="26"/>
          <w:color w:val="auto"/>
          <w:vertAlign w:val="superscript"/>
        </w:rPr>
        <w:t>9</w:t>
      </w:r>
      <w:r>
        <w:rPr>
          <w:rFonts w:ascii="Arial" w:cs="Arial" w:eastAsia="Arial" w:hAnsi="Arial"/>
          <w:sz w:val="18"/>
          <w:szCs w:val="18"/>
          <w:color w:val="auto"/>
        </w:rPr>
        <w:t xml:space="preserve"> In a recent case involving ExxonMobil’s dealings in Qatar and Malaysia, a US federal court denied ExxonMobil a $1 billion refund request and the IRS initially assessed a $200 million penalty to ExxonMobil for claiming an excessive refund.</w:t>
      </w:r>
      <w:r>
        <w:rPr>
          <w:rFonts w:ascii="Arial" w:cs="Arial" w:eastAsia="Arial" w:hAnsi="Arial"/>
          <w:sz w:val="26"/>
          <w:szCs w:val="26"/>
          <w:color w:val="auto"/>
          <w:vertAlign w:val="superscript"/>
        </w:rPr>
        <w:t>10</w:t>
      </w:r>
    </w:p>
    <w:p>
      <w:pPr>
        <w:spacing w:after="0" w:line="59" w:lineRule="exact"/>
        <w:rPr>
          <w:sz w:val="20"/>
          <w:szCs w:val="20"/>
          <w:color w:val="auto"/>
        </w:rPr>
      </w:pPr>
    </w:p>
    <w:p>
      <w:pPr>
        <w:jc w:val="both"/>
        <w:ind w:left="760" w:right="180"/>
        <w:spacing w:after="0" w:line="216" w:lineRule="auto"/>
        <w:rPr>
          <w:sz w:val="20"/>
          <w:szCs w:val="20"/>
          <w:color w:val="auto"/>
        </w:rPr>
      </w:pPr>
      <w:r>
        <w:rPr>
          <w:rFonts w:ascii="Arial" w:cs="Arial" w:eastAsia="Arial" w:hAnsi="Arial"/>
          <w:sz w:val="18"/>
          <w:szCs w:val="18"/>
          <w:color w:val="auto"/>
        </w:rPr>
        <w:t>A GRI-aligned tax transparency report would bring ExxonMobil in line with peer companies – including many in the oil, gas, and mining industries</w:t>
      </w:r>
      <w:r>
        <w:rPr>
          <w:rFonts w:ascii="Arial" w:cs="Arial" w:eastAsia="Arial" w:hAnsi="Arial"/>
          <w:sz w:val="26"/>
          <w:szCs w:val="26"/>
          <w:color w:val="auto"/>
          <w:vertAlign w:val="superscript"/>
        </w:rPr>
        <w:t>11</w:t>
      </w:r>
      <w:r>
        <w:rPr>
          <w:rFonts w:ascii="Arial" w:cs="Arial" w:eastAsia="Arial" w:hAnsi="Arial"/>
          <w:sz w:val="18"/>
          <w:szCs w:val="18"/>
          <w:color w:val="auto"/>
        </w:rPr>
        <w:t xml:space="preserve"> – who report using GRI 207.</w:t>
      </w:r>
      <w:r>
        <w:rPr>
          <w:rFonts w:ascii="Arial" w:cs="Arial" w:eastAsia="Arial" w:hAnsi="Arial"/>
          <w:sz w:val="26"/>
          <w:szCs w:val="26"/>
          <w:color w:val="auto"/>
          <w:vertAlign w:val="superscript"/>
        </w:rPr>
        <w:t>12</w:t>
      </w:r>
      <w:r>
        <w:rPr>
          <w:rFonts w:ascii="Arial" w:cs="Arial" w:eastAsia="Arial" w:hAnsi="Arial"/>
          <w:sz w:val="18"/>
          <w:szCs w:val="18"/>
          <w:color w:val="auto"/>
        </w:rPr>
        <w:t xml:space="preserve"> ExxonMobil already reports CbCR information to OECD tax authorities privately, so any increased burden is negligible.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84455</wp:posOffset>
            </wp:positionV>
            <wp:extent cx="166306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78" w:lineRule="exact"/>
        <w:rPr>
          <w:sz w:val="20"/>
          <w:szCs w:val="20"/>
          <w:color w:val="auto"/>
        </w:rPr>
      </w:pPr>
    </w:p>
    <w:p>
      <w:pPr>
        <w:ind w:left="1140" w:hanging="376"/>
        <w:spacing w:after="0"/>
        <w:tabs>
          <w:tab w:leader="none" w:pos="1140" w:val="left"/>
        </w:tabs>
        <w:numPr>
          <w:ilvl w:val="0"/>
          <w:numId w:val="101"/>
        </w:numPr>
        <w:rPr>
          <w:rFonts w:ascii="Arial" w:cs="Arial" w:eastAsia="Arial" w:hAnsi="Arial"/>
          <w:sz w:val="24"/>
          <w:szCs w:val="24"/>
          <w:color w:val="auto"/>
          <w:vertAlign w:val="superscript"/>
        </w:rPr>
      </w:pPr>
      <w:r>
        <w:rPr>
          <w:rFonts w:ascii="Arial" w:cs="Arial" w:eastAsia="Arial" w:hAnsi="Arial"/>
          <w:sz w:val="16"/>
          <w:szCs w:val="16"/>
          <w:color w:val="auto"/>
        </w:rPr>
        <w:t>https://assets.kpmg/content/dam/kpmg/xx/pdf/2020/11/the-time-has-come.pdf</w:t>
      </w:r>
    </w:p>
    <w:p>
      <w:pPr>
        <w:ind w:left="1140" w:hanging="376"/>
        <w:spacing w:after="0" w:line="187" w:lineRule="auto"/>
        <w:tabs>
          <w:tab w:leader="none" w:pos="1140" w:val="left"/>
        </w:tabs>
        <w:numPr>
          <w:ilvl w:val="0"/>
          <w:numId w:val="102"/>
        </w:numPr>
        <w:rPr>
          <w:rFonts w:ascii="Arial" w:cs="Arial" w:eastAsia="Arial" w:hAnsi="Arial"/>
          <w:sz w:val="21"/>
          <w:szCs w:val="21"/>
          <w:color w:val="auto"/>
          <w:vertAlign w:val="superscript"/>
        </w:rPr>
      </w:pPr>
      <w:r>
        <w:rPr>
          <w:rFonts w:ascii="Arial" w:cs="Arial" w:eastAsia="Arial" w:hAnsi="Arial"/>
          <w:sz w:val="14"/>
          <w:szCs w:val="14"/>
          <w:color w:val="auto"/>
        </w:rPr>
        <w:t>https://www.globalreporting.org/standards/media/2482/gri-207-tax-2019.pdf</w:t>
      </w:r>
    </w:p>
    <w:p>
      <w:pPr>
        <w:ind w:left="1140" w:hanging="376"/>
        <w:spacing w:after="0" w:line="180" w:lineRule="auto"/>
        <w:tabs>
          <w:tab w:leader="none" w:pos="1140" w:val="left"/>
        </w:tabs>
        <w:numPr>
          <w:ilvl w:val="0"/>
          <w:numId w:val="103"/>
        </w:numPr>
        <w:rPr>
          <w:rFonts w:ascii="Arial" w:cs="Arial" w:eastAsia="Arial" w:hAnsi="Arial"/>
          <w:sz w:val="22"/>
          <w:szCs w:val="22"/>
          <w:color w:val="auto"/>
          <w:vertAlign w:val="superscript"/>
        </w:rPr>
      </w:pPr>
      <w:r>
        <w:rPr>
          <w:rFonts w:ascii="Arial" w:cs="Arial" w:eastAsia="Arial" w:hAnsi="Arial"/>
          <w:sz w:val="15"/>
          <w:szCs w:val="15"/>
          <w:color w:val="auto"/>
        </w:rPr>
        <w:t>https://www.globalreporting.org/standards/standards-development/sector-standard-for-oil-and-gas/</w:t>
      </w:r>
    </w:p>
    <w:p>
      <w:pPr>
        <w:ind w:left="1140" w:hanging="376"/>
        <w:spacing w:after="0" w:line="187" w:lineRule="auto"/>
        <w:tabs>
          <w:tab w:leader="none" w:pos="1140" w:val="left"/>
        </w:tabs>
        <w:numPr>
          <w:ilvl w:val="0"/>
          <w:numId w:val="104"/>
        </w:numPr>
        <w:rPr>
          <w:rFonts w:ascii="Arial" w:cs="Arial" w:eastAsia="Arial" w:hAnsi="Arial"/>
          <w:sz w:val="21"/>
          <w:szCs w:val="21"/>
          <w:color w:val="auto"/>
          <w:vertAlign w:val="superscript"/>
        </w:rPr>
      </w:pPr>
      <w:r>
        <w:rPr>
          <w:rFonts w:ascii="Arial" w:cs="Arial" w:eastAsia="Arial" w:hAnsi="Arial"/>
          <w:sz w:val="14"/>
          <w:szCs w:val="14"/>
          <w:color w:val="auto"/>
        </w:rPr>
        <w:t>https://www.globalreporting.org/about-gri/news-center/backing-for-gri-s-tax-standard/</w:t>
      </w:r>
    </w:p>
    <w:p>
      <w:pPr>
        <w:ind w:left="1140" w:hanging="376"/>
        <w:spacing w:after="0" w:line="180" w:lineRule="auto"/>
        <w:tabs>
          <w:tab w:leader="none" w:pos="1140" w:val="left"/>
        </w:tabs>
        <w:numPr>
          <w:ilvl w:val="0"/>
          <w:numId w:val="105"/>
        </w:numPr>
        <w:rPr>
          <w:rFonts w:ascii="Arial" w:cs="Arial" w:eastAsia="Arial" w:hAnsi="Arial"/>
          <w:sz w:val="22"/>
          <w:szCs w:val="22"/>
          <w:color w:val="auto"/>
          <w:vertAlign w:val="superscript"/>
        </w:rPr>
      </w:pPr>
      <w:r>
        <w:rPr>
          <w:rFonts w:ascii="Arial" w:cs="Arial" w:eastAsia="Arial" w:hAnsi="Arial"/>
          <w:sz w:val="15"/>
          <w:szCs w:val="15"/>
          <w:color w:val="auto"/>
        </w:rPr>
        <w:t>https://www2.deloitte.com/content/dam/Deloitte/global/Documents/Tax/gx-beps-global-survey-summary-results-2022.pdf</w:t>
      </w:r>
    </w:p>
    <w:p>
      <w:pPr>
        <w:ind w:left="1140" w:hanging="376"/>
        <w:spacing w:after="0" w:line="188" w:lineRule="auto"/>
        <w:tabs>
          <w:tab w:leader="none" w:pos="1140" w:val="left"/>
        </w:tabs>
        <w:numPr>
          <w:ilvl w:val="0"/>
          <w:numId w:val="106"/>
        </w:numPr>
        <w:rPr>
          <w:rFonts w:ascii="Arial" w:cs="Arial" w:eastAsia="Arial" w:hAnsi="Arial"/>
          <w:sz w:val="21"/>
          <w:szCs w:val="21"/>
          <w:color w:val="auto"/>
          <w:vertAlign w:val="superscript"/>
        </w:rPr>
      </w:pPr>
      <w:r>
        <w:rPr>
          <w:rFonts w:ascii="Arial" w:cs="Arial" w:eastAsia="Arial" w:hAnsi="Arial"/>
          <w:sz w:val="14"/>
          <w:szCs w:val="14"/>
          <w:color w:val="auto"/>
        </w:rPr>
        <w:t>https://www.oecd.org/tax/international-community-strikes-a-ground-breaking-tax-deal-for-the-digital-age.htm</w:t>
      </w:r>
    </w:p>
    <w:p>
      <w:pPr>
        <w:ind w:left="1140" w:hanging="376"/>
        <w:spacing w:after="0" w:line="187" w:lineRule="auto"/>
        <w:tabs>
          <w:tab w:leader="none" w:pos="1140" w:val="left"/>
        </w:tabs>
        <w:numPr>
          <w:ilvl w:val="0"/>
          <w:numId w:val="107"/>
        </w:numPr>
        <w:rPr>
          <w:rFonts w:ascii="Arial" w:cs="Arial" w:eastAsia="Arial" w:hAnsi="Arial"/>
          <w:sz w:val="21"/>
          <w:szCs w:val="21"/>
          <w:color w:val="auto"/>
          <w:vertAlign w:val="superscript"/>
        </w:rPr>
      </w:pPr>
      <w:r>
        <w:rPr>
          <w:rFonts w:ascii="Arial" w:cs="Arial" w:eastAsia="Arial" w:hAnsi="Arial"/>
          <w:sz w:val="14"/>
          <w:szCs w:val="14"/>
          <w:color w:val="auto"/>
        </w:rPr>
        <w:t>https://www.congress.gov/bill/117th-congress/house-bill/3007;</w:t>
      </w:r>
    </w:p>
    <w:p>
      <w:pPr>
        <w:ind w:left="1140" w:hanging="376"/>
        <w:spacing w:after="0" w:line="183" w:lineRule="auto"/>
        <w:tabs>
          <w:tab w:leader="none" w:pos="1140" w:val="left"/>
        </w:tabs>
        <w:numPr>
          <w:ilvl w:val="0"/>
          <w:numId w:val="108"/>
        </w:numPr>
        <w:rPr>
          <w:rFonts w:ascii="Arial" w:cs="Arial" w:eastAsia="Arial" w:hAnsi="Arial"/>
          <w:sz w:val="22"/>
          <w:szCs w:val="22"/>
          <w:color w:val="auto"/>
          <w:vertAlign w:val="superscript"/>
        </w:rPr>
      </w:pPr>
      <w:r>
        <w:rPr>
          <w:rFonts w:ascii="Arial" w:cs="Arial" w:eastAsia="Arial" w:hAnsi="Arial"/>
          <w:sz w:val="15"/>
          <w:szCs w:val="15"/>
          <w:color w:val="auto"/>
        </w:rPr>
        <w:t>https://www.internationaltaxreview.com/article/b1vf7yc65qpzcd/this-week-in-tax-eu-on-track-for-public-cbcr-by-2023</w:t>
      </w:r>
    </w:p>
    <w:p>
      <w:pPr>
        <w:ind w:left="1140" w:right="1580" w:hanging="378"/>
        <w:spacing w:after="0" w:line="246" w:lineRule="auto"/>
        <w:rPr>
          <w:rFonts w:ascii="Arial" w:cs="Arial" w:eastAsia="Arial" w:hAnsi="Arial"/>
          <w:sz w:val="22"/>
          <w:szCs w:val="22"/>
          <w:color w:val="auto"/>
          <w:vertAlign w:val="superscript"/>
        </w:rPr>
      </w:pPr>
      <w:r>
        <w:rPr>
          <w:rFonts w:ascii="Arial" w:cs="Arial" w:eastAsia="Arial" w:hAnsi="Arial"/>
          <w:sz w:val="24"/>
          <w:szCs w:val="24"/>
          <w:color w:val="auto"/>
          <w:vertAlign w:val="superscript"/>
        </w:rPr>
        <w:t>9</w:t>
      </w:r>
      <w:r>
        <w:rPr>
          <w:rFonts w:ascii="Arial" w:cs="Arial" w:eastAsia="Arial" w:hAnsi="Arial"/>
          <w:sz w:val="16"/>
          <w:szCs w:val="16"/>
          <w:color w:val="auto"/>
        </w:rPr>
        <w:t>https://www.theguardian.com/business/2018/jul/03/exxonmobil-spent-10m-fighting-australian-tax-office; https://www.bloomberg.com/news/articles/2018-08-09/exxon-loses-fight-for-337-million-tax-refund-from-u-s; https://www.france24.com/en/20170914-exxonmobil-russia-settle-tax-row</w:t>
      </w:r>
    </w:p>
    <w:p>
      <w:pPr>
        <w:spacing w:after="0" w:line="1" w:lineRule="exact"/>
        <w:rPr>
          <w:rFonts w:ascii="Arial" w:cs="Arial" w:eastAsia="Arial" w:hAnsi="Arial"/>
          <w:sz w:val="22"/>
          <w:szCs w:val="22"/>
          <w:color w:val="auto"/>
          <w:vertAlign w:val="superscript"/>
        </w:rPr>
      </w:pPr>
    </w:p>
    <w:p>
      <w:pPr>
        <w:ind w:left="1140" w:right="1100" w:hanging="378"/>
        <w:spacing w:after="0" w:line="202" w:lineRule="auto"/>
        <w:rPr>
          <w:rFonts w:ascii="Arial" w:cs="Arial" w:eastAsia="Arial" w:hAnsi="Arial"/>
          <w:sz w:val="22"/>
          <w:szCs w:val="22"/>
          <w:color w:val="auto"/>
          <w:vertAlign w:val="superscript"/>
        </w:rPr>
      </w:pPr>
      <w:r>
        <w:rPr>
          <w:rFonts w:ascii="Arial" w:cs="Arial" w:eastAsia="Arial" w:hAnsi="Arial"/>
          <w:sz w:val="24"/>
          <w:szCs w:val="24"/>
          <w:color w:val="auto"/>
          <w:vertAlign w:val="superscript"/>
        </w:rPr>
        <w:t>10</w:t>
      </w:r>
      <w:r>
        <w:rPr>
          <w:rFonts w:ascii="Arial" w:cs="Arial" w:eastAsia="Arial" w:hAnsi="Arial"/>
          <w:sz w:val="16"/>
          <w:szCs w:val="16"/>
          <w:color w:val="auto"/>
        </w:rPr>
        <w:t xml:space="preserve"> https://www.taxnotes.com/research/federal/court-documents/court-opinions-and-orders/fifth-circuit-affirms-mineral-lease%252C-fuel-credit%252C-penalty-holdings/7dvfy</w:t>
      </w:r>
    </w:p>
    <w:p>
      <w:pPr>
        <w:spacing w:after="0" w:line="98"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98</w:t>
      </w:r>
      <w:r>
        <w:rPr>
          <w:sz w:val="20"/>
          <w:szCs w:val="20"/>
          <w:color w:val="auto"/>
        </w:rPr>
        <w:tab/>
      </w:r>
      <w:r>
        <w:rPr>
          <w:sz w:val="1"/>
          <w:szCs w:val="1"/>
          <w:color w:val="auto"/>
        </w:rPr>
        <w:drawing>
          <wp:inline distT="0" distB="0" distL="0" distR="0">
            <wp:extent cx="737235" cy="146050"/>
            <wp:effectExtent l="0" t="0" r="0" b="0"/>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2023 Proxy Statement</w:t>
      </w:r>
    </w:p>
    <w:p>
      <w:pPr>
        <w:sectPr>
          <w:pgSz w:w="11900" w:h="16838" w:orient="portrait"/>
          <w:cols w:equalWidth="0" w:num="1">
            <w:col w:w="10400"/>
          </w:cols>
          <w:pgMar w:left="320" w:top="482" w:right="11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ind w:left="1140" w:right="180" w:hanging="376"/>
        <w:spacing w:after="0" w:line="230" w:lineRule="auto"/>
        <w:tabs>
          <w:tab w:leader="none" w:pos="1140" w:val="left"/>
        </w:tabs>
        <w:numPr>
          <w:ilvl w:val="0"/>
          <w:numId w:val="109"/>
        </w:numPr>
        <w:rPr>
          <w:rFonts w:ascii="Arial" w:cs="Arial" w:eastAsia="Arial" w:hAnsi="Arial"/>
          <w:sz w:val="24"/>
          <w:szCs w:val="24"/>
          <w:color w:val="auto"/>
          <w:vertAlign w:val="superscript"/>
        </w:rPr>
      </w:pPr>
      <w:r>
        <w:rPr>
          <w:rFonts w:ascii="Arial" w:cs="Arial" w:eastAsia="Arial" w:hAnsi="Arial"/>
          <w:sz w:val="16"/>
          <w:szCs w:val="16"/>
          <w:color w:val="auto"/>
        </w:rPr>
        <w:t>https://www.hess.com/sustainability/how-we-operate/tax-practices; https://reports.shell.com/tax-contribution-report/2020/our-tax-data.html; https://s24.q4cdn.com/382246808/files/doc_downloads/2022/sustainability/newmont-2021-tax-report.pdf; https://www.bp.com/en/global/corporate/sustainability/our-approach-to-sustainability/tax- transparency.html; https://reports.shell.com/tax-contribution-report/2020/; https://www.eni.com/assets/documents/eng/reports/2020/Country-by-Country-2020_ENG.pdf; https://totalenergies.com/sites/g/files/nytnzq121/files/documents/2022-03/Tax_transparency_report_2019_2020.pdf</w:t>
      </w:r>
    </w:p>
    <w:p>
      <w:pPr>
        <w:spacing w:after="0" w:line="3" w:lineRule="exact"/>
        <w:rPr>
          <w:rFonts w:ascii="Arial" w:cs="Arial" w:eastAsia="Arial" w:hAnsi="Arial"/>
          <w:sz w:val="24"/>
          <w:szCs w:val="24"/>
          <w:color w:val="auto"/>
          <w:vertAlign w:val="superscript"/>
        </w:rPr>
      </w:pPr>
    </w:p>
    <w:p>
      <w:pPr>
        <w:ind w:left="1140" w:hanging="376"/>
        <w:spacing w:after="0" w:line="180" w:lineRule="auto"/>
        <w:tabs>
          <w:tab w:leader="none" w:pos="1140" w:val="left"/>
        </w:tabs>
        <w:numPr>
          <w:ilvl w:val="0"/>
          <w:numId w:val="109"/>
        </w:numPr>
        <w:rPr>
          <w:rFonts w:ascii="Arial" w:cs="Arial" w:eastAsia="Arial" w:hAnsi="Arial"/>
          <w:sz w:val="23"/>
          <w:szCs w:val="23"/>
          <w:color w:val="auto"/>
          <w:vertAlign w:val="superscript"/>
        </w:rPr>
      </w:pPr>
      <w:r>
        <w:rPr>
          <w:rFonts w:ascii="Arial" w:cs="Arial" w:eastAsia="Arial" w:hAnsi="Arial"/>
          <w:sz w:val="16"/>
          <w:szCs w:val="16"/>
          <w:color w:val="auto"/>
        </w:rPr>
        <w:t>https://www.globalreporting.org/news/news-center/momentum-gathering-behind-public-country-by-country-tax- reporting/”</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The Board carefully considered this proposal and recommends you vote AGAINST it for the following reasons:</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This is one of 10 new reports requested by proponents at this annual shareholder meeting.</w:t>
      </w:r>
    </w:p>
    <w:p>
      <w:pPr>
        <w:spacing w:after="0" w:line="212" w:lineRule="exact"/>
        <w:rPr>
          <w:sz w:val="20"/>
          <w:szCs w:val="20"/>
          <w:color w:val="auto"/>
        </w:rPr>
      </w:pPr>
    </w:p>
    <w:p>
      <w:pPr>
        <w:ind w:left="760" w:right="100"/>
        <w:spacing w:after="0" w:line="244" w:lineRule="auto"/>
        <w:rPr>
          <w:sz w:val="20"/>
          <w:szCs w:val="20"/>
          <w:color w:val="auto"/>
        </w:rPr>
      </w:pPr>
      <w:r>
        <w:rPr>
          <w:rFonts w:ascii="Arial" w:cs="Arial" w:eastAsia="Arial" w:hAnsi="Arial"/>
          <w:sz w:val="18"/>
          <w:szCs w:val="18"/>
          <w:color w:val="auto"/>
        </w:rPr>
        <w:t>ExxonMobil is a global leader in supporting transparency initiatives that improve governance and accountability. As we conveyed to this proponent during our engagement, we take care to ensure the information we provide is meaningful and not competitively sensitive in the context of what our peers, competitors, and others in the industry provide. The tax rates that ExxonMobil is subject to are an important element of negotiations with resource owners and a commercially and competitively sensitive factor in our investment analysis and decisions.</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Notwithstanding, ExxonMobil complies with the requirements of applicable laws everywhere we conduct business, including applicable tax laws. ExxonMobil conducts business in more than 100 countries and is subject to some of the highest tax rates in the world. Energy demand and the location of natural resources dictate where we conduct business, not tax rates. Many countries impose higher tax rates on petroleum operations than on other industries, and those rates can rise as high as 85 percent. For tax years 2019 to 2021, ExxonMobil’s effective income tax rate, excluding equity companies, was third highest of Fortune 10 companies, according to Bloomberg. ExxonMobil’s worldwide effective income tax rate, including equity companies, was 31 percent for 2021, and increased to 33 percent for 2022.</w:t>
      </w:r>
    </w:p>
    <w:p>
      <w:pPr>
        <w:spacing w:after="0" w:line="185" w:lineRule="exact"/>
        <w:rPr>
          <w:sz w:val="20"/>
          <w:szCs w:val="20"/>
          <w:color w:val="auto"/>
        </w:rPr>
      </w:pPr>
    </w:p>
    <w:p>
      <w:pPr>
        <w:ind w:left="760" w:right="20"/>
        <w:spacing w:after="0"/>
        <w:rPr>
          <w:sz w:val="20"/>
          <w:szCs w:val="20"/>
          <w:color w:val="auto"/>
        </w:rPr>
      </w:pPr>
      <w:r>
        <w:rPr>
          <w:rFonts w:ascii="Arial" w:cs="Arial" w:eastAsia="Arial" w:hAnsi="Arial"/>
          <w:sz w:val="18"/>
          <w:szCs w:val="18"/>
          <w:color w:val="auto"/>
        </w:rPr>
        <w:t>Several important new reporting requirements for our industry, intended to enhance tax transparency, take effect in the immediate future. For example, we will be complying for our 2023 financial year with the newly implemented rules for reporting of payments to governments, including taxes, for extractive activities on a country or project basis, as applicable, under Section 1504 of the Dodd-Frank Wall Street Reform and Consumer Protection Act (“Dodd-Frank”). Section 1504 of Dodd-Frank is only applicable to public companies in the extractive sectors, and will provide shareholders, policymakers, civil society, and the public an unprecedented level and amount of country-by-country tax payment information that no other industries are required to disclose publicly.</w:t>
      </w:r>
    </w:p>
    <w:p>
      <w:pPr>
        <w:spacing w:after="0" w:line="185" w:lineRule="exact"/>
        <w:rPr>
          <w:sz w:val="20"/>
          <w:szCs w:val="20"/>
          <w:color w:val="auto"/>
        </w:rPr>
      </w:pPr>
    </w:p>
    <w:p>
      <w:pPr>
        <w:ind w:left="760" w:right="200"/>
        <w:spacing w:after="0" w:line="271" w:lineRule="auto"/>
        <w:rPr>
          <w:sz w:val="20"/>
          <w:szCs w:val="20"/>
          <w:color w:val="auto"/>
        </w:rPr>
      </w:pPr>
      <w:r>
        <w:rPr>
          <w:rFonts w:ascii="Arial" w:cs="Arial" w:eastAsia="Arial" w:hAnsi="Arial"/>
          <w:sz w:val="18"/>
          <w:szCs w:val="18"/>
          <w:color w:val="auto"/>
        </w:rPr>
        <w:t>Additionally, beginning no later than for our 2025 financial year, ExxonMobil will be disclosing country-by-country data in the European Union as applicable under rules to be adopted by each jurisdiction.</w:t>
      </w:r>
    </w:p>
    <w:p>
      <w:pPr>
        <w:spacing w:after="0" w:line="154" w:lineRule="exact"/>
        <w:rPr>
          <w:sz w:val="20"/>
          <w:szCs w:val="20"/>
          <w:color w:val="auto"/>
        </w:rPr>
      </w:pPr>
    </w:p>
    <w:p>
      <w:pPr>
        <w:ind w:left="760" w:right="780"/>
        <w:spacing w:after="0" w:line="301" w:lineRule="auto"/>
        <w:rPr>
          <w:sz w:val="20"/>
          <w:szCs w:val="20"/>
          <w:color w:val="auto"/>
        </w:rPr>
      </w:pPr>
      <w:r>
        <w:rPr>
          <w:rFonts w:ascii="Arial" w:cs="Arial" w:eastAsia="Arial" w:hAnsi="Arial"/>
          <w:sz w:val="17"/>
          <w:szCs w:val="17"/>
          <w:color w:val="auto"/>
        </w:rPr>
        <w:t>We believe it is prudent that shareholders assess the utility, benefits, and trade-offs of the new, legally mandated disclosures before requesting still further and potentially duplicative and competitively sensitive disclosures.</w:t>
      </w:r>
    </w:p>
    <w:p>
      <w:pPr>
        <w:spacing w:after="0" w:line="131" w:lineRule="exact"/>
        <w:rPr>
          <w:sz w:val="20"/>
          <w:szCs w:val="20"/>
          <w:color w:val="auto"/>
        </w:rPr>
      </w:pPr>
    </w:p>
    <w:p>
      <w:pPr>
        <w:ind w:left="760" w:right="140"/>
        <w:spacing w:after="0"/>
        <w:rPr>
          <w:sz w:val="20"/>
          <w:szCs w:val="20"/>
          <w:color w:val="auto"/>
        </w:rPr>
      </w:pPr>
      <w:r>
        <w:rPr>
          <w:rFonts w:ascii="Arial" w:cs="Arial" w:eastAsia="Arial" w:hAnsi="Arial"/>
          <w:sz w:val="18"/>
          <w:szCs w:val="18"/>
          <w:color w:val="auto"/>
        </w:rPr>
        <w:t>This proposal requests the adoption of a disclosure framework on financial reporting and related metrics that is unevenly applied and not widely adopted with our U.S. peers; in our view, this creates regulatory, financial, and reputational risks without providing stakeholders with consistent, comparable data. Given the relatively novel and untested nature of the disclosure requested, there is also significant risk that information could be misunderstood. As such, implementing new disclosures, including onerous project-level payment disclosures, to report information beyond what is both currently and soon to be required by law, and beyond the practices of similarly situated U.S.-based companies with extensive international operations, risks putting ExxonMobil at a competitive disadvantage to our shareholders’ potential detriment.</w:t>
      </w:r>
    </w:p>
    <w:p>
      <w:pPr>
        <w:spacing w:after="0" w:line="185" w:lineRule="exact"/>
        <w:rPr>
          <w:sz w:val="20"/>
          <w:szCs w:val="20"/>
          <w:color w:val="auto"/>
        </w:rPr>
      </w:pPr>
    </w:p>
    <w:p>
      <w:pPr>
        <w:ind w:left="760" w:right="120"/>
        <w:spacing w:after="0" w:line="253" w:lineRule="auto"/>
        <w:rPr>
          <w:sz w:val="20"/>
          <w:szCs w:val="20"/>
          <w:color w:val="auto"/>
        </w:rPr>
      </w:pPr>
      <w:r>
        <w:rPr>
          <w:rFonts w:ascii="Arial" w:cs="Arial" w:eastAsia="Arial" w:hAnsi="Arial"/>
          <w:sz w:val="18"/>
          <w:szCs w:val="18"/>
          <w:color w:val="auto"/>
        </w:rPr>
        <w:t>The proposal mentions the risk of potential tax penalty payments as a rationale for seeking additional disclosures. The penalty assessed by the Internal Revenue Service, mentioned by the proponent, was dismissed by the Fifth Circuit Court of Appeals.</w:t>
      </w:r>
    </w:p>
    <w:p>
      <w:pPr>
        <w:spacing w:after="0" w:line="169" w:lineRule="exact"/>
        <w:rPr>
          <w:sz w:val="20"/>
          <w:szCs w:val="20"/>
          <w:color w:val="auto"/>
        </w:rPr>
      </w:pPr>
    </w:p>
    <w:p>
      <w:pPr>
        <w:ind w:left="760" w:right="40"/>
        <w:spacing w:after="0" w:line="271" w:lineRule="auto"/>
        <w:rPr>
          <w:sz w:val="20"/>
          <w:szCs w:val="20"/>
          <w:color w:val="auto"/>
        </w:rPr>
      </w:pPr>
      <w:r>
        <w:rPr>
          <w:rFonts w:ascii="Arial" w:cs="Arial" w:eastAsia="Arial" w:hAnsi="Arial"/>
          <w:sz w:val="18"/>
          <w:szCs w:val="18"/>
          <w:color w:val="auto"/>
        </w:rPr>
        <w:t xml:space="preserve">We believe our record demonstrates responsible tax practices. For these reasons, the Board recommends a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this proposal.</w:t>
      </w:r>
    </w:p>
    <w:p>
      <w:pPr>
        <w:spacing w:after="0" w:line="85"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605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480"/>
          </w:cols>
          <w:pgMar w:left="320" w:top="482" w:right="10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4"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Item 16 – Energy Transition Social Impact Report</w:t>
      </w:r>
    </w:p>
    <w:p>
      <w:pPr>
        <w:spacing w:after="0" w:line="99" w:lineRule="exact"/>
        <w:rPr>
          <w:sz w:val="20"/>
          <w:szCs w:val="20"/>
          <w:color w:val="auto"/>
        </w:rPr>
      </w:pPr>
    </w:p>
    <w:p>
      <w:pPr>
        <w:ind w:left="760" w:right="420"/>
        <w:spacing w:after="0" w:line="271" w:lineRule="auto"/>
        <w:rPr>
          <w:sz w:val="20"/>
          <w:szCs w:val="20"/>
          <w:color w:val="auto"/>
        </w:rPr>
      </w:pPr>
      <w:r>
        <w:rPr>
          <w:rFonts w:ascii="Arial" w:cs="Arial" w:eastAsia="Arial" w:hAnsi="Arial"/>
          <w:sz w:val="18"/>
          <w:szCs w:val="18"/>
          <w:color w:val="auto"/>
        </w:rPr>
        <w:t>This proposal was submitted by United Steelworkers, 60 Boulevard of the Allies, Pittsburgh, Pennsylvania 15222, the beneficial owner of 116 shares for at least three years.</w:t>
      </w:r>
    </w:p>
    <w:p>
      <w:pPr>
        <w:spacing w:after="0" w:line="154" w:lineRule="exact"/>
        <w:rPr>
          <w:sz w:val="20"/>
          <w:szCs w:val="20"/>
          <w:color w:val="auto"/>
        </w:rPr>
      </w:pPr>
    </w:p>
    <w:p>
      <w:pPr>
        <w:ind w:left="760" w:right="120"/>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xml:space="preserve"> The shareholders of Exxon Mobil Corporation (the ‘Company’), hereby request that the Board of Directors create a report regarding the social impact on workers and communities from closure or energy transition of the Company’s facilities, and alternatives that can be developed to help mitigate the social impact of such closures or energy transitions. The report should be prepared at reasonable cost, omitting proprietary information, and be available on the Company’s website by the 2024 Annual Meeting of Shareholders.</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SUPPORTING STATEMENT</w:t>
      </w:r>
    </w:p>
    <w:p>
      <w:pPr>
        <w:spacing w:after="0" w:line="104" w:lineRule="exact"/>
        <w:rPr>
          <w:sz w:val="20"/>
          <w:szCs w:val="20"/>
          <w:color w:val="auto"/>
        </w:rPr>
      </w:pPr>
    </w:p>
    <w:p>
      <w:pPr>
        <w:ind w:left="760"/>
        <w:spacing w:after="0" w:line="271" w:lineRule="auto"/>
        <w:rPr>
          <w:sz w:val="20"/>
          <w:szCs w:val="20"/>
          <w:color w:val="auto"/>
        </w:rPr>
      </w:pPr>
      <w:r>
        <w:rPr>
          <w:rFonts w:ascii="Arial" w:cs="Arial" w:eastAsia="Arial" w:hAnsi="Arial"/>
          <w:sz w:val="18"/>
          <w:szCs w:val="18"/>
          <w:color w:val="auto"/>
        </w:rPr>
        <w:t>As the nation and our Company prepare for and participate in a transitioning energy economy, our Company should play a role to in helping provide security for impacted workers and communities where our Company operates.</w:t>
      </w:r>
    </w:p>
    <w:p>
      <w:pPr>
        <w:spacing w:after="0" w:line="154" w:lineRule="exact"/>
        <w:rPr>
          <w:sz w:val="20"/>
          <w:szCs w:val="20"/>
          <w:color w:val="auto"/>
        </w:rPr>
      </w:pPr>
    </w:p>
    <w:p>
      <w:pPr>
        <w:ind w:left="760" w:right="120"/>
        <w:spacing w:after="0" w:line="247" w:lineRule="auto"/>
        <w:rPr>
          <w:sz w:val="20"/>
          <w:szCs w:val="20"/>
          <w:color w:val="auto"/>
        </w:rPr>
      </w:pPr>
      <w:r>
        <w:rPr>
          <w:rFonts w:ascii="Arial" w:cs="Arial" w:eastAsia="Arial" w:hAnsi="Arial"/>
          <w:sz w:val="18"/>
          <w:szCs w:val="18"/>
          <w:color w:val="auto"/>
        </w:rPr>
        <w:t>Our Company’s Chairman and CEO Darren W. Woods has personally signed the Business Roundtable’s Statement on the Purpose of a Corporation which affirmed our Company’s commitment to serve all stakeholders, including ‘investing in our employees’ and supporting the communities in which we work.’ (https://opportunity.businessroundtable.org/ourcommitment/)</w:t>
      </w:r>
    </w:p>
    <w:p>
      <w:pPr>
        <w:spacing w:after="0" w:line="174" w:lineRule="exact"/>
        <w:rPr>
          <w:sz w:val="20"/>
          <w:szCs w:val="20"/>
          <w:color w:val="auto"/>
        </w:rPr>
      </w:pPr>
    </w:p>
    <w:p>
      <w:pPr>
        <w:ind w:left="760" w:right="120"/>
        <w:spacing w:after="0" w:line="253" w:lineRule="auto"/>
        <w:rPr>
          <w:sz w:val="20"/>
          <w:szCs w:val="20"/>
          <w:color w:val="auto"/>
        </w:rPr>
      </w:pPr>
      <w:r>
        <w:rPr>
          <w:rFonts w:ascii="Arial" w:cs="Arial" w:eastAsia="Arial" w:hAnsi="Arial"/>
          <w:sz w:val="18"/>
          <w:szCs w:val="18"/>
          <w:color w:val="auto"/>
        </w:rPr>
        <w:t>UN PRI’s Statement of Investor Commitment to Support a Just Transition on Climate Change states that ‘the responsible management of workforce and community dimensions of climate change are increasingly material drivers for value creation.’ (https://www.unpri.org/download?ac=10382)</w:t>
      </w:r>
    </w:p>
    <w:p>
      <w:pPr>
        <w:spacing w:after="0" w:line="169" w:lineRule="exact"/>
        <w:rPr>
          <w:sz w:val="20"/>
          <w:szCs w:val="20"/>
          <w:color w:val="auto"/>
        </w:rPr>
      </w:pPr>
    </w:p>
    <w:p>
      <w:pPr>
        <w:ind w:left="760" w:right="160"/>
        <w:spacing w:after="0" w:line="242" w:lineRule="auto"/>
        <w:rPr>
          <w:sz w:val="20"/>
          <w:szCs w:val="20"/>
          <w:color w:val="auto"/>
        </w:rPr>
      </w:pPr>
      <w:r>
        <w:rPr>
          <w:rFonts w:ascii="Arial" w:cs="Arial" w:eastAsia="Arial" w:hAnsi="Arial"/>
          <w:sz w:val="18"/>
          <w:szCs w:val="18"/>
          <w:color w:val="auto"/>
        </w:rPr>
        <w:t>In the International Labour Organization’s (ILO) 2015 Guidelines for a Just Transition towards Environmentally Sustainable Economies and Societies for All, ILO emphasizes that the transition to environmentally sustainable economies and societies involves ‘the pivotal role of employers’ and ‘anticipating impacts on employment, adequate and sustainable social protection for job losses and displacement, skills development and social dialogue, including the effective exercise of the right to organize and bargain collectively.’ (https://www.ilo.org/wcmsp5/groups/public/@ed_emp/@emp_ent/documents/publication/wcms_432859.pdf)</w:t>
      </w:r>
    </w:p>
    <w:p>
      <w:pPr>
        <w:spacing w:after="0" w:line="179" w:lineRule="exact"/>
        <w:rPr>
          <w:sz w:val="20"/>
          <w:szCs w:val="20"/>
          <w:color w:val="auto"/>
        </w:rPr>
      </w:pPr>
    </w:p>
    <w:p>
      <w:pPr>
        <w:ind w:left="760" w:right="60"/>
        <w:spacing w:after="0" w:line="242" w:lineRule="auto"/>
        <w:rPr>
          <w:sz w:val="20"/>
          <w:szCs w:val="20"/>
          <w:color w:val="auto"/>
        </w:rPr>
      </w:pPr>
      <w:r>
        <w:rPr>
          <w:rFonts w:ascii="Arial" w:cs="Arial" w:eastAsia="Arial" w:hAnsi="Arial"/>
          <w:sz w:val="18"/>
          <w:szCs w:val="18"/>
          <w:color w:val="auto"/>
        </w:rPr>
        <w:t>In its Advancing Climate Solutions 2022 Progress Report, the Company stated that it plans to invest more than $15 billion over the next six years under the International Energy Agency’s (IEA) Net Zero Emissions by 2050 (NZE) scenario to reduce emissions through carbon capture and storage, hydrogen and biofuels. The report discussed the Company’s process to address socioeconomic risks before pursuing a new development, but the report did not discuss the implications for workers and communities when a refining, petrochemical or production facility is transitioning or closed. (https://corporate.exxonmobil.com/climate-solutions/advancing-climate-solutions-progress-report)</w:t>
      </w:r>
    </w:p>
    <w:p>
      <w:pPr>
        <w:spacing w:after="0" w:line="179" w:lineRule="exact"/>
        <w:rPr>
          <w:sz w:val="20"/>
          <w:szCs w:val="20"/>
          <w:color w:val="auto"/>
        </w:rPr>
      </w:pPr>
    </w:p>
    <w:p>
      <w:pPr>
        <w:jc w:val="both"/>
        <w:ind w:left="760" w:right="240"/>
        <w:spacing w:after="0" w:line="301" w:lineRule="auto"/>
        <w:rPr>
          <w:sz w:val="20"/>
          <w:szCs w:val="20"/>
          <w:color w:val="auto"/>
        </w:rPr>
      </w:pPr>
      <w:r>
        <w:rPr>
          <w:rFonts w:ascii="Arial" w:cs="Arial" w:eastAsia="Arial" w:hAnsi="Arial"/>
          <w:sz w:val="17"/>
          <w:szCs w:val="17"/>
          <w:color w:val="auto"/>
        </w:rPr>
        <w:t>For these reasons, it is imperative that the Board creates the proposed report as a first step towards understanding and mitigating the impact of future plant closings and transition on workers and communities where the Company operates.</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urge shareholders to vote ‘FOR’ this proposal.”</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The Board carefully considered this proposal and recommends you vote AGAINST it for the following reasons:</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This is one of 10 new reports requested by proponents at this annual shareholder meeting.</w:t>
      </w:r>
    </w:p>
    <w:p>
      <w:pPr>
        <w:spacing w:after="0" w:line="212" w:lineRule="exact"/>
        <w:rPr>
          <w:sz w:val="20"/>
          <w:szCs w:val="20"/>
          <w:color w:val="auto"/>
        </w:rPr>
      </w:pPr>
    </w:p>
    <w:p>
      <w:pPr>
        <w:ind w:left="760" w:right="240"/>
        <w:spacing w:after="0" w:line="244" w:lineRule="auto"/>
        <w:rPr>
          <w:sz w:val="20"/>
          <w:szCs w:val="20"/>
          <w:color w:val="auto"/>
        </w:rPr>
      </w:pPr>
      <w:r>
        <w:rPr>
          <w:rFonts w:ascii="Arial" w:cs="Arial" w:eastAsia="Arial" w:hAnsi="Arial"/>
          <w:sz w:val="18"/>
          <w:szCs w:val="18"/>
          <w:color w:val="auto"/>
        </w:rPr>
        <w:t>ExxonMobil has a proven, long-term commitment to developing employees, facilitating local economic growth, and engaging with and supporting communities where we operate. As relayed to the proponent, our approach to employees and the community, including considerations associated with lower-emission projects at existing sites, is already communicated in our publications, including the Sustainability Report. The report requested in this proposal is therefore unnecessary and wasteful of Company resources.</w:t>
      </w:r>
    </w:p>
    <w:p>
      <w:pPr>
        <w:spacing w:after="0" w:line="176" w:lineRule="exact"/>
        <w:rPr>
          <w:sz w:val="20"/>
          <w:szCs w:val="20"/>
          <w:color w:val="auto"/>
        </w:rPr>
      </w:pPr>
    </w:p>
    <w:p>
      <w:pPr>
        <w:ind w:left="760" w:right="460"/>
        <w:spacing w:after="0" w:line="275" w:lineRule="auto"/>
        <w:rPr>
          <w:sz w:val="20"/>
          <w:szCs w:val="20"/>
          <w:color w:val="auto"/>
        </w:rPr>
      </w:pPr>
      <w:r>
        <w:rPr>
          <w:rFonts w:ascii="Arial" w:cs="Arial" w:eastAsia="Arial" w:hAnsi="Arial"/>
          <w:sz w:val="17"/>
          <w:szCs w:val="17"/>
          <w:color w:val="auto"/>
        </w:rPr>
        <w:t>Our strategy for the energy transition is to create flexibility for ExxonMobil’s existing facilities. Over time, we have the flexibility to change our refinery product mix, increasing production of biofuels, high-value lubricants, and chemical basestocks when demand for traditional fuels declines. Given the numerous benefits of plastics versus alternatives,</w:t>
      </w:r>
    </w:p>
    <w:p>
      <w:pPr>
        <w:spacing w:after="0" w:line="64" w:lineRule="exact"/>
        <w:rPr>
          <w:sz w:val="20"/>
          <w:szCs w:val="20"/>
          <w:color w:val="auto"/>
        </w:rPr>
      </w:pPr>
    </w:p>
    <w:p>
      <w:pPr>
        <w:ind w:left="780"/>
        <w:spacing w:after="0"/>
        <w:tabs>
          <w:tab w:leader="none" w:pos="1580" w:val="left"/>
        </w:tabs>
        <w:rPr>
          <w:sz w:val="20"/>
          <w:szCs w:val="20"/>
          <w:color w:val="auto"/>
        </w:rPr>
      </w:pPr>
      <w:r>
        <w:rPr>
          <w:rFonts w:ascii="Arial" w:cs="Arial" w:eastAsia="Arial" w:hAnsi="Arial"/>
          <w:sz w:val="18"/>
          <w:szCs w:val="18"/>
          <w:color w:val="auto"/>
        </w:rPr>
        <w:t>100</w:t>
      </w:r>
      <w:r>
        <w:rPr>
          <w:sz w:val="20"/>
          <w:szCs w:val="20"/>
          <w:color w:val="auto"/>
        </w:rPr>
        <w:tab/>
      </w:r>
      <w:r>
        <w:rPr>
          <w:sz w:val="1"/>
          <w:szCs w:val="1"/>
          <w:color w:val="auto"/>
        </w:rPr>
        <w:drawing>
          <wp:inline distT="0" distB="0" distL="0" distR="0">
            <wp:extent cx="737235" cy="146050"/>
            <wp:effectExtent l="0" t="0" r="0" b="0"/>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2023 Proxy Statement</w:t>
      </w:r>
    </w:p>
    <w:p>
      <w:pPr>
        <w:sectPr>
          <w:pgSz w:w="11900" w:h="16838" w:orient="portrait"/>
          <w:cols w:equalWidth="0" w:num="1">
            <w:col w:w="10480"/>
          </w:cols>
          <w:pgMar w:left="320" w:top="482" w:right="10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760" w:right="20"/>
        <w:spacing w:after="0" w:line="220" w:lineRule="auto"/>
        <w:rPr>
          <w:sz w:val="20"/>
          <w:szCs w:val="20"/>
          <w:color w:val="auto"/>
        </w:rPr>
      </w:pPr>
      <w:r>
        <w:rPr>
          <w:rFonts w:ascii="Arial" w:cs="Arial" w:eastAsia="Arial" w:hAnsi="Arial"/>
          <w:sz w:val="18"/>
          <w:szCs w:val="18"/>
          <w:color w:val="auto"/>
        </w:rPr>
        <w:t>including 54 percent lower greenhouse gas life-cycle emissions,</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we expect the demand for our chemical products to continue to grow. We invest in both catalyst and other technology to upgrade our products to meet the changing needs of our customers at the lowest possible cost. We expect this will result in direct, ongoing employment opportunities, community investment programs, and indirect economic growth within the communities in which we operate.</w:t>
      </w:r>
    </w:p>
    <w:p>
      <w:pPr>
        <w:spacing w:after="0" w:line="183" w:lineRule="exact"/>
        <w:rPr>
          <w:sz w:val="20"/>
          <w:szCs w:val="20"/>
          <w:color w:val="auto"/>
        </w:rPr>
      </w:pPr>
    </w:p>
    <w:p>
      <w:pPr>
        <w:ind w:left="760" w:right="80"/>
        <w:spacing w:after="0" w:line="244" w:lineRule="auto"/>
        <w:rPr>
          <w:sz w:val="20"/>
          <w:szCs w:val="20"/>
          <w:color w:val="auto"/>
        </w:rPr>
      </w:pPr>
      <w:r>
        <w:rPr>
          <w:rFonts w:ascii="Arial" w:cs="Arial" w:eastAsia="Arial" w:hAnsi="Arial"/>
          <w:sz w:val="18"/>
          <w:szCs w:val="18"/>
          <w:color w:val="auto"/>
        </w:rPr>
        <w:t>ExxonMobil’s approach to new initiatives and investments is holistic. Our annual Advancing Climate Solutions Progress Report, along with our Sustainability Report, lay out the range of ways in which the issues raised by the proponent are acknowledged and addressed. Specifically, our environmental and socioeconomic management approach, which serves as a framework for identifying and managing positive and negative impacts to local communities, is described in these reports.</w:t>
      </w:r>
    </w:p>
    <w:p>
      <w:pPr>
        <w:spacing w:after="0" w:line="176" w:lineRule="exact"/>
        <w:rPr>
          <w:sz w:val="20"/>
          <w:szCs w:val="20"/>
          <w:color w:val="auto"/>
        </w:rPr>
      </w:pPr>
    </w:p>
    <w:p>
      <w:pPr>
        <w:ind w:left="760" w:right="100"/>
        <w:spacing w:after="0" w:line="244" w:lineRule="auto"/>
        <w:rPr>
          <w:sz w:val="20"/>
          <w:szCs w:val="20"/>
          <w:color w:val="auto"/>
        </w:rPr>
      </w:pPr>
      <w:r>
        <w:rPr>
          <w:rFonts w:ascii="Arial" w:cs="Arial" w:eastAsia="Arial" w:hAnsi="Arial"/>
          <w:sz w:val="18"/>
          <w:szCs w:val="18"/>
          <w:color w:val="auto"/>
        </w:rPr>
        <w:t>Our management framework also includes developing our workforce where we operate throughout the life cycle of an asset. We periodically update our environmental and socioeconomic assessments to reflect any material changes to our operation or socioeconomic sensitivities, and we amend management plans where needed. We share details of this process on exxonmobil.com under “Managing Socioeconomic Impacts” in the Sustainability Report, and in the “Environmental Aspects Guide.”</w:t>
      </w:r>
    </w:p>
    <w:p>
      <w:pPr>
        <w:spacing w:after="0" w:line="176" w:lineRule="exact"/>
        <w:rPr>
          <w:sz w:val="20"/>
          <w:szCs w:val="20"/>
          <w:color w:val="auto"/>
        </w:rPr>
      </w:pPr>
    </w:p>
    <w:p>
      <w:pPr>
        <w:ind w:left="760" w:right="60"/>
        <w:spacing w:after="0"/>
        <w:rPr>
          <w:sz w:val="20"/>
          <w:szCs w:val="20"/>
          <w:color w:val="auto"/>
        </w:rPr>
      </w:pPr>
      <w:r>
        <w:rPr>
          <w:rFonts w:ascii="Arial" w:cs="Arial" w:eastAsia="Arial" w:hAnsi="Arial"/>
          <w:sz w:val="18"/>
          <w:szCs w:val="18"/>
          <w:color w:val="auto"/>
        </w:rPr>
        <w:t>Further, as outlined in our Investing in People supplement, people are ExxonMobil’s biggest competitive advantage. We invest in and support employees for long-term careers. The capabilities and skills of today’s workforce are the same critical skills required to thoughtfully lead an energy transition while continuing to meet the world’s energy needs. For example, our teams operating and supporting the Strathcona refinery today will also be responsible for operating a new biofuels unit, and our research teams who developed catalyst technology for refining operations are developing catalysts for biofuels production. Many of our geoscientists are working on new carbon capture and sequestration initiatives, while our project engineers are working on the infrastructure investments needed to support third-party emission reduction efforts, like the project announced in Louisiana, that will transport and store 2 million tons of carbon annually.</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we deliver on our strategic objectives, the Company strives to:</w:t>
      </w:r>
    </w:p>
    <w:p>
      <w:pPr>
        <w:spacing w:after="0" w:line="117" w:lineRule="exact"/>
        <w:rPr>
          <w:sz w:val="20"/>
          <w:szCs w:val="20"/>
          <w:color w:val="auto"/>
        </w:rPr>
      </w:pPr>
    </w:p>
    <w:p>
      <w:pPr>
        <w:ind w:left="1140" w:hanging="376"/>
        <w:spacing w:after="0"/>
        <w:tabs>
          <w:tab w:leader="none" w:pos="1140" w:val="left"/>
        </w:tabs>
        <w:numPr>
          <w:ilvl w:val="0"/>
          <w:numId w:val="110"/>
        </w:numPr>
        <w:rPr>
          <w:rFonts w:ascii="Times New Roman" w:cs="Times New Roman" w:eastAsia="Times New Roman" w:hAnsi="Times New Roman"/>
          <w:sz w:val="18"/>
          <w:szCs w:val="18"/>
          <w:color w:val="auto"/>
        </w:rPr>
      </w:pPr>
      <w:r>
        <w:rPr>
          <w:rFonts w:ascii="Arial" w:cs="Arial" w:eastAsia="Arial" w:hAnsi="Arial"/>
          <w:sz w:val="18"/>
          <w:szCs w:val="18"/>
          <w:color w:val="auto"/>
        </w:rPr>
        <w:t>Create value for ExxonMobil’s customers, business partners, and communities;</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110"/>
        </w:numPr>
        <w:rPr>
          <w:rFonts w:ascii="Times New Roman" w:cs="Times New Roman" w:eastAsia="Times New Roman" w:hAnsi="Times New Roman"/>
          <w:sz w:val="18"/>
          <w:szCs w:val="18"/>
          <w:color w:val="auto"/>
        </w:rPr>
      </w:pPr>
      <w:r>
        <w:rPr>
          <w:rFonts w:ascii="Arial" w:cs="Arial" w:eastAsia="Arial" w:hAnsi="Arial"/>
          <w:sz w:val="18"/>
          <w:szCs w:val="18"/>
          <w:color w:val="auto"/>
        </w:rPr>
        <w:t>Provide employees unrivaled opportunities for personal and professional growth with impactful work;</w:t>
      </w:r>
    </w:p>
    <w:p>
      <w:pPr>
        <w:spacing w:after="0" w:line="129" w:lineRule="exact"/>
        <w:rPr>
          <w:rFonts w:ascii="Times New Roman" w:cs="Times New Roman" w:eastAsia="Times New Roman" w:hAnsi="Times New Roman"/>
          <w:sz w:val="18"/>
          <w:szCs w:val="18"/>
          <w:color w:val="auto"/>
        </w:rPr>
      </w:pPr>
    </w:p>
    <w:p>
      <w:pPr>
        <w:ind w:left="1140" w:right="280" w:hanging="376"/>
        <w:spacing w:after="0" w:line="270" w:lineRule="auto"/>
        <w:tabs>
          <w:tab w:leader="none" w:pos="1140" w:val="left"/>
        </w:tabs>
        <w:numPr>
          <w:ilvl w:val="0"/>
          <w:numId w:val="110"/>
        </w:numPr>
        <w:rPr>
          <w:rFonts w:ascii="Times New Roman" w:cs="Times New Roman" w:eastAsia="Times New Roman" w:hAnsi="Times New Roman"/>
          <w:sz w:val="18"/>
          <w:szCs w:val="18"/>
          <w:color w:val="auto"/>
        </w:rPr>
      </w:pPr>
      <w:r>
        <w:rPr>
          <w:rFonts w:ascii="Arial" w:cs="Arial" w:eastAsia="Arial" w:hAnsi="Arial"/>
          <w:sz w:val="18"/>
          <w:szCs w:val="18"/>
          <w:color w:val="auto"/>
        </w:rPr>
        <w:t>Consider potential environmental and socioeconomic impacts of projects and operations throughout the asset life cycle; and</w:t>
      </w:r>
    </w:p>
    <w:p>
      <w:pPr>
        <w:spacing w:after="0" w:line="5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110"/>
        </w:numPr>
        <w:rPr>
          <w:rFonts w:ascii="Times New Roman" w:cs="Times New Roman" w:eastAsia="Times New Roman" w:hAnsi="Times New Roman"/>
          <w:sz w:val="18"/>
          <w:szCs w:val="18"/>
          <w:color w:val="auto"/>
        </w:rPr>
      </w:pPr>
      <w:r>
        <w:rPr>
          <w:rFonts w:ascii="Arial" w:cs="Arial" w:eastAsia="Arial" w:hAnsi="Arial"/>
          <w:sz w:val="18"/>
          <w:szCs w:val="18"/>
          <w:color w:val="auto"/>
        </w:rPr>
        <w:t>Engage with stakeholders, including employees and communities.</w:t>
      </w:r>
    </w:p>
    <w:p>
      <w:pPr>
        <w:spacing w:after="0" w:line="224" w:lineRule="exact"/>
        <w:rPr>
          <w:sz w:val="20"/>
          <w:szCs w:val="20"/>
          <w:color w:val="auto"/>
        </w:rPr>
      </w:pPr>
    </w:p>
    <w:p>
      <w:pPr>
        <w:ind w:left="760" w:right="780"/>
        <w:spacing w:after="0" w:line="281" w:lineRule="auto"/>
        <w:rPr>
          <w:sz w:val="20"/>
          <w:szCs w:val="20"/>
          <w:color w:val="auto"/>
        </w:rPr>
      </w:pPr>
      <w:r>
        <w:rPr>
          <w:rFonts w:ascii="Arial" w:cs="Arial" w:eastAsia="Arial" w:hAnsi="Arial"/>
          <w:sz w:val="18"/>
          <w:szCs w:val="18"/>
          <w:color w:val="auto"/>
        </w:rPr>
        <w:t xml:space="preserve">For the reasons above, the Board views the proposal as unnecessary and wasteful of Company resources, and recommends voting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132715</wp:posOffset>
            </wp:positionV>
            <wp:extent cx="166306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29" w:lineRule="exact"/>
        <w:rPr>
          <w:sz w:val="20"/>
          <w:szCs w:val="20"/>
          <w:color w:val="auto"/>
        </w:rPr>
      </w:pPr>
    </w:p>
    <w:p>
      <w:pPr>
        <w:ind w:left="1140" w:right="60" w:hanging="376"/>
        <w:spacing w:after="0" w:line="226" w:lineRule="auto"/>
        <w:tabs>
          <w:tab w:leader="none" w:pos="1140" w:val="left"/>
        </w:tabs>
        <w:numPr>
          <w:ilvl w:val="0"/>
          <w:numId w:val="111"/>
        </w:numPr>
        <w:rPr>
          <w:rFonts w:ascii="Arial" w:cs="Arial" w:eastAsia="Arial" w:hAnsi="Arial"/>
          <w:sz w:val="24"/>
          <w:szCs w:val="24"/>
          <w:color w:val="auto"/>
          <w:vertAlign w:val="superscript"/>
        </w:rPr>
      </w:pPr>
      <w:r>
        <w:rPr>
          <w:rFonts w:ascii="Arial" w:cs="Arial" w:eastAsia="Arial" w:hAnsi="Arial"/>
          <w:sz w:val="16"/>
          <w:szCs w:val="16"/>
          <w:color w:val="auto"/>
        </w:rPr>
        <w:t>April 2018 report of Franklin Associates on Life Cycle Impacts of Plastic Packaging Compared to Substitutes (April 2018 Franklin Associates Report); U.S. packaging market; alternatives include steel, aluminum, glass, paper-based packaging, fiber-based textiles, and wood (Table 4-14). Source: https://www.americanchemistry.com/content/download/7885/file/ Life-Cycle-Impacts-of-Plastic-Packaging-Compared-to-Substitutes-in-the-United-States-and-Canada.pdf.</w:t>
      </w:r>
    </w:p>
    <w:p>
      <w:pPr>
        <w:spacing w:after="0" w:line="399"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Item 17 – Report on Commitment Against AMAP Work</w:t>
      </w:r>
    </w:p>
    <w:p>
      <w:pPr>
        <w:spacing w:after="0" w:line="99" w:lineRule="exact"/>
        <w:rPr>
          <w:sz w:val="20"/>
          <w:szCs w:val="20"/>
          <w:color w:val="auto"/>
        </w:rPr>
      </w:pPr>
    </w:p>
    <w:p>
      <w:pPr>
        <w:jc w:val="both"/>
        <w:ind w:left="760" w:right="280"/>
        <w:spacing w:after="0" w:line="271" w:lineRule="auto"/>
        <w:rPr>
          <w:sz w:val="20"/>
          <w:szCs w:val="20"/>
          <w:color w:val="auto"/>
        </w:rPr>
      </w:pPr>
      <w:r>
        <w:rPr>
          <w:rFonts w:ascii="Arial" w:cs="Arial" w:eastAsia="Arial" w:hAnsi="Arial"/>
          <w:sz w:val="18"/>
          <w:szCs w:val="18"/>
          <w:color w:val="auto"/>
        </w:rPr>
        <w:t>This proposal was submitted by Green Century Capital Management, 114 State St. Suite 200, Boston, Massachusetts 02109, the beneficial owner of shares with a market value greater than $2,000 for at least three years.</w:t>
      </w:r>
    </w:p>
    <w:p>
      <w:pPr>
        <w:spacing w:after="0" w:line="154" w:lineRule="exact"/>
        <w:rPr>
          <w:sz w:val="20"/>
          <w:szCs w:val="20"/>
          <w:color w:val="auto"/>
        </w:rPr>
      </w:pPr>
    </w:p>
    <w:p>
      <w:pPr>
        <w:ind w:left="76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Whereas:</w:t>
      </w:r>
      <w:r>
        <w:rPr>
          <w:rFonts w:ascii="Arial" w:cs="Arial" w:eastAsia="Arial" w:hAnsi="Arial"/>
          <w:sz w:val="18"/>
          <w:szCs w:val="18"/>
          <w:color w:val="auto"/>
        </w:rPr>
        <w:t xml:space="preserve"> Petroleum development in ecologically sensitive and biologically rich protected areas poses material financial, climate, and reputational risks.</w:t>
      </w:r>
    </w:p>
    <w:p>
      <w:pPr>
        <w:spacing w:after="0" w:line="154" w:lineRule="exact"/>
        <w:rPr>
          <w:sz w:val="20"/>
          <w:szCs w:val="20"/>
          <w:color w:val="auto"/>
        </w:rPr>
      </w:pPr>
    </w:p>
    <w:p>
      <w:pPr>
        <w:jc w:val="both"/>
        <w:ind w:left="760" w:right="300"/>
        <w:spacing w:after="0" w:line="253" w:lineRule="auto"/>
        <w:rPr>
          <w:sz w:val="20"/>
          <w:szCs w:val="20"/>
          <w:color w:val="auto"/>
        </w:rPr>
      </w:pPr>
      <w:r>
        <w:rPr>
          <w:rFonts w:ascii="Arial" w:cs="Arial" w:eastAsia="Arial" w:hAnsi="Arial"/>
          <w:sz w:val="18"/>
          <w:szCs w:val="18"/>
          <w:color w:val="auto"/>
        </w:rPr>
        <w:t>The Arctic National Wildlife Refuge is home to over 200 bird species, 42 species of fish, and 45 species of mammals, including four threatened species protected under the Endangered Species Act. It is also experiencing rapid warming, estimated to be nearly four times faster than the rest of the world.</w:t>
      </w:r>
    </w:p>
    <w:p>
      <w:pPr>
        <w:spacing w:after="0" w:line="100" w:lineRule="exact"/>
        <w:rPr>
          <w:sz w:val="20"/>
          <w:szCs w:val="20"/>
          <w:color w:val="auto"/>
        </w:rPr>
      </w:pPr>
    </w:p>
    <w:tbl>
      <w:tblPr>
        <w:tblLayout w:type="fixed"/>
        <w:tblInd w:w="6660" w:type="dxa"/>
        <w:tblCellMar>
          <w:top w:w="0" w:type="dxa"/>
          <w:left w:w="0" w:type="dxa"/>
          <w:bottom w:w="0" w:type="dxa"/>
          <w:right w:w="0" w:type="dxa"/>
        </w:tblCellMar>
      </w:tblPr>
      <w:tr>
        <w:trPr>
          <w:trHeight w:val="240"/>
        </w:trPr>
        <w:tc>
          <w:tcPr>
            <w:tcW w:w="2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200" w:type="dxa"/>
            <w:vAlign w:val="bottom"/>
          </w:tcPr>
          <w:p>
            <w:pPr>
              <w:jc w:val="right"/>
              <w:spacing w:after="0"/>
              <w:rPr>
                <w:sz w:val="20"/>
                <w:szCs w:val="20"/>
                <w:color w:val="auto"/>
              </w:rPr>
            </w:pPr>
            <w:r>
              <w:rPr>
                <w:rFonts w:ascii="Arial" w:cs="Arial" w:eastAsia="Arial" w:hAnsi="Arial"/>
                <w:sz w:val="18"/>
                <w:szCs w:val="18"/>
                <w:color w:val="auto"/>
              </w:rPr>
              <w:t>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-139065</wp:posOffset>
            </wp:positionV>
            <wp:extent cx="737235" cy="1454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400"/>
          </w:cols>
          <w:pgMar w:left="320" w:top="482" w:right="11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760" w:right="800"/>
        <w:spacing w:after="0" w:line="271" w:lineRule="auto"/>
        <w:rPr>
          <w:sz w:val="20"/>
          <w:szCs w:val="20"/>
          <w:color w:val="auto"/>
        </w:rPr>
      </w:pPr>
      <w:r>
        <w:rPr>
          <w:rFonts w:ascii="Arial" w:cs="Arial" w:eastAsia="Arial" w:hAnsi="Arial"/>
          <w:sz w:val="18"/>
          <w:szCs w:val="18"/>
          <w:color w:val="auto"/>
        </w:rPr>
        <w:t>Pursuit of drilling and related activities in the Arctic Refuge and broader AMAP area could expose ExxonMobil to considerable material financial risk, including:</w:t>
      </w:r>
    </w:p>
    <w:p>
      <w:pPr>
        <w:spacing w:after="0" w:line="59" w:lineRule="exact"/>
        <w:rPr>
          <w:sz w:val="20"/>
          <w:szCs w:val="20"/>
          <w:color w:val="auto"/>
        </w:rPr>
      </w:pPr>
    </w:p>
    <w:p>
      <w:pPr>
        <w:ind w:left="1140" w:right="100" w:hanging="376"/>
        <w:spacing w:after="0" w:line="246" w:lineRule="auto"/>
        <w:tabs>
          <w:tab w:leader="none" w:pos="1140" w:val="left"/>
        </w:tabs>
        <w:numPr>
          <w:ilvl w:val="0"/>
          <w:numId w:val="112"/>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Regulatory</w:t>
      </w:r>
      <w:r>
        <w:rPr>
          <w:rFonts w:ascii="Arial" w:cs="Arial" w:eastAsia="Arial" w:hAnsi="Arial"/>
          <w:sz w:val="18"/>
          <w:szCs w:val="18"/>
          <w:color w:val="auto"/>
        </w:rPr>
        <w:t>: The political landscape creates uncertainty for developing the Refuge; any developments could become stranded assets. The Interior Department has suspended current oil and gas leases in the Refuge, and the House of Representatives has passed legislation including provisions for the repeal of the Arctic Refuge Oil and Gas Leasing Program.</w:t>
      </w:r>
    </w:p>
    <w:p>
      <w:pPr>
        <w:spacing w:after="0" w:line="82" w:lineRule="exact"/>
        <w:rPr>
          <w:rFonts w:ascii="Times New Roman" w:cs="Times New Roman" w:eastAsia="Times New Roman" w:hAnsi="Times New Roman"/>
          <w:sz w:val="18"/>
          <w:szCs w:val="18"/>
          <w:color w:val="auto"/>
        </w:rPr>
      </w:pPr>
    </w:p>
    <w:p>
      <w:pPr>
        <w:ind w:left="1140" w:right="100" w:hanging="376"/>
        <w:spacing w:after="0" w:line="246" w:lineRule="auto"/>
        <w:tabs>
          <w:tab w:leader="none" w:pos="1140" w:val="left"/>
        </w:tabs>
        <w:numPr>
          <w:ilvl w:val="0"/>
          <w:numId w:val="112"/>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Liability</w:t>
      </w:r>
      <w:r>
        <w:rPr>
          <w:rFonts w:ascii="Arial" w:cs="Arial" w:eastAsia="Arial" w:hAnsi="Arial"/>
          <w:sz w:val="18"/>
          <w:szCs w:val="18"/>
          <w:color w:val="auto"/>
        </w:rPr>
        <w:t>: In its 2020 10-K, Exxon states that ‘substantial liabilities and other adverse impacts could result if we do not timely [sic] identify and mitigate applicable risks, or if our management systems and controls do not function as intended.’ The Trans-Alaska Pipeline will transport oil from the Arctic Refuge. Oil spills have occurred along the pipeline and around Prudhoe Bay, the pipeline’s northern terminus, including a three-week-long spill in 2020.</w:t>
      </w:r>
    </w:p>
    <w:p>
      <w:pPr>
        <w:spacing w:after="0" w:line="82" w:lineRule="exact"/>
        <w:rPr>
          <w:rFonts w:ascii="Times New Roman" w:cs="Times New Roman" w:eastAsia="Times New Roman" w:hAnsi="Times New Roman"/>
          <w:sz w:val="18"/>
          <w:szCs w:val="18"/>
          <w:color w:val="auto"/>
        </w:rPr>
      </w:pPr>
    </w:p>
    <w:p>
      <w:pPr>
        <w:ind w:left="1140" w:right="80" w:hanging="376"/>
        <w:spacing w:after="0" w:line="252" w:lineRule="auto"/>
        <w:tabs>
          <w:tab w:leader="none" w:pos="1140" w:val="left"/>
        </w:tabs>
        <w:numPr>
          <w:ilvl w:val="0"/>
          <w:numId w:val="112"/>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Price Risk</w:t>
      </w:r>
      <w:r>
        <w:rPr>
          <w:rFonts w:ascii="Arial" w:cs="Arial" w:eastAsia="Arial" w:hAnsi="Arial"/>
          <w:sz w:val="18"/>
          <w:szCs w:val="18"/>
          <w:color w:val="auto"/>
        </w:rPr>
        <w:t>: Oil spills negatively affect stock prices. Chevron’s share price declined 8.5% in the weeks after a public announcement of an 800,000 gallon spill at a Chevron oil well. BP’s stock dropped 54% as a result of the Deepwater Horizon oil spill.</w:t>
      </w:r>
    </w:p>
    <w:p>
      <w:pPr>
        <w:spacing w:after="0" w:line="76" w:lineRule="exact"/>
        <w:rPr>
          <w:rFonts w:ascii="Times New Roman" w:cs="Times New Roman" w:eastAsia="Times New Roman" w:hAnsi="Times New Roman"/>
          <w:sz w:val="18"/>
          <w:szCs w:val="18"/>
          <w:color w:val="auto"/>
        </w:rPr>
      </w:pPr>
    </w:p>
    <w:p>
      <w:pPr>
        <w:ind w:left="1140" w:right="100" w:hanging="376"/>
        <w:spacing w:after="0" w:line="270" w:lineRule="auto"/>
        <w:tabs>
          <w:tab w:leader="none" w:pos="1140" w:val="left"/>
        </w:tabs>
        <w:numPr>
          <w:ilvl w:val="0"/>
          <w:numId w:val="112"/>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Constrained access to capital</w:t>
      </w:r>
      <w:r>
        <w:rPr>
          <w:rFonts w:ascii="Arial" w:cs="Arial" w:eastAsia="Arial" w:hAnsi="Arial"/>
          <w:sz w:val="18"/>
          <w:szCs w:val="18"/>
          <w:color w:val="auto"/>
        </w:rPr>
        <w:t>: All major US banks are now unwilling to finance drilling in the Arctic Refuge, including Goldman Sachs, Morgan Stanley, JPMorgan Chase, Wells Fargo, CitiBank, and Bank of America.</w:t>
      </w:r>
    </w:p>
    <w:p>
      <w:pPr>
        <w:spacing w:after="0" w:line="59" w:lineRule="exact"/>
        <w:rPr>
          <w:rFonts w:ascii="Times New Roman" w:cs="Times New Roman" w:eastAsia="Times New Roman" w:hAnsi="Times New Roman"/>
          <w:sz w:val="18"/>
          <w:szCs w:val="18"/>
          <w:color w:val="auto"/>
        </w:rPr>
      </w:pPr>
    </w:p>
    <w:p>
      <w:pPr>
        <w:ind w:left="1140" w:right="20" w:hanging="376"/>
        <w:spacing w:after="0" w:line="252" w:lineRule="auto"/>
        <w:tabs>
          <w:tab w:leader="none" w:pos="1140" w:val="left"/>
        </w:tabs>
        <w:numPr>
          <w:ilvl w:val="0"/>
          <w:numId w:val="112"/>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Reputational</w:t>
      </w:r>
      <w:r>
        <w:rPr>
          <w:rFonts w:ascii="Arial" w:cs="Arial" w:eastAsia="Arial" w:hAnsi="Arial"/>
          <w:sz w:val="18"/>
          <w:szCs w:val="18"/>
          <w:color w:val="auto"/>
        </w:rPr>
        <w:t>: Reputationally damaging events have financial consequences. BP lost 38% of its American clients after the 2010 oil spill. 67% of Americans oppose drilling in the Arctic Refuge. In 2020, 259 organizations, representing more than 27 million members, launched a campaign against drilling in the Arctic Refuge.</w:t>
      </w:r>
    </w:p>
    <w:p>
      <w:pPr>
        <w:spacing w:after="0" w:line="171" w:lineRule="exact"/>
        <w:rPr>
          <w:sz w:val="20"/>
          <w:szCs w:val="20"/>
          <w:color w:val="auto"/>
        </w:rPr>
      </w:pPr>
    </w:p>
    <w:p>
      <w:pPr>
        <w:jc w:val="both"/>
        <w:ind w:left="760" w:right="40"/>
        <w:spacing w:after="0" w:line="253" w:lineRule="auto"/>
        <w:rPr>
          <w:sz w:val="20"/>
          <w:szCs w:val="20"/>
          <w:color w:val="auto"/>
        </w:rPr>
      </w:pPr>
      <w:r>
        <w:rPr>
          <w:rFonts w:ascii="Arial" w:cs="Arial" w:eastAsia="Arial" w:hAnsi="Arial"/>
          <w:sz w:val="18"/>
          <w:szCs w:val="18"/>
          <w:color w:val="auto"/>
        </w:rPr>
        <w:t>While ExxonMobil pulled out of some joint ventures in the Arctic in 2018 and terminated their leases in the Arctic Refuge, competitors Chevron and Hilcorp have no remaining stake in the Refuge and stopped pursuing any exploration projects in the region in 2021.</w:t>
      </w:r>
    </w:p>
    <w:p>
      <w:pPr>
        <w:spacing w:after="0" w:line="169" w:lineRule="exact"/>
        <w:rPr>
          <w:sz w:val="20"/>
          <w:szCs w:val="20"/>
          <w:color w:val="auto"/>
        </w:rPr>
      </w:pPr>
    </w:p>
    <w:p>
      <w:pPr>
        <w:ind w:left="760" w:right="500"/>
        <w:spacing w:after="0" w:line="271" w:lineRule="auto"/>
        <w:rPr>
          <w:sz w:val="20"/>
          <w:szCs w:val="20"/>
          <w:color w:val="auto"/>
        </w:rPr>
      </w:pPr>
      <w:r>
        <w:rPr>
          <w:rFonts w:ascii="Arial" w:cs="Arial" w:eastAsia="Arial" w:hAnsi="Arial"/>
          <w:sz w:val="18"/>
          <w:szCs w:val="18"/>
          <w:color w:val="auto"/>
        </w:rPr>
        <w:t>Drilling in the Arctic, and particularly in the Arctic Refuge, poses unnecessary risks to the company and fragile Arctic ecosystems as climate-related risks grow in concern for investors.</w:t>
      </w:r>
    </w:p>
    <w:p>
      <w:pPr>
        <w:spacing w:after="0" w:line="154" w:lineRule="exact"/>
        <w:rPr>
          <w:sz w:val="20"/>
          <w:szCs w:val="20"/>
          <w:color w:val="auto"/>
        </w:rPr>
      </w:pPr>
    </w:p>
    <w:p>
      <w:pPr>
        <w:ind w:left="760" w:right="40"/>
        <w:spacing w:after="0" w:line="247"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Shareholders request that the Board of Directors issue a public report, within a reasonable time, assessing the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and drawbacks of committing to not engage in oil and gas exploration and production in the AMAP area, particularly in the Arctic Refuge, as well as the financial and reputational risks to the company associated with such development.”</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The Board carefully considered this proposal and recommends you vote AGAINST it for the following reasons:</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This is one of 10 new reports requested by proponents at this annual shareholder meeting.</w:t>
      </w:r>
    </w:p>
    <w:p>
      <w:pPr>
        <w:spacing w:after="0" w:line="212" w:lineRule="exact"/>
        <w:rPr>
          <w:sz w:val="20"/>
          <w:szCs w:val="20"/>
          <w:color w:val="auto"/>
        </w:rPr>
      </w:pPr>
    </w:p>
    <w:p>
      <w:pPr>
        <w:ind w:left="760"/>
        <w:spacing w:after="0" w:line="239" w:lineRule="auto"/>
        <w:rPr>
          <w:sz w:val="20"/>
          <w:szCs w:val="20"/>
          <w:color w:val="auto"/>
        </w:rPr>
      </w:pPr>
      <w:r>
        <w:rPr>
          <w:rFonts w:ascii="Arial" w:cs="Arial" w:eastAsia="Arial" w:hAnsi="Arial"/>
          <w:sz w:val="18"/>
          <w:szCs w:val="18"/>
          <w:color w:val="auto"/>
        </w:rPr>
        <w:t>To meet society’s growing need for our energy and products, we must often work in remote and challenging environments all over the world, and in some cases in ecologically sensitive and/or biologically rich areas. This is something we have done for decades. Using a rigorous and comprehensive assessment process, we consider the full range of potential environmental, socioeconomic, security, and health risks associated with our operations before we begin a new development. This enables us to establish a comprehensive understanding of the potential impacts and develop specific measures to avoid or significantly reduce the potential risks, or to remedy the impacts with the higher-risk exposures requiring more extensive mitigation. This proven assessment approach is worked jointly with the communities in which we operate and in cooperation with the governments and regulatory agencies that provide oversight for permit application and approval processes and ongoing regulatory oversight.</w:t>
      </w:r>
    </w:p>
    <w:p>
      <w:pPr>
        <w:spacing w:after="0" w:line="183" w:lineRule="exact"/>
        <w:rPr>
          <w:sz w:val="20"/>
          <w:szCs w:val="20"/>
          <w:color w:val="auto"/>
        </w:rPr>
      </w:pPr>
    </w:p>
    <w:p>
      <w:pPr>
        <w:ind w:left="760" w:right="40"/>
        <w:spacing w:after="0" w:line="266" w:lineRule="auto"/>
        <w:rPr>
          <w:sz w:val="20"/>
          <w:szCs w:val="20"/>
          <w:color w:val="auto"/>
        </w:rPr>
      </w:pPr>
      <w:r>
        <w:rPr>
          <w:rFonts w:ascii="Arial" w:cs="Arial" w:eastAsia="Arial" w:hAnsi="Arial"/>
          <w:sz w:val="17"/>
          <w:szCs w:val="17"/>
          <w:color w:val="auto"/>
        </w:rPr>
        <w:t>Our Operations Integrity Management System (OIMS) has proven effective at ensuring readiness and resiliency, including design, operating procedures, and emergency preparedness. Our operations and facilities are designed, constructed, and operated consistent with industry standards to withstand a variety of environmental conditions. We monitor and manage ongoing facility integrity, and maintain disaster preparedness, response, and business continuity plans.</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With regard to this proposal:</w:t>
      </w:r>
    </w:p>
    <w:p>
      <w:pPr>
        <w:spacing w:after="0" w:line="117" w:lineRule="exact"/>
        <w:rPr>
          <w:sz w:val="20"/>
          <w:szCs w:val="20"/>
          <w:color w:val="auto"/>
        </w:rPr>
      </w:pPr>
    </w:p>
    <w:p>
      <w:pPr>
        <w:ind w:left="1140" w:right="220" w:hanging="376"/>
        <w:spacing w:after="0" w:line="271" w:lineRule="auto"/>
        <w:tabs>
          <w:tab w:leader="none" w:pos="11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ExxonMobil does not hold any active leases and is not pursuing any active developments within the Arctic National Wildlife Refuge (ANWR).</w:t>
      </w:r>
    </w:p>
    <w:p>
      <w:pPr>
        <w:spacing w:after="0" w:line="66" w:lineRule="exact"/>
        <w:rPr>
          <w:sz w:val="20"/>
          <w:szCs w:val="20"/>
          <w:color w:val="auto"/>
        </w:rPr>
      </w:pPr>
    </w:p>
    <w:p>
      <w:pPr>
        <w:ind w:left="780"/>
        <w:spacing w:after="0"/>
        <w:tabs>
          <w:tab w:leader="none" w:pos="1580" w:val="left"/>
        </w:tabs>
        <w:rPr>
          <w:sz w:val="20"/>
          <w:szCs w:val="20"/>
          <w:color w:val="auto"/>
        </w:rPr>
      </w:pPr>
      <w:r>
        <w:rPr>
          <w:rFonts w:ascii="Arial" w:cs="Arial" w:eastAsia="Arial" w:hAnsi="Arial"/>
          <w:sz w:val="18"/>
          <w:szCs w:val="18"/>
          <w:color w:val="auto"/>
        </w:rPr>
        <w:t>102</w:t>
      </w:r>
      <w:r>
        <w:rPr>
          <w:sz w:val="20"/>
          <w:szCs w:val="20"/>
          <w:color w:val="auto"/>
        </w:rPr>
        <w:tab/>
      </w:r>
      <w:r>
        <w:rPr>
          <w:sz w:val="1"/>
          <w:szCs w:val="1"/>
          <w:color w:val="auto"/>
        </w:rPr>
        <w:drawing>
          <wp:inline distT="0" distB="0" distL="0" distR="0">
            <wp:extent cx="737235" cy="146050"/>
            <wp:effectExtent l="0" t="0" r="0" b="0"/>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2023 Proxy Statement</w:t>
      </w:r>
    </w:p>
    <w:p>
      <w:pPr>
        <w:sectPr>
          <w:pgSz w:w="11900" w:h="16838" w:orient="portrait"/>
          <w:cols w:equalWidth="0" w:num="1">
            <w:col w:w="10480"/>
          </w:cols>
          <w:pgMar w:left="320" w:top="482" w:right="10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140" w:hanging="376"/>
        <w:spacing w:after="0" w:line="256" w:lineRule="auto"/>
        <w:tabs>
          <w:tab w:leader="none" w:pos="11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Our current investment plans do not include exploration activity within the Arctic Monitoring and Assessment Program (AMAP) region, and we plan relatively limited investment to sustain our existing interests in the region, which include our equity in the long-standing facilities in Norman Wells, Prudhoe Bay, Point Thompson, Kuparuk and associated infrastructure in Alaska. For example, Alaska North Slope oil from Prudhoe Bay is transported through one of the world’s largest pipeline systems, the Trans Alaska Pipeline System, in which ExxonMobil owns a minority interest; the Norman Wells facilities include both producing wells and a central processing facility, which also generates electricity for the town of Norman Wells. Sustainment of production from these assets in the AMAP region, and outside of the ANWR, plays an important role in providing reliable and affordable energy to North America and beyond.</w:t>
      </w:r>
    </w:p>
    <w:p>
      <w:pPr>
        <w:spacing w:after="0" w:line="73" w:lineRule="exact"/>
        <w:rPr>
          <w:rFonts w:ascii="Arial" w:cs="Arial" w:eastAsia="Arial" w:hAnsi="Arial"/>
          <w:sz w:val="17"/>
          <w:szCs w:val="17"/>
          <w:color w:val="auto"/>
        </w:rPr>
      </w:pPr>
    </w:p>
    <w:p>
      <w:pPr>
        <w:ind w:left="1140" w:right="40" w:hanging="376"/>
        <w:spacing w:after="0"/>
        <w:tabs>
          <w:tab w:leader="none" w:pos="11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significant measures ExxonMobil takes to ensure the safety of, and manage risk for, all of our operations and investments are already described in our Advancing Climate Solutions 2023 Progress Report. This report includes information about our enterprise risk framework, which provides a structured, comprehensive approach to identifying, prioritizing, and managing risks across the Company. As detailed, we are committed to the ongoing assessment and mitigation of potential physical impacts to the environments in which we operate and use data and advanced computer modeling to assess the full range of potential environmental, socioeconomic, security, and health risks associated with potential construction and operations before pursuing a new development. In addition, the risks associated with all of our operations are included in our financial filings, including our Form 10-K.</w:t>
      </w:r>
    </w:p>
    <w:p>
      <w:pPr>
        <w:spacing w:after="0" w:line="85" w:lineRule="exact"/>
        <w:rPr>
          <w:rFonts w:ascii="Arial" w:cs="Arial" w:eastAsia="Arial" w:hAnsi="Arial"/>
          <w:sz w:val="18"/>
          <w:szCs w:val="18"/>
          <w:color w:val="auto"/>
        </w:rPr>
      </w:pPr>
    </w:p>
    <w:p>
      <w:pPr>
        <w:ind w:left="1140" w:right="240" w:hanging="376"/>
        <w:spacing w:after="0" w:line="223" w:lineRule="auto"/>
        <w:tabs>
          <w:tab w:leader="none" w:pos="11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We believe the proponent has been disingenuous in its motives for this proposal on behalf of shareholders. The proponent openly acknowledges on its website that its funds do not invest in the fossil fuel and other industries.</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In the About Us section of its website, Green Century also claims to be “one of the first fossil free, diversified and environmentally responsible mutual funds,” yet is the beneficial owner of ExxonMobil shares with a market value greater than $2,000.</w:t>
      </w:r>
    </w:p>
    <w:p>
      <w:pPr>
        <w:spacing w:after="0" w:line="181" w:lineRule="exact"/>
        <w:rPr>
          <w:sz w:val="20"/>
          <w:szCs w:val="20"/>
          <w:color w:val="auto"/>
        </w:rPr>
      </w:pPr>
    </w:p>
    <w:p>
      <w:pPr>
        <w:ind w:left="760" w:right="40"/>
        <w:spacing w:after="0" w:line="246" w:lineRule="auto"/>
        <w:rPr>
          <w:sz w:val="20"/>
          <w:szCs w:val="20"/>
          <w:color w:val="auto"/>
        </w:rPr>
      </w:pPr>
      <w:r>
        <w:rPr>
          <w:rFonts w:ascii="Arial" w:cs="Arial" w:eastAsia="Arial" w:hAnsi="Arial"/>
          <w:sz w:val="18"/>
          <w:szCs w:val="18"/>
          <w:color w:val="auto"/>
        </w:rPr>
        <w:t xml:space="preserve">In summary, and as mentioned to this proponent during our engagement, given ExxonMobil’s comprehensive assessment and risk mitigation to all of our developments and operations, and more specifically our limited operations in the AMAP region (with none at all in the Arctic National Wildlife Refuge), combined with the safety and risk-related disclosures we already provide, we believe a separate report for this region is unnecessary. The Board therefore encourages shareholders to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153035</wp:posOffset>
            </wp:positionV>
            <wp:extent cx="166306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199" w:lineRule="exact"/>
        <w:rPr>
          <w:sz w:val="20"/>
          <w:szCs w:val="20"/>
          <w:color w:val="auto"/>
        </w:rPr>
      </w:pPr>
    </w:p>
    <w:p>
      <w:pPr>
        <w:ind w:left="1140" w:hanging="376"/>
        <w:spacing w:after="0"/>
        <w:tabs>
          <w:tab w:leader="none" w:pos="1140" w:val="left"/>
        </w:tabs>
        <w:numPr>
          <w:ilvl w:val="0"/>
          <w:numId w:val="115"/>
        </w:numPr>
        <w:rPr>
          <w:rFonts w:ascii="Arial" w:cs="Arial" w:eastAsia="Arial" w:hAnsi="Arial"/>
          <w:sz w:val="24"/>
          <w:szCs w:val="24"/>
          <w:color w:val="auto"/>
          <w:vertAlign w:val="superscript"/>
        </w:rPr>
      </w:pPr>
      <w:r>
        <w:rPr>
          <w:rFonts w:ascii="Arial" w:cs="Arial" w:eastAsia="Arial" w:hAnsi="Arial"/>
          <w:sz w:val="16"/>
          <w:szCs w:val="16"/>
          <w:color w:val="auto"/>
        </w:rPr>
        <w:t>See https://www.greencentury.com/about-us/</w:t>
      </w:r>
    </w:p>
    <w:p>
      <w:pPr>
        <w:spacing w:after="0" w:line="117" w:lineRule="exact"/>
        <w:rPr>
          <w:sz w:val="20"/>
          <w:szCs w:val="20"/>
          <w:color w:val="auto"/>
        </w:rPr>
      </w:pPr>
    </w:p>
    <w:tbl>
      <w:tblPr>
        <w:tblLayout w:type="fixed"/>
        <w:tblInd w:w="6660" w:type="dxa"/>
        <w:tblCellMar>
          <w:top w:w="0" w:type="dxa"/>
          <w:left w:w="0" w:type="dxa"/>
          <w:bottom w:w="0" w:type="dxa"/>
          <w:right w:w="0" w:type="dxa"/>
        </w:tblCellMar>
      </w:tblPr>
      <w:tr>
        <w:trPr>
          <w:trHeight w:val="240"/>
        </w:trPr>
        <w:tc>
          <w:tcPr>
            <w:tcW w:w="2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200" w:type="dxa"/>
            <w:vAlign w:val="bottom"/>
          </w:tcPr>
          <w:p>
            <w:pPr>
              <w:jc w:val="right"/>
              <w:spacing w:after="0"/>
              <w:rPr>
                <w:sz w:val="20"/>
                <w:szCs w:val="20"/>
                <w:color w:val="auto"/>
              </w:rPr>
            </w:pPr>
            <w:r>
              <w:rPr>
                <w:rFonts w:ascii="Arial" w:cs="Arial" w:eastAsia="Arial" w:hAnsi="Arial"/>
                <w:sz w:val="18"/>
                <w:szCs w:val="18"/>
                <w:color w:val="auto"/>
              </w:rPr>
              <w:t>103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-139065</wp:posOffset>
            </wp:positionV>
            <wp:extent cx="737235" cy="14605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480"/>
          </w:cols>
          <w:pgMar w:left="320" w:top="482" w:right="10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ectPr>
          <w:pgSz w:w="11900" w:h="16838" w:orient="portrait"/>
          <w:cols w:equalWidth="0" w:num="1">
            <w:col w:w="10139"/>
          </w:cols>
          <w:pgMar w:left="320" w:top="482" w:right="1440" w:bottom="1440" w:gutter="0" w:footer="0" w:header="0"/>
        </w:sectPr>
      </w:pPr>
    </w:p>
    <w:bookmarkStart w:id="112" w:name="page113"/>
    <w:bookmarkEnd w:id="112"/>
    <w:p>
      <w:pPr>
        <w:spacing w:after="0"/>
        <w:rPr>
          <w:sz w:val="20"/>
          <w:szCs w:val="20"/>
          <w:color w:val="auto"/>
        </w:rPr>
      </w:pPr>
      <w:r>
        <w:rPr>
          <w:rFonts w:ascii="Arial" w:cs="Arial" w:eastAsia="Arial" w:hAnsi="Arial"/>
          <w:sz w:val="23"/>
          <w:szCs w:val="23"/>
          <w:b w:val="1"/>
          <w:bCs w:val="1"/>
          <w:color w:val="2B4C9B"/>
        </w:rPr>
        <w:t>PAY VERSUS PERFORMANCE</w:t>
      </w:r>
    </w:p>
    <w:p>
      <w:pPr>
        <w:spacing w:after="0" w:line="208"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Please refer to the Compensation and Discussion Analysis on pages 45 to 67 for a detailed description of the Company’s Executive Compensation program design and 2022 pay decisions, including how the Company links executive compensation to performance. This section is provided solely to comply with recently adopted SEC rules under the Dodd-Frank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617220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Pay Versus Performance Table</w:t>
      </w:r>
    </w:p>
    <w:tbl>
      <w:tblPr>
        <w:tblLayout w:type="fixed"/>
        <w:tblInd w:w="0" w:type="dxa"/>
        <w:tblCellMar>
          <w:top w:w="0" w:type="dxa"/>
          <w:left w:w="0" w:type="dxa"/>
          <w:bottom w:w="0" w:type="dxa"/>
          <w:right w:w="0" w:type="dxa"/>
        </w:tblCellMar>
      </w:tblPr>
      <w:tr>
        <w:trPr>
          <w:trHeight w:val="129"/>
        </w:trPr>
        <w:tc>
          <w:tcPr>
            <w:tcW w:w="1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80" w:type="dxa"/>
            <w:vAlign w:val="bottom"/>
            <w:gridSpan w:val="2"/>
          </w:tcPr>
          <w:p>
            <w:pPr>
              <w:jc w:val="center"/>
              <w:ind w:left="100"/>
              <w:spacing w:after="0" w:line="129" w:lineRule="exact"/>
              <w:rPr>
                <w:sz w:val="20"/>
                <w:szCs w:val="20"/>
                <w:color w:val="auto"/>
              </w:rPr>
            </w:pPr>
            <w:r>
              <w:rPr>
                <w:rFonts w:ascii="Arial" w:cs="Arial" w:eastAsia="Arial" w:hAnsi="Arial"/>
                <w:sz w:val="12"/>
                <w:szCs w:val="12"/>
                <w:b w:val="1"/>
                <w:bCs w:val="1"/>
                <w:color w:val="auto"/>
                <w:w w:val="97"/>
              </w:rPr>
              <w:t>Value of Initial Fixed $100</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980" w:type="dxa"/>
            <w:vAlign w:val="bottom"/>
            <w:gridSpan w:val="2"/>
          </w:tcPr>
          <w:p>
            <w:pPr>
              <w:jc w:val="center"/>
              <w:ind w:left="80"/>
              <w:spacing w:after="0"/>
              <w:rPr>
                <w:sz w:val="20"/>
                <w:szCs w:val="20"/>
                <w:color w:val="auto"/>
              </w:rPr>
            </w:pPr>
            <w:r>
              <w:rPr>
                <w:rFonts w:ascii="Arial" w:cs="Arial" w:eastAsia="Arial" w:hAnsi="Arial"/>
                <w:sz w:val="12"/>
                <w:szCs w:val="12"/>
                <w:b w:val="1"/>
                <w:bCs w:val="1"/>
                <w:color w:val="auto"/>
                <w:w w:val="97"/>
              </w:rPr>
              <w:t>Investment Based On:</w:t>
            </w:r>
          </w:p>
        </w:tc>
        <w:tc>
          <w:tcPr>
            <w:tcW w:w="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1460" w:type="dxa"/>
            <w:vAlign w:val="bottom"/>
          </w:tcPr>
          <w:p>
            <w:pPr>
              <w:spacing w:after="0"/>
              <w:rPr>
                <w:sz w:val="4"/>
                <w:szCs w:val="4"/>
                <w:color w:val="auto"/>
              </w:rPr>
            </w:pPr>
          </w:p>
        </w:tc>
        <w:tc>
          <w:tcPr>
            <w:tcW w:w="9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Summary</w:t>
            </w:r>
          </w:p>
        </w:tc>
        <w:tc>
          <w:tcPr>
            <w:tcW w:w="1100" w:type="dxa"/>
            <w:vAlign w:val="bottom"/>
          </w:tcPr>
          <w:p>
            <w:pPr>
              <w:spacing w:after="0"/>
              <w:rPr>
                <w:sz w:val="4"/>
                <w:szCs w:val="4"/>
                <w:color w:val="auto"/>
              </w:rPr>
            </w:pPr>
          </w:p>
        </w:tc>
        <w:tc>
          <w:tcPr>
            <w:tcW w:w="1260" w:type="dxa"/>
            <w:vAlign w:val="bottom"/>
            <w:vMerge w:val="restart"/>
          </w:tcPr>
          <w:p>
            <w:pPr>
              <w:jc w:val="center"/>
              <w:ind w:left="20"/>
              <w:spacing w:after="0"/>
              <w:rPr>
                <w:sz w:val="20"/>
                <w:szCs w:val="20"/>
                <w:color w:val="auto"/>
              </w:rPr>
            </w:pPr>
            <w:r>
              <w:rPr>
                <w:rFonts w:ascii="Arial" w:cs="Arial" w:eastAsia="Arial" w:hAnsi="Arial"/>
                <w:sz w:val="12"/>
                <w:szCs w:val="12"/>
                <w:b w:val="1"/>
                <w:bCs w:val="1"/>
                <w:color w:val="auto"/>
                <w:w w:val="96"/>
              </w:rPr>
              <w:t>Average Summary</w:t>
            </w:r>
          </w:p>
        </w:tc>
        <w:tc>
          <w:tcPr>
            <w:tcW w:w="1180" w:type="dxa"/>
            <w:vAlign w:val="bottom"/>
            <w:vMerge w:val="restart"/>
          </w:tcPr>
          <w:p>
            <w:pPr>
              <w:jc w:val="center"/>
              <w:ind w:right="20"/>
              <w:spacing w:after="0"/>
              <w:rPr>
                <w:sz w:val="20"/>
                <w:szCs w:val="20"/>
                <w:color w:val="auto"/>
              </w:rPr>
            </w:pPr>
            <w:r>
              <w:rPr>
                <w:rFonts w:ascii="Arial" w:cs="Arial" w:eastAsia="Arial" w:hAnsi="Arial"/>
                <w:sz w:val="12"/>
                <w:szCs w:val="12"/>
                <w:b w:val="1"/>
                <w:bCs w:val="1"/>
                <w:color w:val="auto"/>
                <w:w w:val="97"/>
              </w:rPr>
              <w:t>Average</w:t>
            </w:r>
          </w:p>
        </w:tc>
        <w:tc>
          <w:tcPr>
            <w:tcW w:w="920" w:type="dxa"/>
            <w:vAlign w:val="bottom"/>
            <w:tcBorders>
              <w:bottom w:val="single" w:sz="8" w:color="2B4C9B"/>
            </w:tcBorders>
          </w:tcPr>
          <w:p>
            <w:pPr>
              <w:spacing w:after="0"/>
              <w:rPr>
                <w:sz w:val="4"/>
                <w:szCs w:val="4"/>
                <w:color w:val="auto"/>
              </w:rPr>
            </w:pPr>
          </w:p>
        </w:tc>
        <w:tc>
          <w:tcPr>
            <w:tcW w:w="1060" w:type="dxa"/>
            <w:vAlign w:val="bottom"/>
            <w:tcBorders>
              <w:bottom w:val="single" w:sz="8" w:color="2B4C9B"/>
            </w:tcBorders>
          </w:tcPr>
          <w:p>
            <w:pPr>
              <w:spacing w:after="0"/>
              <w:rPr>
                <w:sz w:val="4"/>
                <w:szCs w:val="4"/>
                <w:color w:val="auto"/>
              </w:rPr>
            </w:pPr>
          </w:p>
        </w:tc>
        <w:tc>
          <w:tcPr>
            <w:tcW w:w="9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146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8"/>
              </w:rPr>
              <w:t>Compensation</w:t>
            </w:r>
          </w:p>
        </w:tc>
        <w:tc>
          <w:tcPr>
            <w:tcW w:w="1100" w:type="dxa"/>
            <w:vAlign w:val="bottom"/>
          </w:tcPr>
          <w:p>
            <w:pPr>
              <w:jc w:val="center"/>
              <w:ind w:right="20"/>
              <w:spacing w:after="0" w:line="135" w:lineRule="exact"/>
              <w:rPr>
                <w:sz w:val="20"/>
                <w:szCs w:val="20"/>
                <w:color w:val="auto"/>
              </w:rPr>
            </w:pPr>
            <w:r>
              <w:rPr>
                <w:rFonts w:ascii="Arial" w:cs="Arial" w:eastAsia="Arial" w:hAnsi="Arial"/>
                <w:sz w:val="12"/>
                <w:szCs w:val="12"/>
                <w:b w:val="1"/>
                <w:bCs w:val="1"/>
                <w:color w:val="auto"/>
                <w:w w:val="98"/>
              </w:rPr>
              <w:t>Compensation</w:t>
            </w:r>
          </w:p>
        </w:tc>
        <w:tc>
          <w:tcPr>
            <w:tcW w:w="12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5"/>
              </w:rPr>
              <w:t>Compensation</w:t>
            </w:r>
          </w:p>
        </w:tc>
        <w:tc>
          <w:tcPr>
            <w:tcW w:w="1180" w:type="dxa"/>
            <w:vAlign w:val="bottom"/>
          </w:tcPr>
          <w:p>
            <w:pPr>
              <w:jc w:val="center"/>
              <w:ind w:right="20"/>
              <w:spacing w:after="0" w:line="135" w:lineRule="exact"/>
              <w:rPr>
                <w:sz w:val="20"/>
                <w:szCs w:val="20"/>
                <w:color w:val="auto"/>
              </w:rPr>
            </w:pPr>
            <w:r>
              <w:rPr>
                <w:rFonts w:ascii="Arial" w:cs="Arial" w:eastAsia="Arial" w:hAnsi="Arial"/>
                <w:sz w:val="12"/>
                <w:szCs w:val="12"/>
                <w:b w:val="1"/>
                <w:bCs w:val="1"/>
                <w:color w:val="auto"/>
                <w:w w:val="98"/>
              </w:rPr>
              <w:t>Compensation</w:t>
            </w:r>
          </w:p>
        </w:tc>
        <w:tc>
          <w:tcPr>
            <w:tcW w:w="920" w:type="dxa"/>
            <w:vAlign w:val="bottom"/>
          </w:tcPr>
          <w:p>
            <w:pPr>
              <w:jc w:val="center"/>
              <w:ind w:left="20"/>
              <w:spacing w:after="0" w:line="135" w:lineRule="exact"/>
              <w:rPr>
                <w:sz w:val="20"/>
                <w:szCs w:val="20"/>
                <w:color w:val="auto"/>
              </w:rPr>
            </w:pPr>
            <w:r>
              <w:rPr>
                <w:rFonts w:ascii="Arial" w:cs="Arial" w:eastAsia="Arial" w:hAnsi="Arial"/>
                <w:sz w:val="12"/>
                <w:szCs w:val="12"/>
                <w:b w:val="1"/>
                <w:bCs w:val="1"/>
                <w:color w:val="auto"/>
                <w:w w:val="97"/>
              </w:rPr>
              <w:t>Total</w:t>
            </w:r>
          </w:p>
        </w:tc>
        <w:tc>
          <w:tcPr>
            <w:tcW w:w="10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Peer Group</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4"/>
              </w:rPr>
              <w:t>Table Total for</w:t>
            </w:r>
          </w:p>
        </w:tc>
        <w:tc>
          <w:tcPr>
            <w:tcW w:w="11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Actually Paid to</w:t>
            </w:r>
          </w:p>
        </w:tc>
        <w:tc>
          <w:tcPr>
            <w:tcW w:w="12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Table Total for</w:t>
            </w:r>
          </w:p>
        </w:tc>
        <w:tc>
          <w:tcPr>
            <w:tcW w:w="1180" w:type="dxa"/>
            <w:vAlign w:val="bottom"/>
          </w:tcPr>
          <w:p>
            <w:pPr>
              <w:jc w:val="center"/>
              <w:ind w:right="20"/>
              <w:spacing w:after="0" w:line="135" w:lineRule="exact"/>
              <w:rPr>
                <w:sz w:val="20"/>
                <w:szCs w:val="20"/>
                <w:color w:val="auto"/>
              </w:rPr>
            </w:pPr>
            <w:r>
              <w:rPr>
                <w:rFonts w:ascii="Arial" w:cs="Arial" w:eastAsia="Arial" w:hAnsi="Arial"/>
                <w:sz w:val="12"/>
                <w:szCs w:val="12"/>
                <w:b w:val="1"/>
                <w:bCs w:val="1"/>
                <w:color w:val="auto"/>
                <w:w w:val="95"/>
              </w:rPr>
              <w:t>Actually Paid to</w:t>
            </w:r>
          </w:p>
        </w:tc>
        <w:tc>
          <w:tcPr>
            <w:tcW w:w="920" w:type="dxa"/>
            <w:vAlign w:val="bottom"/>
          </w:tcPr>
          <w:p>
            <w:pPr>
              <w:jc w:val="center"/>
              <w:ind w:left="20"/>
              <w:spacing w:after="0" w:line="135" w:lineRule="exact"/>
              <w:rPr>
                <w:sz w:val="20"/>
                <w:szCs w:val="20"/>
                <w:color w:val="auto"/>
              </w:rPr>
            </w:pPr>
            <w:r>
              <w:rPr>
                <w:rFonts w:ascii="Arial" w:cs="Arial" w:eastAsia="Arial" w:hAnsi="Arial"/>
                <w:sz w:val="12"/>
                <w:szCs w:val="12"/>
                <w:b w:val="1"/>
                <w:bCs w:val="1"/>
                <w:color w:val="auto"/>
                <w:w w:val="97"/>
              </w:rPr>
              <w:t>Shareholder</w:t>
            </w:r>
          </w:p>
        </w:tc>
        <w:tc>
          <w:tcPr>
            <w:tcW w:w="1060" w:type="dxa"/>
            <w:vAlign w:val="bottom"/>
          </w:tcPr>
          <w:p>
            <w:pPr>
              <w:jc w:val="center"/>
              <w:ind w:left="20"/>
              <w:spacing w:after="0" w:line="135" w:lineRule="exact"/>
              <w:rPr>
                <w:sz w:val="20"/>
                <w:szCs w:val="20"/>
                <w:color w:val="auto"/>
              </w:rPr>
            </w:pPr>
            <w:r>
              <w:rPr>
                <w:rFonts w:ascii="Arial" w:cs="Arial" w:eastAsia="Arial" w:hAnsi="Arial"/>
                <w:sz w:val="12"/>
                <w:szCs w:val="12"/>
                <w:b w:val="1"/>
                <w:bCs w:val="1"/>
                <w:color w:val="auto"/>
                <w:w w:val="96"/>
              </w:rPr>
              <w:t>Total Shareholder</w:t>
            </w:r>
          </w:p>
        </w:tc>
        <w:tc>
          <w:tcPr>
            <w:tcW w:w="9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5"/>
              </w:rPr>
              <w:t>Net Income</w:t>
            </w:r>
          </w:p>
        </w:tc>
        <w:tc>
          <w:tcPr>
            <w:tcW w:w="800" w:type="dxa"/>
            <w:vAlign w:val="bottom"/>
          </w:tcPr>
          <w:p>
            <w:pPr>
              <w:jc w:val="center"/>
              <w:ind w:left="80"/>
              <w:spacing w:after="0" w:line="135" w:lineRule="exact"/>
              <w:rPr>
                <w:sz w:val="20"/>
                <w:szCs w:val="20"/>
                <w:color w:val="auto"/>
              </w:rPr>
            </w:pPr>
            <w:r>
              <w:rPr>
                <w:rFonts w:ascii="Arial" w:cs="Arial" w:eastAsia="Arial" w:hAnsi="Arial"/>
                <w:sz w:val="12"/>
                <w:szCs w:val="12"/>
                <w:b w:val="1"/>
                <w:bCs w:val="1"/>
                <w:color w:val="auto"/>
                <w:w w:val="97"/>
              </w:rPr>
              <w:t>CFOAS</w:t>
            </w:r>
            <w:r>
              <w:rPr>
                <w:rFonts w:ascii="Arial" w:cs="Arial" w:eastAsia="Arial" w:hAnsi="Arial"/>
                <w:sz w:val="14"/>
                <w:szCs w:val="14"/>
                <w:b w:val="1"/>
                <w:bCs w:val="1"/>
                <w:color w:val="auto"/>
                <w:w w:val="97"/>
                <w:vertAlign w:val="superscript"/>
              </w:rPr>
              <w:t>5</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1"/>
              </w:rPr>
              <w:t>PEO</w:t>
            </w:r>
            <w:r>
              <w:rPr>
                <w:rFonts w:ascii="Arial" w:cs="Arial" w:eastAsia="Arial" w:hAnsi="Arial"/>
                <w:sz w:val="14"/>
                <w:szCs w:val="14"/>
                <w:b w:val="1"/>
                <w:bCs w:val="1"/>
                <w:color w:val="auto"/>
                <w:w w:val="91"/>
                <w:vertAlign w:val="superscript"/>
              </w:rPr>
              <w:t>1</w:t>
            </w:r>
          </w:p>
        </w:tc>
        <w:tc>
          <w:tcPr>
            <w:tcW w:w="1100" w:type="dxa"/>
            <w:vAlign w:val="bottom"/>
          </w:tcPr>
          <w:p>
            <w:pPr>
              <w:jc w:val="center"/>
              <w:ind w:right="20"/>
              <w:spacing w:after="0" w:line="135" w:lineRule="exact"/>
              <w:rPr>
                <w:sz w:val="20"/>
                <w:szCs w:val="20"/>
                <w:color w:val="auto"/>
              </w:rPr>
            </w:pPr>
            <w:r>
              <w:rPr>
                <w:rFonts w:ascii="Arial" w:cs="Arial" w:eastAsia="Arial" w:hAnsi="Arial"/>
                <w:sz w:val="12"/>
                <w:szCs w:val="12"/>
                <w:b w:val="1"/>
                <w:bCs w:val="1"/>
                <w:color w:val="auto"/>
                <w:w w:val="88"/>
              </w:rPr>
              <w:t>PEO</w:t>
            </w:r>
            <w:r>
              <w:rPr>
                <w:rFonts w:ascii="Arial" w:cs="Arial" w:eastAsia="Arial" w:hAnsi="Arial"/>
                <w:sz w:val="14"/>
                <w:szCs w:val="14"/>
                <w:b w:val="1"/>
                <w:bCs w:val="1"/>
                <w:color w:val="auto"/>
                <w:w w:val="88"/>
                <w:vertAlign w:val="superscript"/>
              </w:rPr>
              <w:t>1,4</w:t>
            </w:r>
          </w:p>
        </w:tc>
        <w:tc>
          <w:tcPr>
            <w:tcW w:w="1260" w:type="dxa"/>
            <w:vAlign w:val="bottom"/>
          </w:tcPr>
          <w:p>
            <w:pPr>
              <w:jc w:val="center"/>
              <w:ind w:left="20"/>
              <w:spacing w:after="0" w:line="135" w:lineRule="exact"/>
              <w:rPr>
                <w:sz w:val="20"/>
                <w:szCs w:val="20"/>
                <w:color w:val="auto"/>
              </w:rPr>
            </w:pPr>
            <w:r>
              <w:rPr>
                <w:rFonts w:ascii="Arial" w:cs="Arial" w:eastAsia="Arial" w:hAnsi="Arial"/>
                <w:sz w:val="12"/>
                <w:szCs w:val="12"/>
                <w:b w:val="1"/>
                <w:bCs w:val="1"/>
                <w:color w:val="auto"/>
                <w:w w:val="95"/>
              </w:rPr>
              <w:t>Non-PEO NEOs</w:t>
            </w:r>
            <w:r>
              <w:rPr>
                <w:rFonts w:ascii="Arial" w:cs="Arial" w:eastAsia="Arial" w:hAnsi="Arial"/>
                <w:sz w:val="14"/>
                <w:szCs w:val="14"/>
                <w:b w:val="1"/>
                <w:bCs w:val="1"/>
                <w:color w:val="auto"/>
                <w:w w:val="95"/>
                <w:vertAlign w:val="superscript"/>
              </w:rPr>
              <w:t>2</w:t>
            </w:r>
          </w:p>
        </w:tc>
        <w:tc>
          <w:tcPr>
            <w:tcW w:w="1180" w:type="dxa"/>
            <w:vAlign w:val="bottom"/>
          </w:tcPr>
          <w:p>
            <w:pPr>
              <w:jc w:val="center"/>
              <w:ind w:right="20"/>
              <w:spacing w:after="0" w:line="135" w:lineRule="exact"/>
              <w:rPr>
                <w:sz w:val="20"/>
                <w:szCs w:val="20"/>
                <w:color w:val="auto"/>
              </w:rPr>
            </w:pPr>
            <w:r>
              <w:rPr>
                <w:rFonts w:ascii="Arial" w:cs="Arial" w:eastAsia="Arial" w:hAnsi="Arial"/>
                <w:sz w:val="12"/>
                <w:szCs w:val="12"/>
                <w:b w:val="1"/>
                <w:bCs w:val="1"/>
                <w:color w:val="auto"/>
                <w:w w:val="96"/>
              </w:rPr>
              <w:t>Non-PEO NEOs</w:t>
            </w:r>
            <w:r>
              <w:rPr>
                <w:rFonts w:ascii="Arial" w:cs="Arial" w:eastAsia="Arial" w:hAnsi="Arial"/>
                <w:sz w:val="14"/>
                <w:szCs w:val="14"/>
                <w:b w:val="1"/>
                <w:bCs w:val="1"/>
                <w:color w:val="auto"/>
                <w:w w:val="96"/>
                <w:vertAlign w:val="superscript"/>
              </w:rPr>
              <w:t>2,4</w:t>
            </w:r>
          </w:p>
        </w:tc>
        <w:tc>
          <w:tcPr>
            <w:tcW w:w="9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8"/>
              </w:rPr>
              <w:t>Return</w:t>
            </w:r>
          </w:p>
        </w:tc>
        <w:tc>
          <w:tcPr>
            <w:tcW w:w="1060" w:type="dxa"/>
            <w:vAlign w:val="bottom"/>
          </w:tcPr>
          <w:p>
            <w:pPr>
              <w:jc w:val="center"/>
              <w:ind w:left="20"/>
              <w:spacing w:after="0" w:line="135" w:lineRule="exact"/>
              <w:rPr>
                <w:sz w:val="20"/>
                <w:szCs w:val="20"/>
                <w:color w:val="auto"/>
              </w:rPr>
            </w:pPr>
            <w:r>
              <w:rPr>
                <w:rFonts w:ascii="Arial" w:cs="Arial" w:eastAsia="Arial" w:hAnsi="Arial"/>
                <w:sz w:val="12"/>
                <w:szCs w:val="12"/>
                <w:b w:val="1"/>
                <w:bCs w:val="1"/>
                <w:color w:val="auto"/>
                <w:w w:val="95"/>
              </w:rPr>
              <w:t>Return</w:t>
            </w:r>
            <w:r>
              <w:rPr>
                <w:rFonts w:ascii="Arial" w:cs="Arial" w:eastAsia="Arial" w:hAnsi="Arial"/>
                <w:sz w:val="14"/>
                <w:szCs w:val="14"/>
                <w:b w:val="1"/>
                <w:bCs w:val="1"/>
                <w:color w:val="auto"/>
                <w:w w:val="95"/>
                <w:vertAlign w:val="superscript"/>
              </w:rPr>
              <w:t>3</w:t>
            </w:r>
          </w:p>
        </w:tc>
        <w:tc>
          <w:tcPr>
            <w:tcW w:w="9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(in millions)</w:t>
            </w:r>
          </w:p>
        </w:tc>
        <w:tc>
          <w:tcPr>
            <w:tcW w:w="800" w:type="dxa"/>
            <w:vAlign w:val="bottom"/>
          </w:tcPr>
          <w:p>
            <w:pPr>
              <w:jc w:val="center"/>
              <w:ind w:left="80"/>
              <w:spacing w:after="0" w:line="135" w:lineRule="exact"/>
              <w:rPr>
                <w:sz w:val="20"/>
                <w:szCs w:val="20"/>
                <w:color w:val="auto"/>
              </w:rPr>
            </w:pPr>
            <w:r>
              <w:rPr>
                <w:rFonts w:ascii="Arial" w:cs="Arial" w:eastAsia="Arial" w:hAnsi="Arial"/>
                <w:sz w:val="12"/>
                <w:szCs w:val="12"/>
                <w:b w:val="1"/>
                <w:bCs w:val="1"/>
                <w:color w:val="auto"/>
                <w:w w:val="97"/>
              </w:rPr>
              <w:t>(in millions)</w:t>
            </w:r>
          </w:p>
        </w:tc>
        <w:tc>
          <w:tcPr>
            <w:tcW w:w="0" w:type="dxa"/>
            <w:vAlign w:val="bottom"/>
          </w:tcPr>
          <w:p>
            <w:pPr>
              <w:spacing w:after="0"/>
              <w:rPr>
                <w:sz w:val="1"/>
                <w:szCs w:val="1"/>
                <w:color w:val="auto"/>
              </w:rPr>
            </w:pPr>
          </w:p>
        </w:tc>
      </w:tr>
      <w:tr>
        <w:trPr>
          <w:trHeight w:val="135"/>
        </w:trPr>
        <w:tc>
          <w:tcPr>
            <w:tcW w:w="1460" w:type="dxa"/>
            <w:vAlign w:val="bottom"/>
          </w:tcPr>
          <w:p>
            <w:pPr>
              <w:jc w:val="right"/>
              <w:ind w:right="539"/>
              <w:spacing w:after="0" w:line="135" w:lineRule="exact"/>
              <w:rPr>
                <w:sz w:val="20"/>
                <w:szCs w:val="20"/>
                <w:color w:val="auto"/>
              </w:rPr>
            </w:pPr>
            <w:r>
              <w:rPr>
                <w:rFonts w:ascii="Arial" w:cs="Arial" w:eastAsia="Arial" w:hAnsi="Arial"/>
                <w:sz w:val="12"/>
                <w:szCs w:val="12"/>
                <w:b w:val="1"/>
                <w:bCs w:val="1"/>
                <w:color w:val="auto"/>
              </w:rPr>
              <w:t>Year</w:t>
            </w:r>
          </w:p>
        </w:tc>
        <w:tc>
          <w:tcPr>
            <w:tcW w:w="9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9"/>
              </w:rPr>
              <w:t>$</w:t>
            </w:r>
          </w:p>
        </w:tc>
        <w:tc>
          <w:tcPr>
            <w:tcW w:w="1100" w:type="dxa"/>
            <w:vAlign w:val="bottom"/>
          </w:tcPr>
          <w:p>
            <w:pPr>
              <w:jc w:val="center"/>
              <w:ind w:right="20"/>
              <w:spacing w:after="0" w:line="135" w:lineRule="exact"/>
              <w:rPr>
                <w:sz w:val="20"/>
                <w:szCs w:val="20"/>
                <w:color w:val="auto"/>
              </w:rPr>
            </w:pPr>
            <w:r>
              <w:rPr>
                <w:rFonts w:ascii="Arial" w:cs="Arial" w:eastAsia="Arial" w:hAnsi="Arial"/>
                <w:sz w:val="12"/>
                <w:szCs w:val="12"/>
                <w:b w:val="1"/>
                <w:bCs w:val="1"/>
                <w:color w:val="auto"/>
                <w:w w:val="89"/>
              </w:rPr>
              <w:t>$</w:t>
            </w:r>
          </w:p>
        </w:tc>
        <w:tc>
          <w:tcPr>
            <w:tcW w:w="1260" w:type="dxa"/>
            <w:vAlign w:val="bottom"/>
          </w:tcPr>
          <w:p>
            <w:pPr>
              <w:jc w:val="center"/>
              <w:ind w:left="20"/>
              <w:spacing w:after="0" w:line="135" w:lineRule="exact"/>
              <w:rPr>
                <w:sz w:val="20"/>
                <w:szCs w:val="20"/>
                <w:color w:val="auto"/>
              </w:rPr>
            </w:pPr>
            <w:r>
              <w:rPr>
                <w:rFonts w:ascii="Arial" w:cs="Arial" w:eastAsia="Arial" w:hAnsi="Arial"/>
                <w:sz w:val="12"/>
                <w:szCs w:val="12"/>
                <w:b w:val="1"/>
                <w:bCs w:val="1"/>
                <w:color w:val="auto"/>
                <w:w w:val="89"/>
              </w:rPr>
              <w:t>$</w:t>
            </w:r>
          </w:p>
        </w:tc>
        <w:tc>
          <w:tcPr>
            <w:tcW w:w="1180" w:type="dxa"/>
            <w:vAlign w:val="bottom"/>
          </w:tcPr>
          <w:p>
            <w:pPr>
              <w:jc w:val="center"/>
              <w:ind w:right="20"/>
              <w:spacing w:after="0" w:line="135" w:lineRule="exact"/>
              <w:rPr>
                <w:sz w:val="20"/>
                <w:szCs w:val="20"/>
                <w:color w:val="auto"/>
              </w:rPr>
            </w:pPr>
            <w:r>
              <w:rPr>
                <w:rFonts w:ascii="Arial" w:cs="Arial" w:eastAsia="Arial" w:hAnsi="Arial"/>
                <w:sz w:val="12"/>
                <w:szCs w:val="12"/>
                <w:b w:val="1"/>
                <w:bCs w:val="1"/>
                <w:color w:val="auto"/>
                <w:w w:val="89"/>
              </w:rPr>
              <w:t>$</w:t>
            </w:r>
          </w:p>
        </w:tc>
        <w:tc>
          <w:tcPr>
            <w:tcW w:w="9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9"/>
              </w:rPr>
              <w:t>$</w:t>
            </w:r>
          </w:p>
        </w:tc>
        <w:tc>
          <w:tcPr>
            <w:tcW w:w="1060" w:type="dxa"/>
            <w:vAlign w:val="bottom"/>
          </w:tcPr>
          <w:p>
            <w:pPr>
              <w:jc w:val="center"/>
              <w:ind w:left="20"/>
              <w:spacing w:after="0" w:line="135" w:lineRule="exact"/>
              <w:rPr>
                <w:sz w:val="20"/>
                <w:szCs w:val="20"/>
                <w:color w:val="auto"/>
              </w:rPr>
            </w:pPr>
            <w:r>
              <w:rPr>
                <w:rFonts w:ascii="Arial" w:cs="Arial" w:eastAsia="Arial" w:hAnsi="Arial"/>
                <w:sz w:val="12"/>
                <w:szCs w:val="12"/>
                <w:b w:val="1"/>
                <w:bCs w:val="1"/>
                <w:color w:val="auto"/>
                <w:w w:val="89"/>
              </w:rPr>
              <w:t>$</w:t>
            </w:r>
          </w:p>
        </w:tc>
        <w:tc>
          <w:tcPr>
            <w:tcW w:w="9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9"/>
              </w:rPr>
              <w:t>$</w:t>
            </w:r>
          </w:p>
        </w:tc>
        <w:tc>
          <w:tcPr>
            <w:tcW w:w="800" w:type="dxa"/>
            <w:vAlign w:val="bottom"/>
          </w:tcPr>
          <w:p>
            <w:pPr>
              <w:jc w:val="center"/>
              <w:ind w:left="80"/>
              <w:spacing w:after="0" w:line="135" w:lineRule="exact"/>
              <w:rPr>
                <w:sz w:val="20"/>
                <w:szCs w:val="20"/>
                <w:color w:val="auto"/>
              </w:rPr>
            </w:pPr>
            <w:r>
              <w:rPr>
                <w:rFonts w:ascii="Arial" w:cs="Arial" w:eastAsia="Arial" w:hAnsi="Arial"/>
                <w:sz w:val="12"/>
                <w:szCs w:val="12"/>
                <w:b w:val="1"/>
                <w:bCs w:val="1"/>
                <w:color w:val="auto"/>
                <w:w w:val="89"/>
              </w:rPr>
              <w:t>$</w:t>
            </w:r>
          </w:p>
        </w:tc>
        <w:tc>
          <w:tcPr>
            <w:tcW w:w="0" w:type="dxa"/>
            <w:vAlign w:val="bottom"/>
          </w:tcPr>
          <w:p>
            <w:pPr>
              <w:spacing w:after="0"/>
              <w:rPr>
                <w:sz w:val="1"/>
                <w:szCs w:val="1"/>
                <w:color w:val="auto"/>
              </w:rPr>
            </w:pPr>
          </w:p>
        </w:tc>
      </w:tr>
      <w:tr>
        <w:trPr>
          <w:trHeight w:val="160"/>
        </w:trPr>
        <w:tc>
          <w:tcPr>
            <w:tcW w:w="1460" w:type="dxa"/>
            <w:vAlign w:val="bottom"/>
          </w:tcPr>
          <w:p>
            <w:pPr>
              <w:jc w:val="right"/>
              <w:ind w:right="599"/>
              <w:spacing w:after="0"/>
              <w:rPr>
                <w:sz w:val="20"/>
                <w:szCs w:val="20"/>
                <w:color w:val="auto"/>
              </w:rPr>
            </w:pPr>
            <w:r>
              <w:rPr>
                <w:rFonts w:ascii="Arial" w:cs="Arial" w:eastAsia="Arial" w:hAnsi="Arial"/>
                <w:sz w:val="12"/>
                <w:szCs w:val="12"/>
                <w:b w:val="1"/>
                <w:bCs w:val="1"/>
                <w:color w:val="auto"/>
              </w:rPr>
              <w:t>(a)</w:t>
            </w: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w w:val="91"/>
              </w:rPr>
              <w:t>(b)</w:t>
            </w:r>
          </w:p>
        </w:tc>
        <w:tc>
          <w:tcPr>
            <w:tcW w:w="1100" w:type="dxa"/>
            <w:vAlign w:val="bottom"/>
          </w:tcPr>
          <w:p>
            <w:pPr>
              <w:jc w:val="center"/>
              <w:ind w:right="20"/>
              <w:spacing w:after="0"/>
              <w:rPr>
                <w:sz w:val="20"/>
                <w:szCs w:val="20"/>
                <w:color w:val="auto"/>
              </w:rPr>
            </w:pPr>
            <w:r>
              <w:rPr>
                <w:rFonts w:ascii="Arial" w:cs="Arial" w:eastAsia="Arial" w:hAnsi="Arial"/>
                <w:sz w:val="12"/>
                <w:szCs w:val="12"/>
                <w:b w:val="1"/>
                <w:bCs w:val="1"/>
                <w:color w:val="auto"/>
                <w:w w:val="95"/>
              </w:rPr>
              <w:t>(c)</w:t>
            </w:r>
          </w:p>
        </w:tc>
        <w:tc>
          <w:tcPr>
            <w:tcW w:w="1260" w:type="dxa"/>
            <w:vAlign w:val="bottom"/>
          </w:tcPr>
          <w:p>
            <w:pPr>
              <w:jc w:val="center"/>
              <w:spacing w:after="0"/>
              <w:rPr>
                <w:sz w:val="20"/>
                <w:szCs w:val="20"/>
                <w:color w:val="auto"/>
              </w:rPr>
            </w:pPr>
            <w:r>
              <w:rPr>
                <w:rFonts w:ascii="Arial" w:cs="Arial" w:eastAsia="Arial" w:hAnsi="Arial"/>
                <w:sz w:val="12"/>
                <w:szCs w:val="12"/>
                <w:b w:val="1"/>
                <w:bCs w:val="1"/>
                <w:color w:val="auto"/>
              </w:rPr>
              <w:t>(d)</w:t>
            </w:r>
          </w:p>
        </w:tc>
        <w:tc>
          <w:tcPr>
            <w:tcW w:w="1180" w:type="dxa"/>
            <w:vAlign w:val="bottom"/>
          </w:tcPr>
          <w:p>
            <w:pPr>
              <w:jc w:val="center"/>
              <w:ind w:right="20"/>
              <w:spacing w:after="0"/>
              <w:rPr>
                <w:sz w:val="20"/>
                <w:szCs w:val="20"/>
                <w:color w:val="auto"/>
              </w:rPr>
            </w:pPr>
            <w:r>
              <w:rPr>
                <w:rFonts w:ascii="Arial" w:cs="Arial" w:eastAsia="Arial" w:hAnsi="Arial"/>
                <w:sz w:val="12"/>
                <w:szCs w:val="12"/>
                <w:b w:val="1"/>
                <w:bCs w:val="1"/>
                <w:color w:val="auto"/>
                <w:w w:val="95"/>
              </w:rPr>
              <w:t>(e)</w:t>
            </w:r>
          </w:p>
        </w:tc>
        <w:tc>
          <w:tcPr>
            <w:tcW w:w="920" w:type="dxa"/>
            <w:vAlign w:val="bottom"/>
          </w:tcPr>
          <w:p>
            <w:pPr>
              <w:jc w:val="center"/>
              <w:ind w:left="20"/>
              <w:spacing w:after="0"/>
              <w:rPr>
                <w:sz w:val="20"/>
                <w:szCs w:val="20"/>
                <w:color w:val="auto"/>
              </w:rPr>
            </w:pPr>
            <w:r>
              <w:rPr>
                <w:rFonts w:ascii="Arial" w:cs="Arial" w:eastAsia="Arial" w:hAnsi="Arial"/>
                <w:sz w:val="12"/>
                <w:szCs w:val="12"/>
                <w:b w:val="1"/>
                <w:bCs w:val="1"/>
                <w:color w:val="auto"/>
                <w:w w:val="99"/>
              </w:rPr>
              <w:t>(f)</w:t>
            </w: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rPr>
              <w:t>(g)</w:t>
            </w:r>
          </w:p>
        </w:tc>
        <w:tc>
          <w:tcPr>
            <w:tcW w:w="960" w:type="dxa"/>
            <w:vAlign w:val="bottom"/>
          </w:tcPr>
          <w:p>
            <w:pPr>
              <w:jc w:val="center"/>
              <w:spacing w:after="0"/>
              <w:rPr>
                <w:sz w:val="20"/>
                <w:szCs w:val="20"/>
                <w:color w:val="auto"/>
              </w:rPr>
            </w:pPr>
            <w:r>
              <w:rPr>
                <w:rFonts w:ascii="Arial" w:cs="Arial" w:eastAsia="Arial" w:hAnsi="Arial"/>
                <w:sz w:val="12"/>
                <w:szCs w:val="12"/>
                <w:b w:val="1"/>
                <w:bCs w:val="1"/>
                <w:color w:val="auto"/>
                <w:w w:val="91"/>
              </w:rPr>
              <w:t>(h)</w:t>
            </w:r>
          </w:p>
        </w:tc>
        <w:tc>
          <w:tcPr>
            <w:tcW w:w="800" w:type="dxa"/>
            <w:vAlign w:val="bottom"/>
          </w:tcPr>
          <w:p>
            <w:pPr>
              <w:jc w:val="center"/>
              <w:ind w:left="80"/>
              <w:spacing w:after="0"/>
              <w:rPr>
                <w:sz w:val="20"/>
                <w:szCs w:val="20"/>
                <w:color w:val="auto"/>
              </w:rPr>
            </w:pPr>
            <w:r>
              <w:rPr>
                <w:rFonts w:ascii="Arial" w:cs="Arial" w:eastAsia="Arial" w:hAnsi="Arial"/>
                <w:sz w:val="12"/>
                <w:szCs w:val="12"/>
                <w:b w:val="1"/>
                <w:bCs w:val="1"/>
                <w:color w:val="auto"/>
                <w:w w:val="87"/>
              </w:rPr>
              <w:t>(i)</w:t>
            </w:r>
          </w:p>
        </w:tc>
        <w:tc>
          <w:tcPr>
            <w:tcW w:w="0" w:type="dxa"/>
            <w:vAlign w:val="bottom"/>
          </w:tcPr>
          <w:p>
            <w:pPr>
              <w:spacing w:after="0"/>
              <w:rPr>
                <w:sz w:val="1"/>
                <w:szCs w:val="1"/>
                <w:color w:val="auto"/>
              </w:rPr>
            </w:pPr>
          </w:p>
        </w:tc>
      </w:tr>
      <w:tr>
        <w:trPr>
          <w:trHeight w:val="26"/>
        </w:trPr>
        <w:tc>
          <w:tcPr>
            <w:tcW w:w="1460" w:type="dxa"/>
            <w:vAlign w:val="bottom"/>
            <w:tcBorders>
              <w:bottom w:val="single" w:sz="8" w:color="2B4C9B"/>
            </w:tcBorders>
          </w:tcPr>
          <w:p>
            <w:pPr>
              <w:spacing w:after="0"/>
              <w:rPr>
                <w:sz w:val="2"/>
                <w:szCs w:val="2"/>
                <w:color w:val="auto"/>
              </w:rPr>
            </w:pPr>
          </w:p>
        </w:tc>
        <w:tc>
          <w:tcPr>
            <w:tcW w:w="980" w:type="dxa"/>
            <w:vAlign w:val="bottom"/>
            <w:tcBorders>
              <w:bottom w:val="single" w:sz="8" w:color="2B4C9B"/>
            </w:tcBorders>
          </w:tcPr>
          <w:p>
            <w:pPr>
              <w:spacing w:after="0"/>
              <w:rPr>
                <w:sz w:val="2"/>
                <w:szCs w:val="2"/>
                <w:color w:val="auto"/>
              </w:rPr>
            </w:pPr>
          </w:p>
        </w:tc>
        <w:tc>
          <w:tcPr>
            <w:tcW w:w="1100" w:type="dxa"/>
            <w:vAlign w:val="bottom"/>
            <w:tcBorders>
              <w:bottom w:val="single" w:sz="8" w:color="2B4C9B"/>
            </w:tcBorders>
          </w:tcPr>
          <w:p>
            <w:pPr>
              <w:spacing w:after="0"/>
              <w:rPr>
                <w:sz w:val="2"/>
                <w:szCs w:val="2"/>
                <w:color w:val="auto"/>
              </w:rPr>
            </w:pPr>
          </w:p>
        </w:tc>
        <w:tc>
          <w:tcPr>
            <w:tcW w:w="1260" w:type="dxa"/>
            <w:vAlign w:val="bottom"/>
            <w:tcBorders>
              <w:bottom w:val="single" w:sz="8" w:color="2B4C9B"/>
            </w:tcBorders>
          </w:tcPr>
          <w:p>
            <w:pPr>
              <w:spacing w:after="0"/>
              <w:rPr>
                <w:sz w:val="2"/>
                <w:szCs w:val="2"/>
                <w:color w:val="auto"/>
              </w:rPr>
            </w:pPr>
          </w:p>
        </w:tc>
        <w:tc>
          <w:tcPr>
            <w:tcW w:w="1180" w:type="dxa"/>
            <w:vAlign w:val="bottom"/>
            <w:tcBorders>
              <w:bottom w:val="single" w:sz="8" w:color="2B4C9B"/>
            </w:tcBorders>
          </w:tcPr>
          <w:p>
            <w:pPr>
              <w:spacing w:after="0"/>
              <w:rPr>
                <w:sz w:val="2"/>
                <w:szCs w:val="2"/>
                <w:color w:val="auto"/>
              </w:rPr>
            </w:pPr>
          </w:p>
        </w:tc>
        <w:tc>
          <w:tcPr>
            <w:tcW w:w="920" w:type="dxa"/>
            <w:vAlign w:val="bottom"/>
            <w:tcBorders>
              <w:bottom w:val="single" w:sz="8" w:color="2B4C9B"/>
            </w:tcBorders>
          </w:tcPr>
          <w:p>
            <w:pPr>
              <w:spacing w:after="0"/>
              <w:rPr>
                <w:sz w:val="2"/>
                <w:szCs w:val="2"/>
                <w:color w:val="auto"/>
              </w:rPr>
            </w:pPr>
          </w:p>
        </w:tc>
        <w:tc>
          <w:tcPr>
            <w:tcW w:w="1060" w:type="dxa"/>
            <w:vAlign w:val="bottom"/>
            <w:tcBorders>
              <w:bottom w:val="single" w:sz="8" w:color="2B4C9B"/>
            </w:tcBorders>
          </w:tcPr>
          <w:p>
            <w:pPr>
              <w:spacing w:after="0"/>
              <w:rPr>
                <w:sz w:val="2"/>
                <w:szCs w:val="2"/>
                <w:color w:val="auto"/>
              </w:rPr>
            </w:pPr>
          </w:p>
        </w:tc>
        <w:tc>
          <w:tcPr>
            <w:tcW w:w="960" w:type="dxa"/>
            <w:vAlign w:val="bottom"/>
            <w:tcBorders>
              <w:bottom w:val="single" w:sz="8" w:color="2B4C9B"/>
            </w:tcBorders>
          </w:tcPr>
          <w:p>
            <w:pPr>
              <w:spacing w:after="0"/>
              <w:rPr>
                <w:sz w:val="2"/>
                <w:szCs w:val="2"/>
                <w:color w:val="auto"/>
              </w:rPr>
            </w:pPr>
          </w:p>
        </w:tc>
        <w:tc>
          <w:tcPr>
            <w:tcW w:w="800" w:type="dxa"/>
            <w:vAlign w:val="bottom"/>
            <w:tcBorders>
              <w:bottom w:val="single" w:sz="8" w:color="2B4C9B"/>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460" w:type="dxa"/>
            <w:vAlign w:val="bottom"/>
            <w:tcBorders>
              <w:bottom w:val="single" w:sz="8" w:color="EFEFEF"/>
            </w:tcBorders>
            <w:shd w:val="clear" w:color="auto" w:fill="EFEFEF"/>
          </w:tcPr>
          <w:p>
            <w:pPr>
              <w:jc w:val="right"/>
              <w:ind w:right="1019"/>
              <w:spacing w:after="0"/>
              <w:rPr>
                <w:sz w:val="20"/>
                <w:szCs w:val="20"/>
                <w:color w:val="auto"/>
              </w:rPr>
            </w:pPr>
            <w:r>
              <w:rPr>
                <w:rFonts w:ascii="Arial" w:cs="Arial" w:eastAsia="Arial" w:hAnsi="Arial"/>
                <w:sz w:val="13"/>
                <w:szCs w:val="13"/>
                <w:color w:val="auto"/>
              </w:rPr>
              <w:t>2022</w:t>
            </w:r>
          </w:p>
        </w:tc>
        <w:tc>
          <w:tcPr>
            <w:tcW w:w="980" w:type="dxa"/>
            <w:vAlign w:val="bottom"/>
            <w:tcBorders>
              <w:bottom w:val="single" w:sz="8" w:color="EFEFEF"/>
            </w:tcBorders>
            <w:shd w:val="clear" w:color="auto" w:fill="EFEFEF"/>
          </w:tcPr>
          <w:p>
            <w:pPr>
              <w:jc w:val="center"/>
              <w:spacing w:after="0"/>
              <w:rPr>
                <w:sz w:val="20"/>
                <w:szCs w:val="20"/>
                <w:color w:val="auto"/>
              </w:rPr>
            </w:pPr>
            <w:r>
              <w:rPr>
                <w:rFonts w:ascii="Arial" w:cs="Arial" w:eastAsia="Arial" w:hAnsi="Arial"/>
                <w:sz w:val="13"/>
                <w:szCs w:val="13"/>
                <w:color w:val="auto"/>
                <w:w w:val="95"/>
              </w:rPr>
              <w:t>35,909,231</w:t>
            </w:r>
          </w:p>
        </w:tc>
        <w:tc>
          <w:tcPr>
            <w:tcW w:w="1100" w:type="dxa"/>
            <w:vAlign w:val="bottom"/>
            <w:tcBorders>
              <w:bottom w:val="single" w:sz="8" w:color="EFEFEF"/>
            </w:tcBorders>
            <w:shd w:val="clear" w:color="auto" w:fill="EFEFEF"/>
          </w:tcPr>
          <w:p>
            <w:pPr>
              <w:jc w:val="right"/>
              <w:ind w:right="80"/>
              <w:spacing w:after="0"/>
              <w:rPr>
                <w:sz w:val="20"/>
                <w:szCs w:val="20"/>
                <w:color w:val="auto"/>
              </w:rPr>
            </w:pPr>
            <w:r>
              <w:rPr>
                <w:rFonts w:ascii="Arial" w:cs="Arial" w:eastAsia="Arial" w:hAnsi="Arial"/>
                <w:sz w:val="13"/>
                <w:szCs w:val="13"/>
                <w:color w:val="auto"/>
              </w:rPr>
              <w:t>89,747,677</w:t>
            </w:r>
          </w:p>
        </w:tc>
        <w:tc>
          <w:tcPr>
            <w:tcW w:w="1260" w:type="dxa"/>
            <w:vAlign w:val="bottom"/>
            <w:tcBorders>
              <w:bottom w:val="single" w:sz="8" w:color="EFEFEF"/>
            </w:tcBorders>
            <w:shd w:val="clear" w:color="auto" w:fill="EFEFEF"/>
          </w:tcPr>
          <w:p>
            <w:pPr>
              <w:jc w:val="center"/>
              <w:spacing w:after="0"/>
              <w:rPr>
                <w:sz w:val="20"/>
                <w:szCs w:val="20"/>
                <w:color w:val="auto"/>
              </w:rPr>
            </w:pPr>
            <w:r>
              <w:rPr>
                <w:rFonts w:ascii="Arial" w:cs="Arial" w:eastAsia="Arial" w:hAnsi="Arial"/>
                <w:sz w:val="13"/>
                <w:szCs w:val="13"/>
                <w:color w:val="auto"/>
                <w:w w:val="98"/>
              </w:rPr>
              <w:t>20,844,030</w:t>
            </w:r>
          </w:p>
        </w:tc>
        <w:tc>
          <w:tcPr>
            <w:tcW w:w="1180" w:type="dxa"/>
            <w:vAlign w:val="bottom"/>
            <w:tcBorders>
              <w:bottom w:val="single" w:sz="8" w:color="EFEFEF"/>
            </w:tcBorders>
            <w:shd w:val="clear" w:color="auto" w:fill="EFEFEF"/>
          </w:tcPr>
          <w:p>
            <w:pPr>
              <w:jc w:val="right"/>
              <w:ind w:right="80"/>
              <w:spacing w:after="0"/>
              <w:rPr>
                <w:sz w:val="20"/>
                <w:szCs w:val="20"/>
                <w:color w:val="auto"/>
              </w:rPr>
            </w:pPr>
            <w:r>
              <w:rPr>
                <w:rFonts w:ascii="Arial" w:cs="Arial" w:eastAsia="Arial" w:hAnsi="Arial"/>
                <w:sz w:val="13"/>
                <w:szCs w:val="13"/>
                <w:color w:val="auto"/>
              </w:rPr>
              <w:t>37,954,580</w:t>
            </w:r>
          </w:p>
        </w:tc>
        <w:tc>
          <w:tcPr>
            <w:tcW w:w="920" w:type="dxa"/>
            <w:vAlign w:val="bottom"/>
            <w:tcBorders>
              <w:bottom w:val="single" w:sz="8" w:color="EFEFEF"/>
            </w:tcBorders>
            <w:shd w:val="clear" w:color="auto" w:fill="EFEFEF"/>
          </w:tcPr>
          <w:p>
            <w:pPr>
              <w:jc w:val="center"/>
              <w:ind w:left="20"/>
              <w:spacing w:after="0"/>
              <w:rPr>
                <w:sz w:val="20"/>
                <w:szCs w:val="20"/>
                <w:color w:val="auto"/>
              </w:rPr>
            </w:pPr>
            <w:r>
              <w:rPr>
                <w:rFonts w:ascii="Arial" w:cs="Arial" w:eastAsia="Arial" w:hAnsi="Arial"/>
                <w:sz w:val="13"/>
                <w:szCs w:val="13"/>
                <w:color w:val="auto"/>
                <w:w w:val="92"/>
              </w:rPr>
              <w:t>188</w:t>
            </w:r>
          </w:p>
        </w:tc>
        <w:tc>
          <w:tcPr>
            <w:tcW w:w="1060" w:type="dxa"/>
            <w:vAlign w:val="bottom"/>
            <w:tcBorders>
              <w:bottom w:val="single" w:sz="8" w:color="EFEFEF"/>
            </w:tcBorders>
            <w:shd w:val="clear" w:color="auto" w:fill="EFEFEF"/>
          </w:tcPr>
          <w:p>
            <w:pPr>
              <w:jc w:val="center"/>
              <w:spacing w:after="0"/>
              <w:rPr>
                <w:sz w:val="20"/>
                <w:szCs w:val="20"/>
                <w:color w:val="auto"/>
              </w:rPr>
            </w:pPr>
            <w:r>
              <w:rPr>
                <w:rFonts w:ascii="Arial" w:cs="Arial" w:eastAsia="Arial" w:hAnsi="Arial"/>
                <w:sz w:val="13"/>
                <w:szCs w:val="13"/>
                <w:color w:val="auto"/>
                <w:w w:val="92"/>
              </w:rPr>
              <w:t>136</w:t>
            </w:r>
          </w:p>
        </w:tc>
        <w:tc>
          <w:tcPr>
            <w:tcW w:w="960" w:type="dxa"/>
            <w:vAlign w:val="bottom"/>
            <w:tcBorders>
              <w:bottom w:val="single" w:sz="8" w:color="EFEFEF"/>
            </w:tcBorders>
            <w:shd w:val="clear" w:color="auto" w:fill="EFEFEF"/>
          </w:tcPr>
          <w:p>
            <w:pPr>
              <w:jc w:val="right"/>
              <w:ind w:right="100"/>
              <w:spacing w:after="0"/>
              <w:rPr>
                <w:sz w:val="20"/>
                <w:szCs w:val="20"/>
                <w:color w:val="auto"/>
              </w:rPr>
            </w:pPr>
            <w:r>
              <w:rPr>
                <w:rFonts w:ascii="Arial" w:cs="Arial" w:eastAsia="Arial" w:hAnsi="Arial"/>
                <w:sz w:val="13"/>
                <w:szCs w:val="13"/>
                <w:color w:val="auto"/>
              </w:rPr>
              <w:t>55,740</w:t>
            </w:r>
          </w:p>
        </w:tc>
        <w:tc>
          <w:tcPr>
            <w:tcW w:w="800" w:type="dxa"/>
            <w:vAlign w:val="bottom"/>
            <w:tcBorders>
              <w:bottom w:val="single" w:sz="8" w:color="EFEFEF"/>
            </w:tcBorders>
            <w:shd w:val="clear" w:color="auto" w:fill="EFEFEF"/>
          </w:tcPr>
          <w:p>
            <w:pPr>
              <w:jc w:val="center"/>
              <w:ind w:left="80"/>
              <w:spacing w:after="0"/>
              <w:rPr>
                <w:sz w:val="20"/>
                <w:szCs w:val="20"/>
                <w:color w:val="auto"/>
              </w:rPr>
            </w:pPr>
            <w:r>
              <w:rPr>
                <w:rFonts w:ascii="Arial" w:cs="Arial" w:eastAsia="Arial" w:hAnsi="Arial"/>
                <w:sz w:val="13"/>
                <w:szCs w:val="13"/>
                <w:color w:val="auto"/>
                <w:w w:val="95"/>
              </w:rPr>
              <w:t>82,044</w:t>
            </w:r>
          </w:p>
        </w:tc>
        <w:tc>
          <w:tcPr>
            <w:tcW w:w="0" w:type="dxa"/>
            <w:vAlign w:val="bottom"/>
          </w:tcPr>
          <w:p>
            <w:pPr>
              <w:spacing w:after="0"/>
              <w:rPr>
                <w:sz w:val="1"/>
                <w:szCs w:val="1"/>
                <w:color w:val="auto"/>
              </w:rPr>
            </w:pPr>
          </w:p>
        </w:tc>
      </w:tr>
      <w:tr>
        <w:trPr>
          <w:trHeight w:val="255"/>
        </w:trPr>
        <w:tc>
          <w:tcPr>
            <w:tcW w:w="1460" w:type="dxa"/>
            <w:vAlign w:val="bottom"/>
            <w:tcBorders>
              <w:top w:val="single" w:sz="8" w:color="2B4C9B"/>
              <w:bottom w:val="single" w:sz="8" w:color="DBDBDB"/>
            </w:tcBorders>
            <w:shd w:val="clear" w:color="auto" w:fill="DBDBDB"/>
          </w:tcPr>
          <w:p>
            <w:pPr>
              <w:jc w:val="right"/>
              <w:ind w:right="1019"/>
              <w:spacing w:after="0"/>
              <w:rPr>
                <w:sz w:val="20"/>
                <w:szCs w:val="20"/>
                <w:color w:val="auto"/>
              </w:rPr>
            </w:pPr>
            <w:r>
              <w:rPr>
                <w:rFonts w:ascii="Arial" w:cs="Arial" w:eastAsia="Arial" w:hAnsi="Arial"/>
                <w:sz w:val="13"/>
                <w:szCs w:val="13"/>
                <w:color w:val="auto"/>
              </w:rPr>
              <w:t>2021</w:t>
            </w:r>
          </w:p>
        </w:tc>
        <w:tc>
          <w:tcPr>
            <w:tcW w:w="980" w:type="dxa"/>
            <w:vAlign w:val="bottom"/>
            <w:tcBorders>
              <w:top w:val="single" w:sz="8" w:color="2B4C9B"/>
              <w:bottom w:val="single" w:sz="8" w:color="DBDBDB"/>
            </w:tcBorders>
            <w:shd w:val="clear" w:color="auto" w:fill="DBDBDB"/>
          </w:tcPr>
          <w:p>
            <w:pPr>
              <w:jc w:val="center"/>
              <w:spacing w:after="0"/>
              <w:rPr>
                <w:sz w:val="20"/>
                <w:szCs w:val="20"/>
                <w:color w:val="auto"/>
              </w:rPr>
            </w:pPr>
            <w:r>
              <w:rPr>
                <w:rFonts w:ascii="Arial" w:cs="Arial" w:eastAsia="Arial" w:hAnsi="Arial"/>
                <w:sz w:val="13"/>
                <w:szCs w:val="13"/>
                <w:color w:val="auto"/>
                <w:w w:val="95"/>
              </w:rPr>
              <w:t>23,572,488</w:t>
            </w:r>
          </w:p>
        </w:tc>
        <w:tc>
          <w:tcPr>
            <w:tcW w:w="1100" w:type="dxa"/>
            <w:vAlign w:val="bottom"/>
            <w:tcBorders>
              <w:top w:val="single" w:sz="8" w:color="2B4C9B"/>
              <w:bottom w:val="single" w:sz="8" w:color="DBDBDB"/>
            </w:tcBorders>
            <w:shd w:val="clear" w:color="auto" w:fill="DBDBDB"/>
          </w:tcPr>
          <w:p>
            <w:pPr>
              <w:jc w:val="right"/>
              <w:ind w:right="80"/>
              <w:spacing w:after="0"/>
              <w:rPr>
                <w:sz w:val="20"/>
                <w:szCs w:val="20"/>
                <w:color w:val="auto"/>
              </w:rPr>
            </w:pPr>
            <w:r>
              <w:rPr>
                <w:rFonts w:ascii="Arial" w:cs="Arial" w:eastAsia="Arial" w:hAnsi="Arial"/>
                <w:sz w:val="13"/>
                <w:szCs w:val="13"/>
                <w:color w:val="auto"/>
              </w:rPr>
              <w:t>40,080,212</w:t>
            </w:r>
          </w:p>
        </w:tc>
        <w:tc>
          <w:tcPr>
            <w:tcW w:w="1260" w:type="dxa"/>
            <w:vAlign w:val="bottom"/>
            <w:tcBorders>
              <w:top w:val="single" w:sz="8" w:color="2B4C9B"/>
              <w:bottom w:val="single" w:sz="8" w:color="DBDBDB"/>
            </w:tcBorders>
            <w:shd w:val="clear" w:color="auto" w:fill="DBDBDB"/>
          </w:tcPr>
          <w:p>
            <w:pPr>
              <w:jc w:val="center"/>
              <w:spacing w:after="0"/>
              <w:rPr>
                <w:sz w:val="20"/>
                <w:szCs w:val="20"/>
                <w:color w:val="auto"/>
              </w:rPr>
            </w:pPr>
            <w:r>
              <w:rPr>
                <w:rFonts w:ascii="Arial" w:cs="Arial" w:eastAsia="Arial" w:hAnsi="Arial"/>
                <w:sz w:val="13"/>
                <w:szCs w:val="13"/>
                <w:color w:val="auto"/>
                <w:w w:val="92"/>
              </w:rPr>
              <w:t>11,277,117</w:t>
            </w:r>
          </w:p>
        </w:tc>
        <w:tc>
          <w:tcPr>
            <w:tcW w:w="1180" w:type="dxa"/>
            <w:vAlign w:val="bottom"/>
            <w:tcBorders>
              <w:top w:val="single" w:sz="8" w:color="2B4C9B"/>
              <w:bottom w:val="single" w:sz="8" w:color="DBDBDB"/>
            </w:tcBorders>
            <w:shd w:val="clear" w:color="auto" w:fill="DBDBDB"/>
          </w:tcPr>
          <w:p>
            <w:pPr>
              <w:jc w:val="right"/>
              <w:ind w:right="80"/>
              <w:spacing w:after="0"/>
              <w:rPr>
                <w:sz w:val="20"/>
                <w:szCs w:val="20"/>
                <w:color w:val="auto"/>
              </w:rPr>
            </w:pPr>
            <w:r>
              <w:rPr>
                <w:rFonts w:ascii="Arial" w:cs="Arial" w:eastAsia="Arial" w:hAnsi="Arial"/>
                <w:sz w:val="13"/>
                <w:szCs w:val="13"/>
                <w:color w:val="auto"/>
              </w:rPr>
              <w:t>18,671,104</w:t>
            </w:r>
          </w:p>
        </w:tc>
        <w:tc>
          <w:tcPr>
            <w:tcW w:w="920" w:type="dxa"/>
            <w:vAlign w:val="bottom"/>
            <w:tcBorders>
              <w:top w:val="single" w:sz="8" w:color="2B4C9B"/>
              <w:bottom w:val="single" w:sz="8" w:color="DBDBDB"/>
            </w:tcBorders>
            <w:shd w:val="clear" w:color="auto" w:fill="DBDBDB"/>
          </w:tcPr>
          <w:p>
            <w:pPr>
              <w:jc w:val="center"/>
              <w:ind w:left="20"/>
              <w:spacing w:after="0"/>
              <w:rPr>
                <w:sz w:val="20"/>
                <w:szCs w:val="20"/>
                <w:color w:val="auto"/>
              </w:rPr>
            </w:pPr>
            <w:r>
              <w:rPr>
                <w:rFonts w:ascii="Arial" w:cs="Arial" w:eastAsia="Arial" w:hAnsi="Arial"/>
                <w:sz w:val="13"/>
                <w:szCs w:val="13"/>
                <w:color w:val="auto"/>
                <w:w w:val="92"/>
              </w:rPr>
              <w:t>101</w:t>
            </w:r>
          </w:p>
        </w:tc>
        <w:tc>
          <w:tcPr>
            <w:tcW w:w="1060" w:type="dxa"/>
            <w:vAlign w:val="bottom"/>
            <w:tcBorders>
              <w:top w:val="single" w:sz="8" w:color="2B4C9B"/>
              <w:bottom w:val="single" w:sz="8" w:color="DBDBDB"/>
            </w:tcBorders>
            <w:shd w:val="clear" w:color="auto" w:fill="DBDBDB"/>
          </w:tcPr>
          <w:p>
            <w:pPr>
              <w:jc w:val="center"/>
              <w:ind w:left="20"/>
              <w:spacing w:after="0"/>
              <w:rPr>
                <w:sz w:val="20"/>
                <w:szCs w:val="20"/>
                <w:color w:val="auto"/>
              </w:rPr>
            </w:pPr>
            <w:r>
              <w:rPr>
                <w:rFonts w:ascii="Arial" w:cs="Arial" w:eastAsia="Arial" w:hAnsi="Arial"/>
                <w:sz w:val="13"/>
                <w:szCs w:val="13"/>
                <w:color w:val="auto"/>
                <w:w w:val="96"/>
              </w:rPr>
              <w:t>94</w:t>
            </w:r>
          </w:p>
        </w:tc>
        <w:tc>
          <w:tcPr>
            <w:tcW w:w="960" w:type="dxa"/>
            <w:vAlign w:val="bottom"/>
            <w:tcBorders>
              <w:top w:val="single" w:sz="8" w:color="2B4C9B"/>
              <w:bottom w:val="single" w:sz="8" w:color="DBDBDB"/>
            </w:tcBorders>
            <w:shd w:val="clear" w:color="auto" w:fill="DBDBDB"/>
          </w:tcPr>
          <w:p>
            <w:pPr>
              <w:jc w:val="right"/>
              <w:ind w:right="100"/>
              <w:spacing w:after="0"/>
              <w:rPr>
                <w:sz w:val="20"/>
                <w:szCs w:val="20"/>
                <w:color w:val="auto"/>
              </w:rPr>
            </w:pPr>
            <w:r>
              <w:rPr>
                <w:rFonts w:ascii="Arial" w:cs="Arial" w:eastAsia="Arial" w:hAnsi="Arial"/>
                <w:sz w:val="13"/>
                <w:szCs w:val="13"/>
                <w:color w:val="auto"/>
              </w:rPr>
              <w:t>23,040</w:t>
            </w:r>
          </w:p>
        </w:tc>
        <w:tc>
          <w:tcPr>
            <w:tcW w:w="800" w:type="dxa"/>
            <w:vAlign w:val="bottom"/>
            <w:tcBorders>
              <w:top w:val="single" w:sz="8" w:color="2B4C9B"/>
              <w:bottom w:val="single" w:sz="8" w:color="DBDBDB"/>
            </w:tcBorders>
            <w:shd w:val="clear" w:color="auto" w:fill="DBDBDB"/>
          </w:tcPr>
          <w:p>
            <w:pPr>
              <w:jc w:val="center"/>
              <w:ind w:left="80"/>
              <w:spacing w:after="0"/>
              <w:rPr>
                <w:sz w:val="20"/>
                <w:szCs w:val="20"/>
                <w:color w:val="auto"/>
              </w:rPr>
            </w:pPr>
            <w:r>
              <w:rPr>
                <w:rFonts w:ascii="Arial" w:cs="Arial" w:eastAsia="Arial" w:hAnsi="Arial"/>
                <w:sz w:val="13"/>
                <w:szCs w:val="13"/>
                <w:color w:val="auto"/>
                <w:w w:val="95"/>
              </w:rPr>
              <w:t>51,305</w:t>
            </w:r>
          </w:p>
        </w:tc>
        <w:tc>
          <w:tcPr>
            <w:tcW w:w="0" w:type="dxa"/>
            <w:vAlign w:val="bottom"/>
          </w:tcPr>
          <w:p>
            <w:pPr>
              <w:spacing w:after="0"/>
              <w:rPr>
                <w:sz w:val="1"/>
                <w:szCs w:val="1"/>
                <w:color w:val="auto"/>
              </w:rPr>
            </w:pPr>
          </w:p>
        </w:tc>
      </w:tr>
      <w:tr>
        <w:trPr>
          <w:trHeight w:val="230"/>
        </w:trPr>
        <w:tc>
          <w:tcPr>
            <w:tcW w:w="1460" w:type="dxa"/>
            <w:vAlign w:val="bottom"/>
            <w:tcBorders>
              <w:top w:val="single" w:sz="8" w:color="2B4C9B"/>
              <w:bottom w:val="single" w:sz="8" w:color="EFEFEF"/>
            </w:tcBorders>
            <w:shd w:val="clear" w:color="auto" w:fill="EFEFEF"/>
          </w:tcPr>
          <w:p>
            <w:pPr>
              <w:jc w:val="right"/>
              <w:ind w:right="1019"/>
              <w:spacing w:after="0"/>
              <w:rPr>
                <w:sz w:val="20"/>
                <w:szCs w:val="20"/>
                <w:color w:val="auto"/>
              </w:rPr>
            </w:pPr>
            <w:r>
              <w:rPr>
                <w:rFonts w:ascii="Arial" w:cs="Arial" w:eastAsia="Arial" w:hAnsi="Arial"/>
                <w:sz w:val="13"/>
                <w:szCs w:val="13"/>
                <w:color w:val="auto"/>
              </w:rPr>
              <w:t>2020</w:t>
            </w:r>
          </w:p>
        </w:tc>
        <w:tc>
          <w:tcPr>
            <w:tcW w:w="980" w:type="dxa"/>
            <w:vAlign w:val="bottom"/>
            <w:tcBorders>
              <w:top w:val="single" w:sz="8" w:color="2B4C9B"/>
              <w:bottom w:val="single" w:sz="8" w:color="EFEFEF"/>
            </w:tcBorders>
            <w:shd w:val="clear" w:color="auto" w:fill="EFEFEF"/>
          </w:tcPr>
          <w:p>
            <w:pPr>
              <w:jc w:val="center"/>
              <w:spacing w:after="0"/>
              <w:rPr>
                <w:sz w:val="20"/>
                <w:szCs w:val="20"/>
                <w:color w:val="auto"/>
              </w:rPr>
            </w:pPr>
            <w:r>
              <w:rPr>
                <w:rFonts w:ascii="Arial" w:cs="Arial" w:eastAsia="Arial" w:hAnsi="Arial"/>
                <w:sz w:val="13"/>
                <w:szCs w:val="13"/>
                <w:color w:val="auto"/>
                <w:w w:val="95"/>
              </w:rPr>
              <w:t>15,639,061</w:t>
            </w:r>
          </w:p>
        </w:tc>
        <w:tc>
          <w:tcPr>
            <w:tcW w:w="1100" w:type="dxa"/>
            <w:vAlign w:val="bottom"/>
            <w:tcBorders>
              <w:top w:val="single" w:sz="8" w:color="2B4C9B"/>
              <w:bottom w:val="single" w:sz="8" w:color="EFEFEF"/>
            </w:tcBorders>
            <w:shd w:val="clear" w:color="auto" w:fill="EFEFEF"/>
          </w:tcPr>
          <w:p>
            <w:pPr>
              <w:jc w:val="right"/>
              <w:ind w:right="80"/>
              <w:spacing w:after="0"/>
              <w:rPr>
                <w:sz w:val="20"/>
                <w:szCs w:val="20"/>
                <w:color w:val="auto"/>
              </w:rPr>
            </w:pPr>
            <w:r>
              <w:rPr>
                <w:rFonts w:ascii="Arial" w:cs="Arial" w:eastAsia="Arial" w:hAnsi="Arial"/>
                <w:sz w:val="13"/>
                <w:szCs w:val="13"/>
                <w:color w:val="auto"/>
              </w:rPr>
              <w:t>-7,691,707</w:t>
            </w:r>
          </w:p>
        </w:tc>
        <w:tc>
          <w:tcPr>
            <w:tcW w:w="1260" w:type="dxa"/>
            <w:vAlign w:val="bottom"/>
            <w:tcBorders>
              <w:top w:val="single" w:sz="8" w:color="2B4C9B"/>
              <w:bottom w:val="single" w:sz="8" w:color="EFEFEF"/>
            </w:tcBorders>
            <w:shd w:val="clear" w:color="auto" w:fill="EFEFEF"/>
          </w:tcPr>
          <w:p>
            <w:pPr>
              <w:jc w:val="center"/>
              <w:spacing w:after="0"/>
              <w:rPr>
                <w:sz w:val="20"/>
                <w:szCs w:val="20"/>
                <w:color w:val="auto"/>
              </w:rPr>
            </w:pPr>
            <w:r>
              <w:rPr>
                <w:rFonts w:ascii="Arial" w:cs="Arial" w:eastAsia="Arial" w:hAnsi="Arial"/>
                <w:sz w:val="13"/>
                <w:szCs w:val="13"/>
                <w:color w:val="auto"/>
                <w:w w:val="96"/>
              </w:rPr>
              <w:t>8,331,316</w:t>
            </w:r>
          </w:p>
        </w:tc>
        <w:tc>
          <w:tcPr>
            <w:tcW w:w="1180" w:type="dxa"/>
            <w:vAlign w:val="bottom"/>
            <w:tcBorders>
              <w:top w:val="single" w:sz="8" w:color="2B4C9B"/>
              <w:bottom w:val="single" w:sz="8" w:color="EFEFEF"/>
            </w:tcBorders>
            <w:shd w:val="clear" w:color="auto" w:fill="EFEFEF"/>
          </w:tcPr>
          <w:p>
            <w:pPr>
              <w:jc w:val="right"/>
              <w:ind w:right="80"/>
              <w:spacing w:after="0"/>
              <w:rPr>
                <w:sz w:val="20"/>
                <w:szCs w:val="20"/>
                <w:color w:val="auto"/>
              </w:rPr>
            </w:pPr>
            <w:r>
              <w:rPr>
                <w:rFonts w:ascii="Arial" w:cs="Arial" w:eastAsia="Arial" w:hAnsi="Arial"/>
                <w:sz w:val="13"/>
                <w:szCs w:val="13"/>
                <w:color w:val="auto"/>
              </w:rPr>
              <w:t>-8,714,670</w:t>
            </w:r>
          </w:p>
        </w:tc>
        <w:tc>
          <w:tcPr>
            <w:tcW w:w="920" w:type="dxa"/>
            <w:vAlign w:val="bottom"/>
            <w:tcBorders>
              <w:top w:val="single" w:sz="8" w:color="2B4C9B"/>
              <w:bottom w:val="single" w:sz="8" w:color="EFEFEF"/>
            </w:tcBorders>
            <w:shd w:val="clear" w:color="auto" w:fill="EFEFEF"/>
          </w:tcPr>
          <w:p>
            <w:pPr>
              <w:jc w:val="center"/>
              <w:spacing w:after="0"/>
              <w:rPr>
                <w:sz w:val="20"/>
                <w:szCs w:val="20"/>
                <w:color w:val="auto"/>
              </w:rPr>
            </w:pPr>
            <w:r>
              <w:rPr>
                <w:rFonts w:ascii="Arial" w:cs="Arial" w:eastAsia="Arial" w:hAnsi="Arial"/>
                <w:sz w:val="13"/>
                <w:szCs w:val="13"/>
                <w:color w:val="auto"/>
                <w:w w:val="96"/>
              </w:rPr>
              <w:t>64</w:t>
            </w:r>
          </w:p>
        </w:tc>
        <w:tc>
          <w:tcPr>
            <w:tcW w:w="1060" w:type="dxa"/>
            <w:vAlign w:val="bottom"/>
            <w:tcBorders>
              <w:top w:val="single" w:sz="8" w:color="2B4C9B"/>
              <w:bottom w:val="single" w:sz="8" w:color="EFEFEF"/>
            </w:tcBorders>
            <w:shd w:val="clear" w:color="auto" w:fill="EFEFEF"/>
          </w:tcPr>
          <w:p>
            <w:pPr>
              <w:jc w:val="center"/>
              <w:ind w:left="20"/>
              <w:spacing w:after="0"/>
              <w:rPr>
                <w:sz w:val="20"/>
                <w:szCs w:val="20"/>
                <w:color w:val="auto"/>
              </w:rPr>
            </w:pPr>
            <w:r>
              <w:rPr>
                <w:rFonts w:ascii="Arial" w:cs="Arial" w:eastAsia="Arial" w:hAnsi="Arial"/>
                <w:sz w:val="13"/>
                <w:szCs w:val="13"/>
                <w:color w:val="auto"/>
                <w:w w:val="96"/>
              </w:rPr>
              <w:t>69</w:t>
            </w:r>
          </w:p>
        </w:tc>
        <w:tc>
          <w:tcPr>
            <w:tcW w:w="960" w:type="dxa"/>
            <w:vAlign w:val="bottom"/>
            <w:tcBorders>
              <w:top w:val="single" w:sz="8" w:color="2B4C9B"/>
              <w:bottom w:val="single" w:sz="8" w:color="EFEFEF"/>
            </w:tcBorders>
            <w:shd w:val="clear" w:color="auto" w:fill="EFEFEF"/>
          </w:tcPr>
          <w:p>
            <w:pPr>
              <w:jc w:val="right"/>
              <w:ind w:right="100"/>
              <w:spacing w:after="0"/>
              <w:rPr>
                <w:sz w:val="20"/>
                <w:szCs w:val="20"/>
                <w:color w:val="auto"/>
              </w:rPr>
            </w:pPr>
            <w:r>
              <w:rPr>
                <w:rFonts w:ascii="Arial" w:cs="Arial" w:eastAsia="Arial" w:hAnsi="Arial"/>
                <w:sz w:val="13"/>
                <w:szCs w:val="13"/>
                <w:color w:val="auto"/>
              </w:rPr>
              <w:t>-22,440</w:t>
            </w:r>
          </w:p>
        </w:tc>
        <w:tc>
          <w:tcPr>
            <w:tcW w:w="800" w:type="dxa"/>
            <w:vAlign w:val="bottom"/>
            <w:tcBorders>
              <w:top w:val="single" w:sz="8" w:color="2B4C9B"/>
              <w:bottom w:val="single" w:sz="8" w:color="EFEFEF"/>
            </w:tcBorders>
            <w:shd w:val="clear" w:color="auto" w:fill="EFEFEF"/>
          </w:tcPr>
          <w:p>
            <w:pPr>
              <w:jc w:val="center"/>
              <w:ind w:left="80"/>
              <w:spacing w:after="0"/>
              <w:rPr>
                <w:sz w:val="20"/>
                <w:szCs w:val="20"/>
                <w:color w:val="auto"/>
              </w:rPr>
            </w:pPr>
            <w:r>
              <w:rPr>
                <w:rFonts w:ascii="Arial" w:cs="Arial" w:eastAsia="Arial" w:hAnsi="Arial"/>
                <w:sz w:val="13"/>
                <w:szCs w:val="13"/>
                <w:color w:val="auto"/>
                <w:w w:val="95"/>
              </w:rPr>
              <w:t>15,667</w:t>
            </w:r>
          </w:p>
        </w:tc>
        <w:tc>
          <w:tcPr>
            <w:tcW w:w="0" w:type="dxa"/>
            <w:vAlign w:val="bottom"/>
          </w:tcPr>
          <w:p>
            <w:pPr>
              <w:spacing w:after="0"/>
              <w:rPr>
                <w:sz w:val="1"/>
                <w:szCs w:val="1"/>
                <w:color w:val="auto"/>
              </w:rPr>
            </w:pPr>
          </w:p>
        </w:tc>
      </w:tr>
      <w:tr>
        <w:trPr>
          <w:trHeight w:val="20"/>
        </w:trPr>
        <w:tc>
          <w:tcPr>
            <w:tcW w:w="1460" w:type="dxa"/>
            <w:vAlign w:val="bottom"/>
            <w:shd w:val="clear" w:color="auto" w:fill="2B4C9B"/>
          </w:tcPr>
          <w:p>
            <w:pPr>
              <w:spacing w:after="0" w:line="20" w:lineRule="exact"/>
              <w:rPr>
                <w:sz w:val="1"/>
                <w:szCs w:val="1"/>
                <w:color w:val="auto"/>
              </w:rPr>
            </w:pPr>
          </w:p>
        </w:tc>
        <w:tc>
          <w:tcPr>
            <w:tcW w:w="980" w:type="dxa"/>
            <w:vAlign w:val="bottom"/>
            <w:shd w:val="clear" w:color="auto" w:fill="2B4C9B"/>
          </w:tcPr>
          <w:p>
            <w:pPr>
              <w:spacing w:after="0" w:line="20" w:lineRule="exact"/>
              <w:rPr>
                <w:sz w:val="1"/>
                <w:szCs w:val="1"/>
                <w:color w:val="auto"/>
              </w:rPr>
            </w:pPr>
          </w:p>
        </w:tc>
        <w:tc>
          <w:tcPr>
            <w:tcW w:w="1100" w:type="dxa"/>
            <w:vAlign w:val="bottom"/>
            <w:shd w:val="clear" w:color="auto" w:fill="2B4C9B"/>
          </w:tcPr>
          <w:p>
            <w:pPr>
              <w:spacing w:after="0" w:line="20" w:lineRule="exact"/>
              <w:rPr>
                <w:sz w:val="1"/>
                <w:szCs w:val="1"/>
                <w:color w:val="auto"/>
              </w:rPr>
            </w:pPr>
          </w:p>
        </w:tc>
        <w:tc>
          <w:tcPr>
            <w:tcW w:w="1260" w:type="dxa"/>
            <w:vAlign w:val="bottom"/>
            <w:shd w:val="clear" w:color="auto" w:fill="2B4C9B"/>
          </w:tcPr>
          <w:p>
            <w:pPr>
              <w:spacing w:after="0" w:line="20" w:lineRule="exact"/>
              <w:rPr>
                <w:sz w:val="1"/>
                <w:szCs w:val="1"/>
                <w:color w:val="auto"/>
              </w:rPr>
            </w:pPr>
          </w:p>
        </w:tc>
        <w:tc>
          <w:tcPr>
            <w:tcW w:w="1180" w:type="dxa"/>
            <w:vAlign w:val="bottom"/>
            <w:shd w:val="clear" w:color="auto" w:fill="2B4C9B"/>
          </w:tcPr>
          <w:p>
            <w:pPr>
              <w:spacing w:after="0" w:line="20" w:lineRule="exact"/>
              <w:rPr>
                <w:sz w:val="1"/>
                <w:szCs w:val="1"/>
                <w:color w:val="auto"/>
              </w:rPr>
            </w:pPr>
          </w:p>
        </w:tc>
        <w:tc>
          <w:tcPr>
            <w:tcW w:w="920" w:type="dxa"/>
            <w:vAlign w:val="bottom"/>
            <w:shd w:val="clear" w:color="auto" w:fill="2B4C9B"/>
          </w:tcPr>
          <w:p>
            <w:pPr>
              <w:spacing w:after="0" w:line="20" w:lineRule="exact"/>
              <w:rPr>
                <w:sz w:val="1"/>
                <w:szCs w:val="1"/>
                <w:color w:val="auto"/>
              </w:rPr>
            </w:pPr>
          </w:p>
        </w:tc>
        <w:tc>
          <w:tcPr>
            <w:tcW w:w="1060" w:type="dxa"/>
            <w:vAlign w:val="bottom"/>
            <w:shd w:val="clear" w:color="auto" w:fill="2B4C9B"/>
          </w:tcPr>
          <w:p>
            <w:pPr>
              <w:spacing w:after="0" w:line="20" w:lineRule="exact"/>
              <w:rPr>
                <w:sz w:val="1"/>
                <w:szCs w:val="1"/>
                <w:color w:val="auto"/>
              </w:rPr>
            </w:pPr>
          </w:p>
        </w:tc>
        <w:tc>
          <w:tcPr>
            <w:tcW w:w="960" w:type="dxa"/>
            <w:vAlign w:val="bottom"/>
            <w:shd w:val="clear" w:color="auto" w:fill="2B4C9B"/>
          </w:tcPr>
          <w:p>
            <w:pPr>
              <w:spacing w:after="0" w:line="20" w:lineRule="exact"/>
              <w:rPr>
                <w:sz w:val="1"/>
                <w:szCs w:val="1"/>
                <w:color w:val="auto"/>
              </w:rPr>
            </w:pPr>
          </w:p>
        </w:tc>
        <w:tc>
          <w:tcPr>
            <w:tcW w:w="800" w:type="dxa"/>
            <w:vAlign w:val="bottom"/>
            <w:shd w:val="clear" w:color="auto" w:fill="2B4C9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See footnote text on page 105 for the Summary Compensation Table (SCT) to Compensation Actually Paid (CAP)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177800</wp:posOffset>
            </wp:positionV>
            <wp:extent cx="617220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Following table and information are provided to supplement the Pay versus Performance table.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b w:val="1"/>
                <w:bCs w:val="1"/>
                <w:color w:val="auto"/>
                <w:w w:val="97"/>
              </w:rPr>
              <w:t>Average</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1260" w:type="dxa"/>
            <w:vAlign w:val="bottom"/>
          </w:tcPr>
          <w:p>
            <w:pPr>
              <w:jc w:val="center"/>
              <w:ind w:left="20"/>
              <w:spacing w:after="0" w:line="135" w:lineRule="exact"/>
              <w:rPr>
                <w:sz w:val="20"/>
                <w:szCs w:val="20"/>
                <w:color w:val="auto"/>
              </w:rPr>
            </w:pPr>
            <w:r>
              <w:rPr>
                <w:rFonts w:ascii="Arial" w:cs="Arial" w:eastAsia="Arial" w:hAnsi="Arial"/>
                <w:sz w:val="12"/>
                <w:szCs w:val="12"/>
                <w:b w:val="1"/>
                <w:bCs w:val="1"/>
                <w:color w:val="auto"/>
                <w:w w:val="93"/>
              </w:rPr>
              <w:t>Total Direct</w:t>
            </w:r>
          </w:p>
        </w:tc>
        <w:tc>
          <w:tcPr>
            <w:tcW w:w="106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Total Direct</w:t>
            </w:r>
          </w:p>
        </w:tc>
        <w:tc>
          <w:tcPr>
            <w:tcW w:w="1220" w:type="dxa"/>
            <w:vAlign w:val="bottom"/>
          </w:tcPr>
          <w:p>
            <w:pPr>
              <w:jc w:val="center"/>
              <w:ind w:left="80"/>
              <w:spacing w:after="0" w:line="135" w:lineRule="exact"/>
              <w:rPr>
                <w:sz w:val="20"/>
                <w:szCs w:val="20"/>
                <w:color w:val="auto"/>
              </w:rPr>
            </w:pPr>
            <w:r>
              <w:rPr>
                <w:rFonts w:ascii="Arial" w:cs="Arial" w:eastAsia="Arial" w:hAnsi="Arial"/>
                <w:sz w:val="12"/>
                <w:szCs w:val="12"/>
                <w:b w:val="1"/>
                <w:bCs w:val="1"/>
                <w:color w:val="auto"/>
                <w:w w:val="96"/>
              </w:rPr>
              <w:t>Average Realized</w:t>
            </w: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1260" w:type="dxa"/>
            <w:vAlign w:val="bottom"/>
          </w:tcPr>
          <w:p>
            <w:pPr>
              <w:jc w:val="center"/>
              <w:ind w:left="20"/>
              <w:spacing w:after="0" w:line="135" w:lineRule="exact"/>
              <w:rPr>
                <w:sz w:val="20"/>
                <w:szCs w:val="20"/>
                <w:color w:val="auto"/>
              </w:rPr>
            </w:pPr>
            <w:r>
              <w:rPr>
                <w:rFonts w:ascii="Arial" w:cs="Arial" w:eastAsia="Arial" w:hAnsi="Arial"/>
                <w:sz w:val="12"/>
                <w:szCs w:val="12"/>
                <w:b w:val="1"/>
                <w:bCs w:val="1"/>
                <w:color w:val="auto"/>
                <w:w w:val="98"/>
              </w:rPr>
              <w:t>Compensation</w:t>
            </w:r>
          </w:p>
        </w:tc>
        <w:tc>
          <w:tcPr>
            <w:tcW w:w="10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8"/>
              </w:rPr>
              <w:t>Realized Pay</w:t>
            </w:r>
          </w:p>
        </w:tc>
        <w:tc>
          <w:tcPr>
            <w:tcW w:w="13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Compensation for</w:t>
            </w:r>
          </w:p>
        </w:tc>
        <w:tc>
          <w:tcPr>
            <w:tcW w:w="1220" w:type="dxa"/>
            <w:vAlign w:val="bottom"/>
          </w:tcPr>
          <w:p>
            <w:pPr>
              <w:jc w:val="center"/>
              <w:ind w:left="100"/>
              <w:spacing w:after="0" w:line="135" w:lineRule="exact"/>
              <w:rPr>
                <w:sz w:val="20"/>
                <w:szCs w:val="20"/>
                <w:color w:val="auto"/>
              </w:rPr>
            </w:pPr>
            <w:r>
              <w:rPr>
                <w:rFonts w:ascii="Arial" w:cs="Arial" w:eastAsia="Arial" w:hAnsi="Arial"/>
                <w:sz w:val="12"/>
                <w:szCs w:val="12"/>
                <w:b w:val="1"/>
                <w:bCs w:val="1"/>
                <w:color w:val="auto"/>
                <w:w w:val="97"/>
              </w:rPr>
              <w:t>Pay for Non-PEO</w:t>
            </w: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1260" w:type="dxa"/>
            <w:vAlign w:val="bottom"/>
          </w:tcPr>
          <w:p>
            <w:pPr>
              <w:jc w:val="center"/>
              <w:ind w:left="20"/>
              <w:spacing w:after="0" w:line="135" w:lineRule="exact"/>
              <w:rPr>
                <w:sz w:val="20"/>
                <w:szCs w:val="20"/>
                <w:color w:val="auto"/>
              </w:rPr>
            </w:pPr>
            <w:r>
              <w:rPr>
                <w:rFonts w:ascii="Arial" w:cs="Arial" w:eastAsia="Arial" w:hAnsi="Arial"/>
                <w:sz w:val="12"/>
                <w:szCs w:val="12"/>
                <w:b w:val="1"/>
                <w:bCs w:val="1"/>
                <w:color w:val="auto"/>
                <w:w w:val="88"/>
              </w:rPr>
              <w:t>PEO</w:t>
            </w:r>
            <w:r>
              <w:rPr>
                <w:rFonts w:ascii="Arial" w:cs="Arial" w:eastAsia="Arial" w:hAnsi="Arial"/>
                <w:sz w:val="14"/>
                <w:szCs w:val="14"/>
                <w:b w:val="1"/>
                <w:bCs w:val="1"/>
                <w:color w:val="auto"/>
                <w:w w:val="88"/>
                <w:vertAlign w:val="superscript"/>
              </w:rPr>
              <w:t>1,6</w:t>
            </w:r>
          </w:p>
        </w:tc>
        <w:tc>
          <w:tcPr>
            <w:tcW w:w="10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3"/>
              </w:rPr>
              <w:t>PEO</w:t>
            </w:r>
            <w:r>
              <w:rPr>
                <w:rFonts w:ascii="Arial" w:cs="Arial" w:eastAsia="Arial" w:hAnsi="Arial"/>
                <w:sz w:val="14"/>
                <w:szCs w:val="14"/>
                <w:b w:val="1"/>
                <w:bCs w:val="1"/>
                <w:color w:val="auto"/>
                <w:w w:val="93"/>
                <w:vertAlign w:val="superscript"/>
              </w:rPr>
              <w:t>1,6</w:t>
            </w:r>
          </w:p>
        </w:tc>
        <w:tc>
          <w:tcPr>
            <w:tcW w:w="13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4"/>
              </w:rPr>
              <w:t>Non-PEO NEOs</w:t>
            </w:r>
            <w:r>
              <w:rPr>
                <w:rFonts w:ascii="Arial" w:cs="Arial" w:eastAsia="Arial" w:hAnsi="Arial"/>
                <w:sz w:val="14"/>
                <w:szCs w:val="14"/>
                <w:b w:val="1"/>
                <w:bCs w:val="1"/>
                <w:color w:val="auto"/>
                <w:w w:val="94"/>
                <w:vertAlign w:val="superscript"/>
              </w:rPr>
              <w:t>2,6</w:t>
            </w:r>
          </w:p>
        </w:tc>
        <w:tc>
          <w:tcPr>
            <w:tcW w:w="1220" w:type="dxa"/>
            <w:vAlign w:val="bottom"/>
          </w:tcPr>
          <w:p>
            <w:pPr>
              <w:jc w:val="center"/>
              <w:ind w:left="100"/>
              <w:spacing w:after="0" w:line="135" w:lineRule="exact"/>
              <w:rPr>
                <w:sz w:val="20"/>
                <w:szCs w:val="20"/>
                <w:color w:val="auto"/>
              </w:rPr>
            </w:pPr>
            <w:r>
              <w:rPr>
                <w:rFonts w:ascii="Arial" w:cs="Arial" w:eastAsia="Arial" w:hAnsi="Arial"/>
                <w:sz w:val="12"/>
                <w:szCs w:val="12"/>
                <w:b w:val="1"/>
                <w:bCs w:val="1"/>
                <w:color w:val="auto"/>
                <w:w w:val="91"/>
              </w:rPr>
              <w:t>NEOs</w:t>
            </w:r>
            <w:r>
              <w:rPr>
                <w:rFonts w:ascii="Arial" w:cs="Arial" w:eastAsia="Arial" w:hAnsi="Arial"/>
                <w:sz w:val="14"/>
                <w:szCs w:val="14"/>
                <w:b w:val="1"/>
                <w:bCs w:val="1"/>
                <w:color w:val="auto"/>
                <w:w w:val="91"/>
                <w:vertAlign w:val="superscript"/>
              </w:rPr>
              <w:t>2,6</w:t>
            </w:r>
          </w:p>
        </w:tc>
        <w:tc>
          <w:tcPr>
            <w:tcW w:w="0" w:type="dxa"/>
            <w:vAlign w:val="bottom"/>
          </w:tcPr>
          <w:p>
            <w:pPr>
              <w:spacing w:after="0"/>
              <w:rPr>
                <w:sz w:val="1"/>
                <w:szCs w:val="1"/>
                <w:color w:val="auto"/>
              </w:rPr>
            </w:pPr>
          </w:p>
        </w:tc>
      </w:tr>
      <w:tr>
        <w:trPr>
          <w:trHeight w:val="135"/>
        </w:trPr>
        <w:tc>
          <w:tcPr>
            <w:tcW w:w="8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Year</w:t>
            </w:r>
          </w:p>
        </w:tc>
        <w:tc>
          <w:tcPr>
            <w:tcW w:w="1260" w:type="dxa"/>
            <w:vAlign w:val="bottom"/>
          </w:tcPr>
          <w:p>
            <w:pPr>
              <w:jc w:val="center"/>
              <w:ind w:left="20"/>
              <w:spacing w:after="0" w:line="135" w:lineRule="exact"/>
              <w:rPr>
                <w:sz w:val="20"/>
                <w:szCs w:val="20"/>
                <w:color w:val="auto"/>
              </w:rPr>
            </w:pPr>
            <w:r>
              <w:rPr>
                <w:rFonts w:ascii="Arial" w:cs="Arial" w:eastAsia="Arial" w:hAnsi="Arial"/>
                <w:sz w:val="12"/>
                <w:szCs w:val="12"/>
                <w:b w:val="1"/>
                <w:bCs w:val="1"/>
                <w:color w:val="auto"/>
                <w:w w:val="89"/>
              </w:rPr>
              <w:t>$</w:t>
            </w:r>
          </w:p>
        </w:tc>
        <w:tc>
          <w:tcPr>
            <w:tcW w:w="10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9"/>
              </w:rPr>
              <w:t>$</w:t>
            </w:r>
          </w:p>
        </w:tc>
        <w:tc>
          <w:tcPr>
            <w:tcW w:w="13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w:t>
            </w:r>
          </w:p>
        </w:tc>
        <w:tc>
          <w:tcPr>
            <w:tcW w:w="1220" w:type="dxa"/>
            <w:vAlign w:val="bottom"/>
          </w:tcPr>
          <w:p>
            <w:pPr>
              <w:jc w:val="center"/>
              <w:ind w:left="80"/>
              <w:spacing w:after="0" w:line="135"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60"/>
        </w:trPr>
        <w:tc>
          <w:tcPr>
            <w:tcW w:w="860" w:type="dxa"/>
            <w:vAlign w:val="bottom"/>
          </w:tcPr>
          <w:p>
            <w:pPr>
              <w:ind w:left="360"/>
              <w:spacing w:after="0"/>
              <w:rPr>
                <w:sz w:val="20"/>
                <w:szCs w:val="20"/>
                <w:color w:val="auto"/>
              </w:rPr>
            </w:pPr>
            <w:r>
              <w:rPr>
                <w:rFonts w:ascii="Arial" w:cs="Arial" w:eastAsia="Arial" w:hAnsi="Arial"/>
                <w:sz w:val="12"/>
                <w:szCs w:val="12"/>
                <w:b w:val="1"/>
                <w:bCs w:val="1"/>
                <w:color w:val="auto"/>
              </w:rPr>
              <w:t>(a)</w:t>
            </w:r>
          </w:p>
        </w:tc>
        <w:tc>
          <w:tcPr>
            <w:tcW w:w="1260" w:type="dxa"/>
            <w:vAlign w:val="bottom"/>
          </w:tcPr>
          <w:p>
            <w:pPr>
              <w:jc w:val="center"/>
              <w:ind w:left="20"/>
              <w:spacing w:after="0"/>
              <w:rPr>
                <w:sz w:val="20"/>
                <w:szCs w:val="20"/>
                <w:color w:val="auto"/>
              </w:rPr>
            </w:pPr>
            <w:r>
              <w:rPr>
                <w:rFonts w:ascii="Arial" w:cs="Arial" w:eastAsia="Arial" w:hAnsi="Arial"/>
                <w:sz w:val="12"/>
                <w:szCs w:val="12"/>
                <w:b w:val="1"/>
                <w:bCs w:val="1"/>
                <w:color w:val="auto"/>
                <w:w w:val="87"/>
              </w:rPr>
              <w:t>(j)</w:t>
            </w: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w w:val="95"/>
              </w:rPr>
              <w:t>(k)</w:t>
            </w:r>
          </w:p>
        </w:tc>
        <w:tc>
          <w:tcPr>
            <w:tcW w:w="1360" w:type="dxa"/>
            <w:vAlign w:val="bottom"/>
          </w:tcPr>
          <w:p>
            <w:pPr>
              <w:jc w:val="center"/>
              <w:spacing w:after="0"/>
              <w:rPr>
                <w:sz w:val="20"/>
                <w:szCs w:val="20"/>
                <w:color w:val="auto"/>
              </w:rPr>
            </w:pPr>
            <w:r>
              <w:rPr>
                <w:rFonts w:ascii="Arial" w:cs="Arial" w:eastAsia="Arial" w:hAnsi="Arial"/>
                <w:sz w:val="12"/>
                <w:szCs w:val="12"/>
                <w:b w:val="1"/>
                <w:bCs w:val="1"/>
                <w:color w:val="auto"/>
              </w:rPr>
              <w:t>(l)</w:t>
            </w:r>
          </w:p>
        </w:tc>
        <w:tc>
          <w:tcPr>
            <w:tcW w:w="1220" w:type="dxa"/>
            <w:vAlign w:val="bottom"/>
          </w:tcPr>
          <w:p>
            <w:pPr>
              <w:jc w:val="center"/>
              <w:ind w:left="100"/>
              <w:spacing w:after="0"/>
              <w:rPr>
                <w:sz w:val="20"/>
                <w:szCs w:val="20"/>
                <w:color w:val="auto"/>
              </w:rPr>
            </w:pPr>
            <w:r>
              <w:rPr>
                <w:rFonts w:ascii="Arial" w:cs="Arial" w:eastAsia="Arial" w:hAnsi="Arial"/>
                <w:sz w:val="12"/>
                <w:szCs w:val="12"/>
                <w:b w:val="1"/>
                <w:bCs w:val="1"/>
                <w:color w:val="auto"/>
                <w:w w:val="96"/>
              </w:rPr>
              <w:t>(m)</w:t>
            </w:r>
          </w:p>
        </w:tc>
        <w:tc>
          <w:tcPr>
            <w:tcW w:w="0" w:type="dxa"/>
            <w:vAlign w:val="bottom"/>
          </w:tcPr>
          <w:p>
            <w:pPr>
              <w:spacing w:after="0"/>
              <w:rPr>
                <w:sz w:val="1"/>
                <w:szCs w:val="1"/>
                <w:color w:val="auto"/>
              </w:rPr>
            </w:pPr>
          </w:p>
        </w:tc>
      </w:tr>
      <w:tr>
        <w:trPr>
          <w:trHeight w:val="26"/>
        </w:trPr>
        <w:tc>
          <w:tcPr>
            <w:tcW w:w="860" w:type="dxa"/>
            <w:vAlign w:val="bottom"/>
            <w:tcBorders>
              <w:bottom w:val="single" w:sz="8" w:color="2B4C9B"/>
            </w:tcBorders>
          </w:tcPr>
          <w:p>
            <w:pPr>
              <w:spacing w:after="0"/>
              <w:rPr>
                <w:sz w:val="2"/>
                <w:szCs w:val="2"/>
                <w:color w:val="auto"/>
              </w:rPr>
            </w:pPr>
          </w:p>
        </w:tc>
        <w:tc>
          <w:tcPr>
            <w:tcW w:w="1260" w:type="dxa"/>
            <w:vAlign w:val="bottom"/>
            <w:tcBorders>
              <w:bottom w:val="single" w:sz="8" w:color="2B4C9B"/>
            </w:tcBorders>
          </w:tcPr>
          <w:p>
            <w:pPr>
              <w:spacing w:after="0"/>
              <w:rPr>
                <w:sz w:val="2"/>
                <w:szCs w:val="2"/>
                <w:color w:val="auto"/>
              </w:rPr>
            </w:pPr>
          </w:p>
        </w:tc>
        <w:tc>
          <w:tcPr>
            <w:tcW w:w="1060" w:type="dxa"/>
            <w:vAlign w:val="bottom"/>
            <w:tcBorders>
              <w:bottom w:val="single" w:sz="8" w:color="2B4C9B"/>
            </w:tcBorders>
          </w:tcPr>
          <w:p>
            <w:pPr>
              <w:spacing w:after="0"/>
              <w:rPr>
                <w:sz w:val="2"/>
                <w:szCs w:val="2"/>
                <w:color w:val="auto"/>
              </w:rPr>
            </w:pPr>
          </w:p>
        </w:tc>
        <w:tc>
          <w:tcPr>
            <w:tcW w:w="1360" w:type="dxa"/>
            <w:vAlign w:val="bottom"/>
            <w:tcBorders>
              <w:bottom w:val="single" w:sz="8" w:color="2B4C9B"/>
            </w:tcBorders>
          </w:tcPr>
          <w:p>
            <w:pPr>
              <w:spacing w:after="0"/>
              <w:rPr>
                <w:sz w:val="2"/>
                <w:szCs w:val="2"/>
                <w:color w:val="auto"/>
              </w:rPr>
            </w:pPr>
          </w:p>
        </w:tc>
        <w:tc>
          <w:tcPr>
            <w:tcW w:w="1220" w:type="dxa"/>
            <w:vAlign w:val="bottom"/>
            <w:tcBorders>
              <w:bottom w:val="single" w:sz="8" w:color="2B4C9B"/>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60" w:type="dxa"/>
            <w:vAlign w:val="bottom"/>
            <w:tcBorders>
              <w:bottom w:val="single" w:sz="8" w:color="EFEFEF"/>
            </w:tcBorders>
            <w:shd w:val="clear" w:color="auto" w:fill="EFEFEF"/>
          </w:tcPr>
          <w:p>
            <w:pPr>
              <w:ind w:left="100"/>
              <w:spacing w:after="0"/>
              <w:rPr>
                <w:sz w:val="20"/>
                <w:szCs w:val="20"/>
                <w:color w:val="auto"/>
              </w:rPr>
            </w:pPr>
            <w:r>
              <w:rPr>
                <w:rFonts w:ascii="Arial" w:cs="Arial" w:eastAsia="Arial" w:hAnsi="Arial"/>
                <w:sz w:val="13"/>
                <w:szCs w:val="13"/>
                <w:color w:val="auto"/>
              </w:rPr>
              <w:t>2022</w:t>
            </w:r>
          </w:p>
        </w:tc>
        <w:tc>
          <w:tcPr>
            <w:tcW w:w="1260" w:type="dxa"/>
            <w:vAlign w:val="bottom"/>
            <w:tcBorders>
              <w:bottom w:val="single" w:sz="8" w:color="EFEFEF"/>
            </w:tcBorders>
            <w:shd w:val="clear" w:color="auto" w:fill="EFEFEF"/>
          </w:tcPr>
          <w:p>
            <w:pPr>
              <w:jc w:val="center"/>
              <w:ind w:left="20"/>
              <w:spacing w:after="0"/>
              <w:rPr>
                <w:sz w:val="20"/>
                <w:szCs w:val="20"/>
                <w:color w:val="auto"/>
              </w:rPr>
            </w:pPr>
            <w:r>
              <w:rPr>
                <w:rFonts w:ascii="Arial" w:cs="Arial" w:eastAsia="Arial" w:hAnsi="Arial"/>
                <w:sz w:val="13"/>
                <w:szCs w:val="13"/>
                <w:color w:val="auto"/>
                <w:w w:val="95"/>
              </w:rPr>
              <w:t>33,024,000</w:t>
            </w:r>
          </w:p>
        </w:tc>
        <w:tc>
          <w:tcPr>
            <w:tcW w:w="1060" w:type="dxa"/>
            <w:vAlign w:val="bottom"/>
            <w:tcBorders>
              <w:bottom w:val="single" w:sz="8" w:color="EFEFEF"/>
            </w:tcBorders>
            <w:shd w:val="clear" w:color="auto" w:fill="EFEFEF"/>
          </w:tcPr>
          <w:p>
            <w:pPr>
              <w:jc w:val="center"/>
              <w:spacing w:after="0"/>
              <w:rPr>
                <w:sz w:val="20"/>
                <w:szCs w:val="20"/>
                <w:color w:val="auto"/>
              </w:rPr>
            </w:pPr>
            <w:r>
              <w:rPr>
                <w:rFonts w:ascii="Arial" w:cs="Arial" w:eastAsia="Arial" w:hAnsi="Arial"/>
                <w:sz w:val="13"/>
                <w:szCs w:val="13"/>
                <w:color w:val="auto"/>
                <w:w w:val="95"/>
              </w:rPr>
              <w:t>18,116,008</w:t>
            </w:r>
          </w:p>
        </w:tc>
        <w:tc>
          <w:tcPr>
            <w:tcW w:w="1360" w:type="dxa"/>
            <w:vAlign w:val="bottom"/>
            <w:tcBorders>
              <w:bottom w:val="single" w:sz="8" w:color="EFEFEF"/>
            </w:tcBorders>
            <w:shd w:val="clear" w:color="auto" w:fill="EFEFEF"/>
          </w:tcPr>
          <w:p>
            <w:pPr>
              <w:jc w:val="center"/>
              <w:spacing w:after="0"/>
              <w:rPr>
                <w:sz w:val="20"/>
                <w:szCs w:val="20"/>
                <w:color w:val="auto"/>
              </w:rPr>
            </w:pPr>
            <w:r>
              <w:rPr>
                <w:rFonts w:ascii="Arial" w:cs="Arial" w:eastAsia="Arial" w:hAnsi="Arial"/>
                <w:sz w:val="13"/>
                <w:szCs w:val="13"/>
                <w:color w:val="auto"/>
                <w:w w:val="98"/>
              </w:rPr>
              <w:t>17,704,820</w:t>
            </w:r>
          </w:p>
        </w:tc>
        <w:tc>
          <w:tcPr>
            <w:tcW w:w="1220" w:type="dxa"/>
            <w:vAlign w:val="bottom"/>
            <w:tcBorders>
              <w:bottom w:val="single" w:sz="8" w:color="EFEFEF"/>
            </w:tcBorders>
            <w:shd w:val="clear" w:color="auto" w:fill="EFEFEF"/>
          </w:tcPr>
          <w:p>
            <w:pPr>
              <w:jc w:val="center"/>
              <w:ind w:left="80"/>
              <w:spacing w:after="0"/>
              <w:rPr>
                <w:sz w:val="20"/>
                <w:szCs w:val="20"/>
                <w:color w:val="auto"/>
              </w:rPr>
            </w:pPr>
            <w:r>
              <w:rPr>
                <w:rFonts w:ascii="Arial" w:cs="Arial" w:eastAsia="Arial" w:hAnsi="Arial"/>
                <w:sz w:val="13"/>
                <w:szCs w:val="13"/>
                <w:color w:val="auto"/>
                <w:w w:val="96"/>
              </w:rPr>
              <w:t>7,649,062</w:t>
            </w:r>
          </w:p>
        </w:tc>
        <w:tc>
          <w:tcPr>
            <w:tcW w:w="0" w:type="dxa"/>
            <w:vAlign w:val="bottom"/>
          </w:tcPr>
          <w:p>
            <w:pPr>
              <w:spacing w:after="0"/>
              <w:rPr>
                <w:sz w:val="1"/>
                <w:szCs w:val="1"/>
                <w:color w:val="auto"/>
              </w:rPr>
            </w:pPr>
          </w:p>
        </w:tc>
      </w:tr>
      <w:tr>
        <w:trPr>
          <w:trHeight w:val="255"/>
        </w:trPr>
        <w:tc>
          <w:tcPr>
            <w:tcW w:w="860" w:type="dxa"/>
            <w:vAlign w:val="bottom"/>
            <w:tcBorders>
              <w:top w:val="single" w:sz="8" w:color="2B4C9B"/>
              <w:bottom w:val="single" w:sz="8" w:color="DBDBDB"/>
            </w:tcBorders>
            <w:shd w:val="clear" w:color="auto" w:fill="DBDBDB"/>
          </w:tcPr>
          <w:p>
            <w:pPr>
              <w:ind w:left="100"/>
              <w:spacing w:after="0"/>
              <w:rPr>
                <w:sz w:val="20"/>
                <w:szCs w:val="20"/>
                <w:color w:val="auto"/>
              </w:rPr>
            </w:pPr>
            <w:r>
              <w:rPr>
                <w:rFonts w:ascii="Arial" w:cs="Arial" w:eastAsia="Arial" w:hAnsi="Arial"/>
                <w:sz w:val="13"/>
                <w:szCs w:val="13"/>
                <w:color w:val="auto"/>
              </w:rPr>
              <w:t>2021</w:t>
            </w:r>
          </w:p>
        </w:tc>
        <w:tc>
          <w:tcPr>
            <w:tcW w:w="1260" w:type="dxa"/>
            <w:vAlign w:val="bottom"/>
            <w:tcBorders>
              <w:top w:val="single" w:sz="8" w:color="2B4C9B"/>
              <w:bottom w:val="single" w:sz="8" w:color="DBDBDB"/>
            </w:tcBorders>
            <w:shd w:val="clear" w:color="auto" w:fill="DBDBDB"/>
          </w:tcPr>
          <w:p>
            <w:pPr>
              <w:jc w:val="center"/>
              <w:ind w:left="20"/>
              <w:spacing w:after="0"/>
              <w:rPr>
                <w:sz w:val="20"/>
                <w:szCs w:val="20"/>
                <w:color w:val="auto"/>
              </w:rPr>
            </w:pPr>
            <w:r>
              <w:rPr>
                <w:rFonts w:ascii="Arial" w:cs="Arial" w:eastAsia="Arial" w:hAnsi="Arial"/>
                <w:sz w:val="13"/>
                <w:szCs w:val="13"/>
                <w:color w:val="auto"/>
                <w:w w:val="95"/>
              </w:rPr>
              <w:t>18,262,225</w:t>
            </w:r>
          </w:p>
        </w:tc>
        <w:tc>
          <w:tcPr>
            <w:tcW w:w="1060" w:type="dxa"/>
            <w:vAlign w:val="bottom"/>
            <w:tcBorders>
              <w:top w:val="single" w:sz="8" w:color="2B4C9B"/>
              <w:bottom w:val="single" w:sz="8" w:color="DBDBDB"/>
            </w:tcBorders>
            <w:shd w:val="clear" w:color="auto" w:fill="DBDBDB"/>
          </w:tcPr>
          <w:p>
            <w:pPr>
              <w:jc w:val="center"/>
              <w:spacing w:after="0"/>
              <w:rPr>
                <w:sz w:val="20"/>
                <w:szCs w:val="20"/>
                <w:color w:val="auto"/>
              </w:rPr>
            </w:pPr>
            <w:r>
              <w:rPr>
                <w:rFonts w:ascii="Arial" w:cs="Arial" w:eastAsia="Arial" w:hAnsi="Arial"/>
                <w:sz w:val="13"/>
                <w:szCs w:val="13"/>
                <w:color w:val="auto"/>
                <w:w w:val="96"/>
              </w:rPr>
              <w:t>9,068,366</w:t>
            </w:r>
          </w:p>
        </w:tc>
        <w:tc>
          <w:tcPr>
            <w:tcW w:w="1360" w:type="dxa"/>
            <w:vAlign w:val="bottom"/>
            <w:tcBorders>
              <w:top w:val="single" w:sz="8" w:color="2B4C9B"/>
              <w:bottom w:val="single" w:sz="8" w:color="DBDBDB"/>
            </w:tcBorders>
            <w:shd w:val="clear" w:color="auto" w:fill="DBDBDB"/>
          </w:tcPr>
          <w:p>
            <w:pPr>
              <w:jc w:val="center"/>
              <w:spacing w:after="0"/>
              <w:rPr>
                <w:sz w:val="20"/>
                <w:szCs w:val="20"/>
                <w:color w:val="auto"/>
              </w:rPr>
            </w:pPr>
            <w:r>
              <w:rPr>
                <w:rFonts w:ascii="Arial" w:cs="Arial" w:eastAsia="Arial" w:hAnsi="Arial"/>
                <w:sz w:val="13"/>
                <w:szCs w:val="13"/>
                <w:color w:val="auto"/>
                <w:w w:val="96"/>
              </w:rPr>
              <w:t>7,594,806</w:t>
            </w:r>
          </w:p>
        </w:tc>
        <w:tc>
          <w:tcPr>
            <w:tcW w:w="1220" w:type="dxa"/>
            <w:vAlign w:val="bottom"/>
            <w:tcBorders>
              <w:top w:val="single" w:sz="8" w:color="2B4C9B"/>
              <w:bottom w:val="single" w:sz="8" w:color="DBDBDB"/>
            </w:tcBorders>
            <w:shd w:val="clear" w:color="auto" w:fill="DBDBDB"/>
          </w:tcPr>
          <w:p>
            <w:pPr>
              <w:jc w:val="center"/>
              <w:ind w:left="80"/>
              <w:spacing w:after="0"/>
              <w:rPr>
                <w:sz w:val="20"/>
                <w:szCs w:val="20"/>
                <w:color w:val="auto"/>
              </w:rPr>
            </w:pPr>
            <w:r>
              <w:rPr>
                <w:rFonts w:ascii="Arial" w:cs="Arial" w:eastAsia="Arial" w:hAnsi="Arial"/>
                <w:sz w:val="13"/>
                <w:szCs w:val="13"/>
                <w:color w:val="auto"/>
                <w:w w:val="96"/>
              </w:rPr>
              <w:t>4,188,130</w:t>
            </w:r>
          </w:p>
        </w:tc>
        <w:tc>
          <w:tcPr>
            <w:tcW w:w="0" w:type="dxa"/>
            <w:vAlign w:val="bottom"/>
          </w:tcPr>
          <w:p>
            <w:pPr>
              <w:spacing w:after="0"/>
              <w:rPr>
                <w:sz w:val="1"/>
                <w:szCs w:val="1"/>
                <w:color w:val="auto"/>
              </w:rPr>
            </w:pPr>
          </w:p>
        </w:tc>
      </w:tr>
      <w:tr>
        <w:trPr>
          <w:trHeight w:val="255"/>
        </w:trPr>
        <w:tc>
          <w:tcPr>
            <w:tcW w:w="860" w:type="dxa"/>
            <w:vAlign w:val="bottom"/>
            <w:tcBorders>
              <w:top w:val="single" w:sz="8" w:color="2B4C9B"/>
              <w:bottom w:val="single" w:sz="8" w:color="EFEFEF"/>
            </w:tcBorders>
            <w:shd w:val="clear" w:color="auto" w:fill="EFEFEF"/>
          </w:tcPr>
          <w:p>
            <w:pPr>
              <w:ind w:left="100"/>
              <w:spacing w:after="0"/>
              <w:rPr>
                <w:sz w:val="20"/>
                <w:szCs w:val="20"/>
                <w:color w:val="auto"/>
              </w:rPr>
            </w:pPr>
            <w:r>
              <w:rPr>
                <w:rFonts w:ascii="Arial" w:cs="Arial" w:eastAsia="Arial" w:hAnsi="Arial"/>
                <w:sz w:val="13"/>
                <w:szCs w:val="13"/>
                <w:color w:val="auto"/>
              </w:rPr>
              <w:t>2020</w:t>
            </w:r>
          </w:p>
        </w:tc>
        <w:tc>
          <w:tcPr>
            <w:tcW w:w="1260" w:type="dxa"/>
            <w:vAlign w:val="bottom"/>
            <w:tcBorders>
              <w:top w:val="single" w:sz="8" w:color="2B4C9B"/>
              <w:bottom w:val="single" w:sz="8" w:color="EFEFEF"/>
            </w:tcBorders>
            <w:shd w:val="clear" w:color="auto" w:fill="EFEFEF"/>
          </w:tcPr>
          <w:p>
            <w:pPr>
              <w:jc w:val="center"/>
              <w:ind w:left="20"/>
              <w:spacing w:after="0"/>
              <w:rPr>
                <w:sz w:val="20"/>
                <w:szCs w:val="20"/>
                <w:color w:val="auto"/>
              </w:rPr>
            </w:pPr>
            <w:r>
              <w:rPr>
                <w:rFonts w:ascii="Arial" w:cs="Arial" w:eastAsia="Arial" w:hAnsi="Arial"/>
                <w:sz w:val="13"/>
                <w:szCs w:val="13"/>
                <w:color w:val="auto"/>
                <w:w w:val="95"/>
              </w:rPr>
              <w:t>10,049,725</w:t>
            </w:r>
          </w:p>
        </w:tc>
        <w:tc>
          <w:tcPr>
            <w:tcW w:w="1060" w:type="dxa"/>
            <w:vAlign w:val="bottom"/>
            <w:tcBorders>
              <w:top w:val="single" w:sz="8" w:color="2B4C9B"/>
              <w:bottom w:val="single" w:sz="8" w:color="EFEFEF"/>
            </w:tcBorders>
            <w:shd w:val="clear" w:color="auto" w:fill="EFEFEF"/>
          </w:tcPr>
          <w:p>
            <w:pPr>
              <w:jc w:val="center"/>
              <w:spacing w:after="0"/>
              <w:rPr>
                <w:sz w:val="20"/>
                <w:szCs w:val="20"/>
                <w:color w:val="auto"/>
              </w:rPr>
            </w:pPr>
            <w:r>
              <w:rPr>
                <w:rFonts w:ascii="Arial" w:cs="Arial" w:eastAsia="Arial" w:hAnsi="Arial"/>
                <w:sz w:val="13"/>
                <w:szCs w:val="13"/>
                <w:color w:val="auto"/>
                <w:w w:val="96"/>
              </w:rPr>
              <w:t>3,748,895</w:t>
            </w:r>
          </w:p>
        </w:tc>
        <w:tc>
          <w:tcPr>
            <w:tcW w:w="1360" w:type="dxa"/>
            <w:vAlign w:val="bottom"/>
            <w:tcBorders>
              <w:top w:val="single" w:sz="8" w:color="2B4C9B"/>
              <w:bottom w:val="single" w:sz="8" w:color="EFEFEF"/>
            </w:tcBorders>
            <w:shd w:val="clear" w:color="auto" w:fill="EFEFEF"/>
          </w:tcPr>
          <w:p>
            <w:pPr>
              <w:jc w:val="center"/>
              <w:spacing w:after="0"/>
              <w:rPr>
                <w:sz w:val="20"/>
                <w:szCs w:val="20"/>
                <w:color w:val="auto"/>
              </w:rPr>
            </w:pPr>
            <w:r>
              <w:rPr>
                <w:rFonts w:ascii="Arial" w:cs="Arial" w:eastAsia="Arial" w:hAnsi="Arial"/>
                <w:sz w:val="13"/>
                <w:szCs w:val="13"/>
                <w:color w:val="auto"/>
                <w:w w:val="96"/>
              </w:rPr>
              <w:t>4,785,620</w:t>
            </w:r>
          </w:p>
        </w:tc>
        <w:tc>
          <w:tcPr>
            <w:tcW w:w="1220" w:type="dxa"/>
            <w:vAlign w:val="bottom"/>
            <w:tcBorders>
              <w:top w:val="single" w:sz="8" w:color="2B4C9B"/>
              <w:bottom w:val="single" w:sz="8" w:color="EFEFEF"/>
            </w:tcBorders>
            <w:shd w:val="clear" w:color="auto" w:fill="EFEFEF"/>
          </w:tcPr>
          <w:p>
            <w:pPr>
              <w:jc w:val="center"/>
              <w:ind w:left="80"/>
              <w:spacing w:after="0"/>
              <w:rPr>
                <w:sz w:val="20"/>
                <w:szCs w:val="20"/>
                <w:color w:val="auto"/>
              </w:rPr>
            </w:pPr>
            <w:r>
              <w:rPr>
                <w:rFonts w:ascii="Arial" w:cs="Arial" w:eastAsia="Arial" w:hAnsi="Arial"/>
                <w:sz w:val="13"/>
                <w:szCs w:val="13"/>
                <w:color w:val="auto"/>
                <w:w w:val="96"/>
              </w:rPr>
              <w:t>2,744,862</w:t>
            </w:r>
          </w:p>
        </w:tc>
        <w:tc>
          <w:tcPr>
            <w:tcW w:w="0" w:type="dxa"/>
            <w:vAlign w:val="bottom"/>
          </w:tcPr>
          <w:p>
            <w:pPr>
              <w:spacing w:after="0"/>
              <w:rPr>
                <w:sz w:val="1"/>
                <w:szCs w:val="1"/>
                <w:color w:val="auto"/>
              </w:rPr>
            </w:pPr>
          </w:p>
        </w:tc>
      </w:tr>
      <w:tr>
        <w:trPr>
          <w:trHeight w:val="165"/>
        </w:trPr>
        <w:tc>
          <w:tcPr>
            <w:tcW w:w="860" w:type="dxa"/>
            <w:vAlign w:val="bottom"/>
            <w:tcBorders>
              <w:top w:val="single" w:sz="8" w:color="2B4C9B"/>
            </w:tcBorders>
            <w:shd w:val="clear" w:color="auto" w:fill="DBDBDB"/>
          </w:tcPr>
          <w:p>
            <w:pPr>
              <w:ind w:left="100"/>
              <w:spacing w:after="0"/>
              <w:rPr>
                <w:sz w:val="20"/>
                <w:szCs w:val="20"/>
                <w:color w:val="auto"/>
              </w:rPr>
            </w:pPr>
            <w:r>
              <w:rPr>
                <w:rFonts w:ascii="Arial" w:cs="Arial" w:eastAsia="Arial" w:hAnsi="Arial"/>
                <w:sz w:val="13"/>
                <w:szCs w:val="13"/>
                <w:b w:val="1"/>
                <w:bCs w:val="1"/>
                <w:color w:val="auto"/>
              </w:rPr>
              <w:t>3-year</w:t>
            </w:r>
          </w:p>
        </w:tc>
        <w:tc>
          <w:tcPr>
            <w:tcW w:w="1260" w:type="dxa"/>
            <w:vAlign w:val="bottom"/>
            <w:tcBorders>
              <w:top w:val="single" w:sz="8" w:color="2B4C9B"/>
            </w:tcBorders>
            <w:vMerge w:val="restart"/>
            <w:shd w:val="clear" w:color="auto" w:fill="DBDBDB"/>
          </w:tcPr>
          <w:p>
            <w:pPr>
              <w:jc w:val="center"/>
              <w:ind w:left="20"/>
              <w:spacing w:after="0"/>
              <w:rPr>
                <w:sz w:val="20"/>
                <w:szCs w:val="20"/>
                <w:color w:val="auto"/>
              </w:rPr>
            </w:pPr>
            <w:r>
              <w:rPr>
                <w:rFonts w:ascii="Arial" w:cs="Arial" w:eastAsia="Arial" w:hAnsi="Arial"/>
                <w:sz w:val="13"/>
                <w:szCs w:val="13"/>
                <w:b w:val="1"/>
                <w:bCs w:val="1"/>
                <w:color w:val="auto"/>
                <w:w w:val="95"/>
              </w:rPr>
              <w:t>20,445,317</w:t>
            </w:r>
          </w:p>
        </w:tc>
        <w:tc>
          <w:tcPr>
            <w:tcW w:w="1060" w:type="dxa"/>
            <w:vAlign w:val="bottom"/>
            <w:tcBorders>
              <w:top w:val="single" w:sz="8" w:color="2B4C9B"/>
            </w:tcBorders>
            <w:vMerge w:val="restart"/>
            <w:shd w:val="clear" w:color="auto" w:fill="DBDBDB"/>
          </w:tcPr>
          <w:p>
            <w:pPr>
              <w:jc w:val="center"/>
              <w:spacing w:after="0"/>
              <w:rPr>
                <w:sz w:val="20"/>
                <w:szCs w:val="20"/>
                <w:color w:val="auto"/>
              </w:rPr>
            </w:pPr>
            <w:r>
              <w:rPr>
                <w:rFonts w:ascii="Arial" w:cs="Arial" w:eastAsia="Arial" w:hAnsi="Arial"/>
                <w:sz w:val="13"/>
                <w:szCs w:val="13"/>
                <w:b w:val="1"/>
                <w:bCs w:val="1"/>
                <w:color w:val="auto"/>
                <w:w w:val="95"/>
              </w:rPr>
              <w:t>10,311,090</w:t>
            </w:r>
          </w:p>
        </w:tc>
        <w:tc>
          <w:tcPr>
            <w:tcW w:w="1360" w:type="dxa"/>
            <w:vAlign w:val="bottom"/>
            <w:tcBorders>
              <w:top w:val="single" w:sz="8" w:color="2B4C9B"/>
            </w:tcBorders>
            <w:vMerge w:val="restart"/>
            <w:shd w:val="clear" w:color="auto" w:fill="DBDBDB"/>
          </w:tcPr>
          <w:p>
            <w:pPr>
              <w:jc w:val="center"/>
              <w:spacing w:after="0"/>
              <w:rPr>
                <w:sz w:val="20"/>
                <w:szCs w:val="20"/>
                <w:color w:val="auto"/>
              </w:rPr>
            </w:pPr>
            <w:r>
              <w:rPr>
                <w:rFonts w:ascii="Arial" w:cs="Arial" w:eastAsia="Arial" w:hAnsi="Arial"/>
                <w:sz w:val="13"/>
                <w:szCs w:val="13"/>
                <w:b w:val="1"/>
                <w:bCs w:val="1"/>
                <w:color w:val="auto"/>
                <w:w w:val="98"/>
              </w:rPr>
              <w:t>10,028,415</w:t>
            </w:r>
          </w:p>
        </w:tc>
        <w:tc>
          <w:tcPr>
            <w:tcW w:w="1220" w:type="dxa"/>
            <w:vAlign w:val="bottom"/>
            <w:tcBorders>
              <w:top w:val="single" w:sz="8" w:color="2B4C9B"/>
            </w:tcBorders>
            <w:vMerge w:val="restart"/>
            <w:shd w:val="clear" w:color="auto" w:fill="DBDBDB"/>
          </w:tcPr>
          <w:p>
            <w:pPr>
              <w:jc w:val="center"/>
              <w:ind w:left="80"/>
              <w:spacing w:after="0"/>
              <w:rPr>
                <w:sz w:val="20"/>
                <w:szCs w:val="20"/>
                <w:color w:val="auto"/>
              </w:rPr>
            </w:pPr>
            <w:r>
              <w:rPr>
                <w:rFonts w:ascii="Arial" w:cs="Arial" w:eastAsia="Arial" w:hAnsi="Arial"/>
                <w:sz w:val="13"/>
                <w:szCs w:val="13"/>
                <w:b w:val="1"/>
                <w:bCs w:val="1"/>
                <w:color w:val="auto"/>
                <w:w w:val="96"/>
              </w:rPr>
              <w:t>4,860,685</w:t>
            </w:r>
          </w:p>
        </w:tc>
        <w:tc>
          <w:tcPr>
            <w:tcW w:w="0" w:type="dxa"/>
            <w:vAlign w:val="bottom"/>
          </w:tcPr>
          <w:p>
            <w:pPr>
              <w:spacing w:after="0"/>
              <w:rPr>
                <w:sz w:val="1"/>
                <w:szCs w:val="1"/>
                <w:color w:val="auto"/>
              </w:rPr>
            </w:pPr>
          </w:p>
        </w:tc>
      </w:tr>
      <w:tr>
        <w:trPr>
          <w:trHeight w:val="200"/>
        </w:trPr>
        <w:tc>
          <w:tcPr>
            <w:tcW w:w="86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b w:val="1"/>
                <w:bCs w:val="1"/>
                <w:color w:val="auto"/>
              </w:rPr>
              <w:t>average</w:t>
            </w:r>
          </w:p>
        </w:tc>
        <w:tc>
          <w:tcPr>
            <w:tcW w:w="1260" w:type="dxa"/>
            <w:vAlign w:val="bottom"/>
            <w:tcBorders>
              <w:bottom w:val="single" w:sz="8" w:color="DBDBDB"/>
            </w:tcBorders>
            <w:vMerge w:val="continue"/>
            <w:shd w:val="clear" w:color="auto" w:fill="DBDBDB"/>
          </w:tcPr>
          <w:p>
            <w:pPr>
              <w:spacing w:after="0"/>
              <w:rPr>
                <w:sz w:val="17"/>
                <w:szCs w:val="17"/>
                <w:color w:val="auto"/>
              </w:rPr>
            </w:pPr>
          </w:p>
        </w:tc>
        <w:tc>
          <w:tcPr>
            <w:tcW w:w="1060" w:type="dxa"/>
            <w:vAlign w:val="bottom"/>
            <w:tcBorders>
              <w:bottom w:val="single" w:sz="8" w:color="DBDBDB"/>
            </w:tcBorders>
            <w:vMerge w:val="continue"/>
            <w:shd w:val="clear" w:color="auto" w:fill="DBDBDB"/>
          </w:tcPr>
          <w:p>
            <w:pPr>
              <w:spacing w:after="0"/>
              <w:rPr>
                <w:sz w:val="17"/>
                <w:szCs w:val="17"/>
                <w:color w:val="auto"/>
              </w:rPr>
            </w:pPr>
          </w:p>
        </w:tc>
        <w:tc>
          <w:tcPr>
            <w:tcW w:w="1360" w:type="dxa"/>
            <w:vAlign w:val="bottom"/>
            <w:tcBorders>
              <w:bottom w:val="single" w:sz="8" w:color="DBDBDB"/>
            </w:tcBorders>
            <w:vMerge w:val="continue"/>
            <w:shd w:val="clear" w:color="auto" w:fill="DBDBDB"/>
          </w:tcPr>
          <w:p>
            <w:pPr>
              <w:spacing w:after="0"/>
              <w:rPr>
                <w:sz w:val="17"/>
                <w:szCs w:val="17"/>
                <w:color w:val="auto"/>
              </w:rPr>
            </w:pPr>
          </w:p>
        </w:tc>
        <w:tc>
          <w:tcPr>
            <w:tcW w:w="1220" w:type="dxa"/>
            <w:vAlign w:val="bottom"/>
            <w:tcBorders>
              <w:bottom w:val="single" w:sz="8" w:color="DBDBDB"/>
            </w:tcBorders>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2B4C9B"/>
          </w:tcPr>
          <w:p>
            <w:pPr>
              <w:spacing w:after="0" w:line="20" w:lineRule="exact"/>
              <w:rPr>
                <w:sz w:val="1"/>
                <w:szCs w:val="1"/>
                <w:color w:val="auto"/>
              </w:rPr>
            </w:pPr>
          </w:p>
        </w:tc>
        <w:tc>
          <w:tcPr>
            <w:tcW w:w="1260" w:type="dxa"/>
            <w:vAlign w:val="bottom"/>
            <w:shd w:val="clear" w:color="auto" w:fill="2B4C9B"/>
          </w:tcPr>
          <w:p>
            <w:pPr>
              <w:spacing w:after="0" w:line="20" w:lineRule="exact"/>
              <w:rPr>
                <w:sz w:val="1"/>
                <w:szCs w:val="1"/>
                <w:color w:val="auto"/>
              </w:rPr>
            </w:pPr>
          </w:p>
        </w:tc>
        <w:tc>
          <w:tcPr>
            <w:tcW w:w="1060" w:type="dxa"/>
            <w:vAlign w:val="bottom"/>
            <w:shd w:val="clear" w:color="auto" w:fill="2B4C9B"/>
          </w:tcPr>
          <w:p>
            <w:pPr>
              <w:spacing w:after="0" w:line="20" w:lineRule="exact"/>
              <w:rPr>
                <w:sz w:val="1"/>
                <w:szCs w:val="1"/>
                <w:color w:val="auto"/>
              </w:rPr>
            </w:pPr>
          </w:p>
        </w:tc>
        <w:tc>
          <w:tcPr>
            <w:tcW w:w="1360" w:type="dxa"/>
            <w:vAlign w:val="bottom"/>
            <w:shd w:val="clear" w:color="auto" w:fill="2B4C9B"/>
          </w:tcPr>
          <w:p>
            <w:pPr>
              <w:spacing w:after="0" w:line="20" w:lineRule="exact"/>
              <w:rPr>
                <w:sz w:val="1"/>
                <w:szCs w:val="1"/>
                <w:color w:val="auto"/>
              </w:rPr>
            </w:pPr>
          </w:p>
        </w:tc>
        <w:tc>
          <w:tcPr>
            <w:tcW w:w="1220" w:type="dxa"/>
            <w:vAlign w:val="bottom"/>
            <w:shd w:val="clear" w:color="auto" w:fill="2B4C9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Columns (b) and (d) represent Total Reported Pay for PEO and other NEOs as disclosed in the Summary Compensation Table on page 68. In its pay deliberations, the Compensation Committee considers Total Direct Compensation, columns</w:t>
      </w:r>
    </w:p>
    <w:p>
      <w:pPr>
        <w:ind w:left="220" w:hanging="216"/>
        <w:spacing w:after="0" w:line="236" w:lineRule="auto"/>
        <w:tabs>
          <w:tab w:leader="none" w:pos="2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and (l), as it excludes the volatility that results from changes in pension value and all other compensation. See pages</w:t>
      </w:r>
    </w:p>
    <w:p>
      <w:pPr>
        <w:spacing w:after="0"/>
        <w:rPr>
          <w:rFonts w:ascii="Arial" w:cs="Arial" w:eastAsia="Arial" w:hAnsi="Arial"/>
          <w:sz w:val="18"/>
          <w:szCs w:val="18"/>
          <w:color w:val="auto"/>
        </w:rPr>
      </w:pPr>
      <w:r>
        <w:rPr>
          <w:rFonts w:ascii="Arial" w:cs="Arial" w:eastAsia="Arial" w:hAnsi="Arial"/>
          <w:sz w:val="18"/>
          <w:szCs w:val="18"/>
          <w:color w:val="auto"/>
        </w:rPr>
        <w:t>58 to 61.</w:t>
      </w:r>
    </w:p>
    <w:p>
      <w:pPr>
        <w:spacing w:after="0" w:line="19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“Compensation Actually Paid” in columns (c) and (e) includes pension service cost and year-over-year change in value of unvested awards. We believe Realized Pay, shown in columns (k) and (m), is a more accurate representation of pay actually realized during the year. See pages 58 to 59 for details specific to PEO Realized Pay.</w:t>
      </w:r>
    </w:p>
    <w:p>
      <w:pPr>
        <w:spacing w:after="0" w:line="16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main factor in year-over-year changes in “Compensation Actually Paid” is the change in value of unvested equity awards. Performance shares with uniquely long vesting periods represent over 70 percent of Total Direct Compensation, aligning the interests of our executives with the returns of long-term shareholders.</w:t>
      </w:r>
    </w:p>
    <w:p>
      <w:pPr>
        <w:sectPr>
          <w:pgSz w:w="11900" w:h="16838" w:orient="portrait"/>
          <w:cols w:equalWidth="0" w:num="1">
            <w:col w:w="9720"/>
          </w:cols>
          <w:pgMar w:left="1080" w:top="94" w:right="1099" w:bottom="1440" w:gutter="0" w:footer="0" w:header="0"/>
        </w:sect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140" w:type="dxa"/>
            <w:vAlign w:val="bottom"/>
            <w:vMerge w:val="restart"/>
          </w:tcPr>
          <w:p>
            <w:pPr>
              <w:spacing w:after="0"/>
              <w:rPr>
                <w:sz w:val="20"/>
                <w:szCs w:val="20"/>
                <w:color w:val="auto"/>
              </w:rPr>
            </w:pPr>
            <w:r>
              <w:rPr>
                <w:rFonts w:ascii="Arial" w:cs="Arial" w:eastAsia="Arial" w:hAnsi="Arial"/>
                <w:sz w:val="13"/>
                <w:szCs w:val="13"/>
                <w:b w:val="1"/>
                <w:bCs w:val="1"/>
                <w:color w:val="auto"/>
                <w:w w:val="96"/>
              </w:rPr>
              <w:t>PEO “Compensation Actually Paid”</w:t>
            </w:r>
          </w:p>
        </w:tc>
        <w:tc>
          <w:tcPr>
            <w:tcW w:w="1000" w:type="dxa"/>
            <w:vAlign w:val="bottom"/>
          </w:tcPr>
          <w:p>
            <w:pPr>
              <w:spacing w:after="0"/>
              <w:rPr>
                <w:sz w:val="14"/>
                <w:szCs w:val="14"/>
                <w:color w:val="auto"/>
              </w:rPr>
            </w:pPr>
          </w:p>
        </w:tc>
        <w:tc>
          <w:tcPr>
            <w:tcW w:w="1280" w:type="dxa"/>
            <w:vAlign w:val="bottom"/>
            <w:gridSpan w:val="2"/>
          </w:tcPr>
          <w:p>
            <w:pPr>
              <w:jc w:val="right"/>
              <w:ind w:right="357"/>
              <w:spacing w:after="0"/>
              <w:rPr>
                <w:sz w:val="20"/>
                <w:szCs w:val="20"/>
                <w:color w:val="auto"/>
              </w:rPr>
            </w:pPr>
            <w:r>
              <w:rPr>
                <w:rFonts w:ascii="Arial" w:cs="Arial" w:eastAsia="Arial" w:hAnsi="Arial"/>
                <w:sz w:val="13"/>
                <w:szCs w:val="13"/>
                <w:b w:val="1"/>
                <w:bCs w:val="1"/>
                <w:color w:val="auto"/>
              </w:rPr>
              <w:t>Actual</w:t>
            </w:r>
          </w:p>
        </w:tc>
        <w:tc>
          <w:tcPr>
            <w:tcW w:w="1820" w:type="dxa"/>
            <w:vAlign w:val="bottom"/>
            <w:gridSpan w:val="2"/>
          </w:tcPr>
          <w:p>
            <w:pPr>
              <w:jc w:val="right"/>
              <w:ind w:right="377"/>
              <w:spacing w:after="0"/>
              <w:rPr>
                <w:sz w:val="20"/>
                <w:szCs w:val="20"/>
                <w:color w:val="auto"/>
              </w:rPr>
            </w:pPr>
            <w:r>
              <w:rPr>
                <w:rFonts w:ascii="Arial" w:cs="Arial" w:eastAsia="Arial" w:hAnsi="Arial"/>
                <w:sz w:val="13"/>
                <w:szCs w:val="13"/>
                <w:b w:val="1"/>
                <w:bCs w:val="1"/>
                <w:color w:val="auto"/>
              </w:rPr>
              <w:t>Year-over-Year</w:t>
            </w:r>
          </w:p>
        </w:tc>
        <w:tc>
          <w:tcPr>
            <w:tcW w:w="0" w:type="dxa"/>
            <w:vAlign w:val="bottom"/>
          </w:tcPr>
          <w:p>
            <w:pPr>
              <w:spacing w:after="0"/>
              <w:rPr>
                <w:sz w:val="1"/>
                <w:szCs w:val="1"/>
                <w:color w:val="auto"/>
              </w:rPr>
            </w:pPr>
          </w:p>
        </w:tc>
      </w:tr>
      <w:tr>
        <w:trPr>
          <w:trHeight w:val="31"/>
        </w:trPr>
        <w:tc>
          <w:tcPr>
            <w:tcW w:w="2140" w:type="dxa"/>
            <w:vAlign w:val="bottom"/>
            <w:vMerge w:val="continue"/>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140" w:type="dxa"/>
            <w:vAlign w:val="bottom"/>
            <w:tcBorders>
              <w:bottom w:val="single" w:sz="8" w:color="2B4C9B"/>
            </w:tcBorders>
          </w:tcPr>
          <w:p>
            <w:pPr>
              <w:spacing w:after="0"/>
              <w:rPr>
                <w:sz w:val="20"/>
                <w:szCs w:val="20"/>
                <w:color w:val="auto"/>
              </w:rPr>
            </w:pPr>
            <w:r>
              <w:rPr>
                <w:rFonts w:ascii="Arial" w:cs="Arial" w:eastAsia="Arial" w:hAnsi="Arial"/>
                <w:sz w:val="13"/>
                <w:szCs w:val="13"/>
                <w:b w:val="1"/>
                <w:bCs w:val="1"/>
                <w:color w:val="auto"/>
              </w:rPr>
              <w:t>2022 versus 2021 ($ in millions)</w:t>
            </w:r>
          </w:p>
        </w:tc>
        <w:tc>
          <w:tcPr>
            <w:tcW w:w="1000" w:type="dxa"/>
            <w:vAlign w:val="bottom"/>
            <w:tcBorders>
              <w:bottom w:val="single" w:sz="8" w:color="2B4C9B"/>
            </w:tcBorders>
          </w:tcPr>
          <w:p>
            <w:pPr>
              <w:spacing w:after="0"/>
              <w:rPr>
                <w:sz w:val="16"/>
                <w:szCs w:val="16"/>
                <w:color w:val="auto"/>
              </w:rPr>
            </w:pPr>
          </w:p>
        </w:tc>
        <w:tc>
          <w:tcPr>
            <w:tcW w:w="700" w:type="dxa"/>
            <w:vAlign w:val="bottom"/>
            <w:tcBorders>
              <w:bottom w:val="single" w:sz="8" w:color="2B4C9B"/>
            </w:tcBorders>
          </w:tcPr>
          <w:p>
            <w:pPr>
              <w:jc w:val="right"/>
              <w:ind w:right="117"/>
              <w:spacing w:after="0"/>
              <w:rPr>
                <w:sz w:val="20"/>
                <w:szCs w:val="20"/>
                <w:color w:val="auto"/>
              </w:rPr>
            </w:pPr>
            <w:r>
              <w:rPr>
                <w:rFonts w:ascii="Arial" w:cs="Arial" w:eastAsia="Arial" w:hAnsi="Arial"/>
                <w:sz w:val="13"/>
                <w:szCs w:val="13"/>
                <w:b w:val="1"/>
                <w:bCs w:val="1"/>
                <w:color w:val="auto"/>
              </w:rPr>
              <w:t>2022</w:t>
            </w:r>
          </w:p>
        </w:tc>
        <w:tc>
          <w:tcPr>
            <w:tcW w:w="580" w:type="dxa"/>
            <w:vAlign w:val="bottom"/>
            <w:tcBorders>
              <w:bottom w:val="single" w:sz="8" w:color="2B4C9B"/>
            </w:tcBorders>
          </w:tcPr>
          <w:p>
            <w:pPr>
              <w:jc w:val="right"/>
              <w:ind w:right="117"/>
              <w:spacing w:after="0"/>
              <w:rPr>
                <w:sz w:val="20"/>
                <w:szCs w:val="20"/>
                <w:color w:val="auto"/>
              </w:rPr>
            </w:pPr>
            <w:r>
              <w:rPr>
                <w:rFonts w:ascii="Arial" w:cs="Arial" w:eastAsia="Arial" w:hAnsi="Arial"/>
                <w:sz w:val="13"/>
                <w:szCs w:val="13"/>
                <w:b w:val="1"/>
                <w:bCs w:val="1"/>
                <w:color w:val="auto"/>
              </w:rPr>
              <w:t>2021</w:t>
            </w:r>
          </w:p>
        </w:tc>
        <w:tc>
          <w:tcPr>
            <w:tcW w:w="800" w:type="dxa"/>
            <w:vAlign w:val="bottom"/>
            <w:tcBorders>
              <w:bottom w:val="single" w:sz="8" w:color="2B4C9B"/>
            </w:tcBorders>
          </w:tcPr>
          <w:p>
            <w:pPr>
              <w:jc w:val="right"/>
              <w:ind w:right="117"/>
              <w:spacing w:after="0"/>
              <w:rPr>
                <w:sz w:val="20"/>
                <w:szCs w:val="20"/>
                <w:color w:val="auto"/>
              </w:rPr>
            </w:pPr>
            <w:r>
              <w:rPr>
                <w:rFonts w:ascii="Arial" w:cs="Arial" w:eastAsia="Arial" w:hAnsi="Arial"/>
                <w:sz w:val="13"/>
                <w:szCs w:val="13"/>
                <w:b w:val="1"/>
                <w:bCs w:val="1"/>
                <w:color w:val="auto"/>
              </w:rPr>
              <w:t>Change</w:t>
            </w:r>
          </w:p>
        </w:tc>
        <w:tc>
          <w:tcPr>
            <w:tcW w:w="1020" w:type="dxa"/>
            <w:vAlign w:val="bottom"/>
            <w:tcBorders>
              <w:bottom w:val="single" w:sz="8" w:color="2B4C9B"/>
            </w:tcBorders>
          </w:tcPr>
          <w:p>
            <w:pPr>
              <w:jc w:val="right"/>
              <w:ind w:right="17"/>
              <w:spacing w:after="0"/>
              <w:rPr>
                <w:sz w:val="20"/>
                <w:szCs w:val="20"/>
                <w:color w:val="auto"/>
              </w:rPr>
            </w:pPr>
            <w:r>
              <w:rPr>
                <w:rFonts w:ascii="Arial" w:cs="Arial" w:eastAsia="Arial" w:hAnsi="Arial"/>
                <w:sz w:val="13"/>
                <w:szCs w:val="13"/>
                <w:b w:val="1"/>
                <w:bCs w:val="1"/>
                <w:color w:val="auto"/>
              </w:rPr>
              <w:t>% of Change</w:t>
            </w:r>
          </w:p>
        </w:tc>
        <w:tc>
          <w:tcPr>
            <w:tcW w:w="0" w:type="dxa"/>
            <w:vAlign w:val="bottom"/>
          </w:tcPr>
          <w:p>
            <w:pPr>
              <w:spacing w:after="0"/>
              <w:rPr>
                <w:sz w:val="1"/>
                <w:szCs w:val="1"/>
                <w:color w:val="auto"/>
              </w:rPr>
            </w:pPr>
          </w:p>
        </w:tc>
      </w:tr>
      <w:tr>
        <w:trPr>
          <w:trHeight w:val="280"/>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Cash: Salary, Bonus, All Other Compensation</w:t>
            </w:r>
          </w:p>
        </w:tc>
        <w:tc>
          <w:tcPr>
            <w:tcW w:w="700" w:type="dxa"/>
            <w:vAlign w:val="bottom"/>
          </w:tcPr>
          <w:p>
            <w:pPr>
              <w:jc w:val="right"/>
              <w:ind w:right="117"/>
              <w:spacing w:after="0"/>
              <w:rPr>
                <w:sz w:val="20"/>
                <w:szCs w:val="20"/>
                <w:color w:val="auto"/>
              </w:rPr>
            </w:pPr>
            <w:r>
              <w:rPr>
                <w:rFonts w:ascii="Arial" w:cs="Arial" w:eastAsia="Arial" w:hAnsi="Arial"/>
                <w:sz w:val="13"/>
                <w:szCs w:val="13"/>
                <w:color w:val="auto"/>
              </w:rPr>
              <w:t>8.5</w:t>
            </w:r>
          </w:p>
        </w:tc>
        <w:tc>
          <w:tcPr>
            <w:tcW w:w="580" w:type="dxa"/>
            <w:vAlign w:val="bottom"/>
          </w:tcPr>
          <w:p>
            <w:pPr>
              <w:jc w:val="right"/>
              <w:ind w:right="117"/>
              <w:spacing w:after="0"/>
              <w:rPr>
                <w:sz w:val="20"/>
                <w:szCs w:val="20"/>
                <w:color w:val="auto"/>
              </w:rPr>
            </w:pPr>
            <w:r>
              <w:rPr>
                <w:rFonts w:ascii="Arial" w:cs="Arial" w:eastAsia="Arial" w:hAnsi="Arial"/>
                <w:sz w:val="13"/>
                <w:szCs w:val="13"/>
                <w:color w:val="auto"/>
              </w:rPr>
              <w:t>4.9</w:t>
            </w:r>
          </w:p>
        </w:tc>
        <w:tc>
          <w:tcPr>
            <w:tcW w:w="800" w:type="dxa"/>
            <w:vAlign w:val="bottom"/>
          </w:tcPr>
          <w:p>
            <w:pPr>
              <w:jc w:val="right"/>
              <w:ind w:right="197"/>
              <w:spacing w:after="0"/>
              <w:rPr>
                <w:sz w:val="20"/>
                <w:szCs w:val="20"/>
                <w:color w:val="auto"/>
              </w:rPr>
            </w:pPr>
            <w:r>
              <w:rPr>
                <w:rFonts w:ascii="Arial" w:cs="Arial" w:eastAsia="Arial" w:hAnsi="Arial"/>
                <w:sz w:val="13"/>
                <w:szCs w:val="13"/>
                <w:color w:val="auto"/>
              </w:rPr>
              <w:t>3.5</w:t>
            </w:r>
          </w:p>
        </w:tc>
        <w:tc>
          <w:tcPr>
            <w:tcW w:w="1020" w:type="dxa"/>
            <w:vAlign w:val="bottom"/>
          </w:tcPr>
          <w:p>
            <w:pPr>
              <w:jc w:val="right"/>
              <w:ind w:right="157"/>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203"/>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Stock Awards granted in current year, YE value</w:t>
            </w:r>
          </w:p>
        </w:tc>
        <w:tc>
          <w:tcPr>
            <w:tcW w:w="700" w:type="dxa"/>
            <w:vAlign w:val="bottom"/>
          </w:tcPr>
          <w:p>
            <w:pPr>
              <w:jc w:val="right"/>
              <w:ind w:right="117"/>
              <w:spacing w:after="0"/>
              <w:rPr>
                <w:sz w:val="20"/>
                <w:szCs w:val="20"/>
                <w:color w:val="auto"/>
              </w:rPr>
            </w:pPr>
            <w:r>
              <w:rPr>
                <w:rFonts w:ascii="Arial" w:cs="Arial" w:eastAsia="Arial" w:hAnsi="Arial"/>
                <w:sz w:val="13"/>
                <w:szCs w:val="13"/>
                <w:color w:val="auto"/>
              </w:rPr>
              <w:t>24.8</w:t>
            </w:r>
          </w:p>
        </w:tc>
        <w:tc>
          <w:tcPr>
            <w:tcW w:w="580" w:type="dxa"/>
            <w:vAlign w:val="bottom"/>
          </w:tcPr>
          <w:p>
            <w:pPr>
              <w:jc w:val="right"/>
              <w:ind w:right="117"/>
              <w:spacing w:after="0"/>
              <w:rPr>
                <w:sz w:val="20"/>
                <w:szCs w:val="20"/>
                <w:color w:val="auto"/>
              </w:rPr>
            </w:pPr>
            <w:r>
              <w:rPr>
                <w:rFonts w:ascii="Arial" w:cs="Arial" w:eastAsia="Arial" w:hAnsi="Arial"/>
                <w:sz w:val="13"/>
                <w:szCs w:val="13"/>
                <w:color w:val="auto"/>
              </w:rPr>
              <w:t>13.2</w:t>
            </w:r>
          </w:p>
        </w:tc>
        <w:tc>
          <w:tcPr>
            <w:tcW w:w="800" w:type="dxa"/>
            <w:vAlign w:val="bottom"/>
          </w:tcPr>
          <w:p>
            <w:pPr>
              <w:jc w:val="right"/>
              <w:ind w:right="197"/>
              <w:spacing w:after="0"/>
              <w:rPr>
                <w:sz w:val="20"/>
                <w:szCs w:val="20"/>
                <w:color w:val="auto"/>
              </w:rPr>
            </w:pPr>
            <w:r>
              <w:rPr>
                <w:rFonts w:ascii="Arial" w:cs="Arial" w:eastAsia="Arial" w:hAnsi="Arial"/>
                <w:sz w:val="13"/>
                <w:szCs w:val="13"/>
                <w:color w:val="auto"/>
              </w:rPr>
              <w:t>11.7</w:t>
            </w:r>
          </w:p>
        </w:tc>
        <w:tc>
          <w:tcPr>
            <w:tcW w:w="1020" w:type="dxa"/>
            <w:vAlign w:val="bottom"/>
          </w:tcPr>
          <w:p>
            <w:pPr>
              <w:jc w:val="right"/>
              <w:ind w:right="157"/>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89"/>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Outstanding equity, year-over-year change in value</w:t>
            </w:r>
          </w:p>
        </w:tc>
        <w:tc>
          <w:tcPr>
            <w:tcW w:w="700" w:type="dxa"/>
            <w:vAlign w:val="bottom"/>
          </w:tcPr>
          <w:p>
            <w:pPr>
              <w:jc w:val="right"/>
              <w:ind w:right="117"/>
              <w:spacing w:after="0"/>
              <w:rPr>
                <w:sz w:val="20"/>
                <w:szCs w:val="20"/>
                <w:color w:val="auto"/>
              </w:rPr>
            </w:pPr>
            <w:r>
              <w:rPr>
                <w:rFonts w:ascii="Arial" w:cs="Arial" w:eastAsia="Arial" w:hAnsi="Arial"/>
                <w:sz w:val="13"/>
                <w:szCs w:val="13"/>
                <w:color w:val="auto"/>
              </w:rPr>
              <w:t>48.5</w:t>
            </w:r>
          </w:p>
        </w:tc>
        <w:tc>
          <w:tcPr>
            <w:tcW w:w="580" w:type="dxa"/>
            <w:vAlign w:val="bottom"/>
          </w:tcPr>
          <w:p>
            <w:pPr>
              <w:jc w:val="right"/>
              <w:ind w:right="117"/>
              <w:spacing w:after="0"/>
              <w:rPr>
                <w:sz w:val="20"/>
                <w:szCs w:val="20"/>
                <w:color w:val="auto"/>
              </w:rPr>
            </w:pPr>
            <w:r>
              <w:rPr>
                <w:rFonts w:ascii="Arial" w:cs="Arial" w:eastAsia="Arial" w:hAnsi="Arial"/>
                <w:sz w:val="13"/>
                <w:szCs w:val="13"/>
                <w:color w:val="auto"/>
              </w:rPr>
              <w:t>16.8</w:t>
            </w:r>
          </w:p>
        </w:tc>
        <w:tc>
          <w:tcPr>
            <w:tcW w:w="800" w:type="dxa"/>
            <w:vAlign w:val="bottom"/>
          </w:tcPr>
          <w:p>
            <w:pPr>
              <w:jc w:val="right"/>
              <w:ind w:right="197"/>
              <w:spacing w:after="0"/>
              <w:rPr>
                <w:sz w:val="20"/>
                <w:szCs w:val="20"/>
                <w:color w:val="auto"/>
              </w:rPr>
            </w:pPr>
            <w:r>
              <w:rPr>
                <w:rFonts w:ascii="Arial" w:cs="Arial" w:eastAsia="Arial" w:hAnsi="Arial"/>
                <w:sz w:val="13"/>
                <w:szCs w:val="13"/>
                <w:color w:val="auto"/>
              </w:rPr>
              <w:t>31.8</w:t>
            </w:r>
          </w:p>
        </w:tc>
        <w:tc>
          <w:tcPr>
            <w:tcW w:w="1020" w:type="dxa"/>
            <w:vAlign w:val="bottom"/>
          </w:tcPr>
          <w:p>
            <w:pPr>
              <w:jc w:val="right"/>
              <w:ind w:right="157"/>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203"/>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Vested awards, vested value minus prior YE value</w:t>
            </w:r>
          </w:p>
        </w:tc>
        <w:tc>
          <w:tcPr>
            <w:tcW w:w="700" w:type="dxa"/>
            <w:vAlign w:val="bottom"/>
          </w:tcPr>
          <w:p>
            <w:pPr>
              <w:jc w:val="right"/>
              <w:ind w:right="117"/>
              <w:spacing w:after="0"/>
              <w:rPr>
                <w:sz w:val="20"/>
                <w:szCs w:val="20"/>
                <w:color w:val="auto"/>
              </w:rPr>
            </w:pPr>
            <w:r>
              <w:rPr>
                <w:rFonts w:ascii="Arial" w:cs="Arial" w:eastAsia="Arial" w:hAnsi="Arial"/>
                <w:sz w:val="13"/>
                <w:szCs w:val="13"/>
                <w:color w:val="auto"/>
              </w:rPr>
              <w:t>3.3</w:t>
            </w:r>
          </w:p>
        </w:tc>
        <w:tc>
          <w:tcPr>
            <w:tcW w:w="580" w:type="dxa"/>
            <w:vAlign w:val="bottom"/>
          </w:tcPr>
          <w:p>
            <w:pPr>
              <w:jc w:val="right"/>
              <w:ind w:right="117"/>
              <w:spacing w:after="0"/>
              <w:rPr>
                <w:sz w:val="20"/>
                <w:szCs w:val="20"/>
                <w:color w:val="auto"/>
              </w:rPr>
            </w:pPr>
            <w:r>
              <w:rPr>
                <w:rFonts w:ascii="Arial" w:cs="Arial" w:eastAsia="Arial" w:hAnsi="Arial"/>
                <w:sz w:val="13"/>
                <w:szCs w:val="13"/>
                <w:color w:val="auto"/>
              </w:rPr>
              <w:t>1.3</w:t>
            </w:r>
          </w:p>
        </w:tc>
        <w:tc>
          <w:tcPr>
            <w:tcW w:w="800" w:type="dxa"/>
            <w:vAlign w:val="bottom"/>
          </w:tcPr>
          <w:p>
            <w:pPr>
              <w:jc w:val="right"/>
              <w:ind w:right="197"/>
              <w:spacing w:after="0"/>
              <w:rPr>
                <w:sz w:val="20"/>
                <w:szCs w:val="20"/>
                <w:color w:val="auto"/>
              </w:rPr>
            </w:pPr>
            <w:r>
              <w:rPr>
                <w:rFonts w:ascii="Arial" w:cs="Arial" w:eastAsia="Arial" w:hAnsi="Arial"/>
                <w:sz w:val="13"/>
                <w:szCs w:val="13"/>
                <w:color w:val="auto"/>
              </w:rPr>
              <w:t>2.0</w:t>
            </w:r>
          </w:p>
        </w:tc>
        <w:tc>
          <w:tcPr>
            <w:tcW w:w="1020" w:type="dxa"/>
            <w:vAlign w:val="bottom"/>
          </w:tcPr>
          <w:p>
            <w:pPr>
              <w:jc w:val="right"/>
              <w:ind w:right="157"/>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03"/>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Dividends paid prior to vesting of underlying awards</w:t>
            </w:r>
          </w:p>
        </w:tc>
        <w:tc>
          <w:tcPr>
            <w:tcW w:w="700" w:type="dxa"/>
            <w:vAlign w:val="bottom"/>
          </w:tcPr>
          <w:p>
            <w:pPr>
              <w:jc w:val="right"/>
              <w:ind w:right="117"/>
              <w:spacing w:after="0"/>
              <w:rPr>
                <w:sz w:val="20"/>
                <w:szCs w:val="20"/>
                <w:color w:val="auto"/>
              </w:rPr>
            </w:pPr>
            <w:r>
              <w:rPr>
                <w:rFonts w:ascii="Arial" w:cs="Arial" w:eastAsia="Arial" w:hAnsi="Arial"/>
                <w:sz w:val="13"/>
                <w:szCs w:val="13"/>
                <w:color w:val="auto"/>
              </w:rPr>
              <w:t>3.7</w:t>
            </w:r>
          </w:p>
        </w:tc>
        <w:tc>
          <w:tcPr>
            <w:tcW w:w="580" w:type="dxa"/>
            <w:vAlign w:val="bottom"/>
          </w:tcPr>
          <w:p>
            <w:pPr>
              <w:jc w:val="right"/>
              <w:ind w:right="117"/>
              <w:spacing w:after="0"/>
              <w:rPr>
                <w:sz w:val="20"/>
                <w:szCs w:val="20"/>
                <w:color w:val="auto"/>
              </w:rPr>
            </w:pPr>
            <w:r>
              <w:rPr>
                <w:rFonts w:ascii="Arial" w:cs="Arial" w:eastAsia="Arial" w:hAnsi="Arial"/>
                <w:sz w:val="13"/>
                <w:szCs w:val="13"/>
                <w:color w:val="auto"/>
              </w:rPr>
              <w:t>3.2</w:t>
            </w:r>
          </w:p>
        </w:tc>
        <w:tc>
          <w:tcPr>
            <w:tcW w:w="800" w:type="dxa"/>
            <w:vAlign w:val="bottom"/>
          </w:tcPr>
          <w:p>
            <w:pPr>
              <w:jc w:val="right"/>
              <w:ind w:right="197"/>
              <w:spacing w:after="0"/>
              <w:rPr>
                <w:sz w:val="20"/>
                <w:szCs w:val="20"/>
                <w:color w:val="auto"/>
              </w:rPr>
            </w:pPr>
            <w:r>
              <w:rPr>
                <w:rFonts w:ascii="Arial" w:cs="Arial" w:eastAsia="Arial" w:hAnsi="Arial"/>
                <w:sz w:val="13"/>
                <w:szCs w:val="13"/>
                <w:color w:val="auto"/>
              </w:rPr>
              <w:t>0.6</w:t>
            </w:r>
          </w:p>
        </w:tc>
        <w:tc>
          <w:tcPr>
            <w:tcW w:w="1020" w:type="dxa"/>
            <w:vAlign w:val="bottom"/>
          </w:tcPr>
          <w:p>
            <w:pPr>
              <w:jc w:val="right"/>
              <w:ind w:right="15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10"/>
        </w:trPr>
        <w:tc>
          <w:tcPr>
            <w:tcW w:w="2140" w:type="dxa"/>
            <w:vAlign w:val="bottom"/>
            <w:tcBorders>
              <w:bottom w:val="single" w:sz="8" w:color="2B4C9B"/>
            </w:tcBorders>
          </w:tcPr>
          <w:p>
            <w:pPr>
              <w:ind w:left="20"/>
              <w:spacing w:after="0"/>
              <w:rPr>
                <w:sz w:val="20"/>
                <w:szCs w:val="20"/>
                <w:color w:val="auto"/>
              </w:rPr>
            </w:pPr>
            <w:r>
              <w:rPr>
                <w:rFonts w:ascii="Arial" w:cs="Arial" w:eastAsia="Arial" w:hAnsi="Arial"/>
                <w:sz w:val="13"/>
                <w:szCs w:val="13"/>
                <w:color w:val="auto"/>
              </w:rPr>
              <w:t>Pension Service Cost</w:t>
            </w:r>
          </w:p>
        </w:tc>
        <w:tc>
          <w:tcPr>
            <w:tcW w:w="1000" w:type="dxa"/>
            <w:vAlign w:val="bottom"/>
            <w:tcBorders>
              <w:bottom w:val="single" w:sz="8" w:color="2B4C9B"/>
            </w:tcBorders>
          </w:tcPr>
          <w:p>
            <w:pPr>
              <w:spacing w:after="0"/>
              <w:rPr>
                <w:sz w:val="18"/>
                <w:szCs w:val="18"/>
                <w:color w:val="auto"/>
              </w:rPr>
            </w:pPr>
          </w:p>
        </w:tc>
        <w:tc>
          <w:tcPr>
            <w:tcW w:w="700" w:type="dxa"/>
            <w:vAlign w:val="bottom"/>
            <w:tcBorders>
              <w:bottom w:val="single" w:sz="8" w:color="2B4C9B"/>
            </w:tcBorders>
          </w:tcPr>
          <w:p>
            <w:pPr>
              <w:jc w:val="right"/>
              <w:ind w:right="117"/>
              <w:spacing w:after="0"/>
              <w:rPr>
                <w:sz w:val="20"/>
                <w:szCs w:val="20"/>
                <w:color w:val="auto"/>
              </w:rPr>
            </w:pPr>
            <w:r>
              <w:rPr>
                <w:rFonts w:ascii="Arial" w:cs="Arial" w:eastAsia="Arial" w:hAnsi="Arial"/>
                <w:sz w:val="13"/>
                <w:szCs w:val="13"/>
                <w:color w:val="auto"/>
              </w:rPr>
              <w:t>0.9</w:t>
            </w:r>
          </w:p>
        </w:tc>
        <w:tc>
          <w:tcPr>
            <w:tcW w:w="580" w:type="dxa"/>
            <w:vAlign w:val="bottom"/>
            <w:tcBorders>
              <w:bottom w:val="single" w:sz="8" w:color="2B4C9B"/>
            </w:tcBorders>
          </w:tcPr>
          <w:p>
            <w:pPr>
              <w:jc w:val="right"/>
              <w:ind w:right="117"/>
              <w:spacing w:after="0"/>
              <w:rPr>
                <w:sz w:val="20"/>
                <w:szCs w:val="20"/>
                <w:color w:val="auto"/>
              </w:rPr>
            </w:pPr>
            <w:r>
              <w:rPr>
                <w:rFonts w:ascii="Arial" w:cs="Arial" w:eastAsia="Arial" w:hAnsi="Arial"/>
                <w:sz w:val="13"/>
                <w:szCs w:val="13"/>
                <w:color w:val="auto"/>
              </w:rPr>
              <w:t>0.7</w:t>
            </w:r>
          </w:p>
        </w:tc>
        <w:tc>
          <w:tcPr>
            <w:tcW w:w="800" w:type="dxa"/>
            <w:vAlign w:val="bottom"/>
            <w:tcBorders>
              <w:bottom w:val="single" w:sz="8" w:color="2B4C9B"/>
            </w:tcBorders>
          </w:tcPr>
          <w:p>
            <w:pPr>
              <w:jc w:val="right"/>
              <w:ind w:right="197"/>
              <w:spacing w:after="0"/>
              <w:rPr>
                <w:sz w:val="20"/>
                <w:szCs w:val="20"/>
                <w:color w:val="auto"/>
              </w:rPr>
            </w:pPr>
            <w:r>
              <w:rPr>
                <w:rFonts w:ascii="Arial" w:cs="Arial" w:eastAsia="Arial" w:hAnsi="Arial"/>
                <w:sz w:val="13"/>
                <w:szCs w:val="13"/>
                <w:color w:val="auto"/>
              </w:rPr>
              <w:t>0.2</w:t>
            </w:r>
          </w:p>
        </w:tc>
        <w:tc>
          <w:tcPr>
            <w:tcW w:w="1020" w:type="dxa"/>
            <w:vAlign w:val="bottom"/>
            <w:tcBorders>
              <w:bottom w:val="single" w:sz="8" w:color="2B4C9B"/>
            </w:tcBorders>
          </w:tcPr>
          <w:p>
            <w:pPr>
              <w:jc w:val="right"/>
              <w:ind w:right="157"/>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212"/>
        </w:trPr>
        <w:tc>
          <w:tcPr>
            <w:tcW w:w="2140" w:type="dxa"/>
            <w:vAlign w:val="bottom"/>
            <w:tcBorders>
              <w:bottom w:val="single" w:sz="8" w:color="2B4C9B"/>
            </w:tcBorders>
          </w:tcPr>
          <w:p>
            <w:pPr>
              <w:ind w:left="20"/>
              <w:spacing w:after="0"/>
              <w:rPr>
                <w:sz w:val="20"/>
                <w:szCs w:val="20"/>
                <w:color w:val="auto"/>
              </w:rPr>
            </w:pPr>
            <w:r>
              <w:rPr>
                <w:rFonts w:ascii="Arial" w:cs="Arial" w:eastAsia="Arial" w:hAnsi="Arial"/>
                <w:sz w:val="13"/>
                <w:szCs w:val="13"/>
                <w:b w:val="1"/>
                <w:bCs w:val="1"/>
                <w:color w:val="auto"/>
              </w:rPr>
              <w:t>Total</w:t>
            </w:r>
          </w:p>
        </w:tc>
        <w:tc>
          <w:tcPr>
            <w:tcW w:w="1000" w:type="dxa"/>
            <w:vAlign w:val="bottom"/>
            <w:tcBorders>
              <w:bottom w:val="single" w:sz="8" w:color="2B4C9B"/>
            </w:tcBorders>
          </w:tcPr>
          <w:p>
            <w:pPr>
              <w:spacing w:after="0"/>
              <w:rPr>
                <w:sz w:val="18"/>
                <w:szCs w:val="18"/>
                <w:color w:val="auto"/>
              </w:rPr>
            </w:pPr>
          </w:p>
        </w:tc>
        <w:tc>
          <w:tcPr>
            <w:tcW w:w="700" w:type="dxa"/>
            <w:vAlign w:val="bottom"/>
            <w:tcBorders>
              <w:bottom w:val="single" w:sz="8" w:color="2B4C9B"/>
            </w:tcBorders>
          </w:tcPr>
          <w:p>
            <w:pPr>
              <w:jc w:val="right"/>
              <w:ind w:right="117"/>
              <w:spacing w:after="0"/>
              <w:rPr>
                <w:sz w:val="20"/>
                <w:szCs w:val="20"/>
                <w:color w:val="auto"/>
              </w:rPr>
            </w:pPr>
            <w:r>
              <w:rPr>
                <w:rFonts w:ascii="Arial" w:cs="Arial" w:eastAsia="Arial" w:hAnsi="Arial"/>
                <w:sz w:val="13"/>
                <w:szCs w:val="13"/>
                <w:b w:val="1"/>
                <w:bCs w:val="1"/>
                <w:color w:val="auto"/>
              </w:rPr>
              <w:t>89.7</w:t>
            </w:r>
          </w:p>
        </w:tc>
        <w:tc>
          <w:tcPr>
            <w:tcW w:w="580" w:type="dxa"/>
            <w:vAlign w:val="bottom"/>
            <w:tcBorders>
              <w:bottom w:val="single" w:sz="8" w:color="2B4C9B"/>
            </w:tcBorders>
          </w:tcPr>
          <w:p>
            <w:pPr>
              <w:jc w:val="right"/>
              <w:ind w:right="117"/>
              <w:spacing w:after="0"/>
              <w:rPr>
                <w:sz w:val="20"/>
                <w:szCs w:val="20"/>
                <w:color w:val="auto"/>
              </w:rPr>
            </w:pPr>
            <w:r>
              <w:rPr>
                <w:rFonts w:ascii="Arial" w:cs="Arial" w:eastAsia="Arial" w:hAnsi="Arial"/>
                <w:sz w:val="13"/>
                <w:szCs w:val="13"/>
                <w:b w:val="1"/>
                <w:bCs w:val="1"/>
                <w:color w:val="auto"/>
              </w:rPr>
              <w:t>40.1</w:t>
            </w:r>
          </w:p>
        </w:tc>
        <w:tc>
          <w:tcPr>
            <w:tcW w:w="800" w:type="dxa"/>
            <w:vAlign w:val="bottom"/>
            <w:tcBorders>
              <w:bottom w:val="single" w:sz="8" w:color="2B4C9B"/>
            </w:tcBorders>
          </w:tcPr>
          <w:p>
            <w:pPr>
              <w:jc w:val="right"/>
              <w:ind w:right="197"/>
              <w:spacing w:after="0"/>
              <w:rPr>
                <w:sz w:val="20"/>
                <w:szCs w:val="20"/>
                <w:color w:val="auto"/>
              </w:rPr>
            </w:pPr>
            <w:r>
              <w:rPr>
                <w:rFonts w:ascii="Arial" w:cs="Arial" w:eastAsia="Arial" w:hAnsi="Arial"/>
                <w:sz w:val="13"/>
                <w:szCs w:val="13"/>
                <w:b w:val="1"/>
                <w:bCs w:val="1"/>
                <w:color w:val="auto"/>
              </w:rPr>
              <w:t>49.7</w:t>
            </w:r>
          </w:p>
        </w:tc>
        <w:tc>
          <w:tcPr>
            <w:tcW w:w="1020" w:type="dxa"/>
            <w:vAlign w:val="bottom"/>
            <w:tcBorders>
              <w:bottom w:val="single" w:sz="8" w:color="2B4C9B"/>
            </w:tcBorders>
          </w:tcPr>
          <w:p>
            <w:pPr>
              <w:jc w:val="right"/>
              <w:ind w:right="157"/>
              <w:spacing w:after="0"/>
              <w:rPr>
                <w:sz w:val="20"/>
                <w:szCs w:val="20"/>
                <w:color w:val="auto"/>
              </w:rPr>
            </w:pPr>
            <w:r>
              <w:rPr>
                <w:rFonts w:ascii="Arial" w:cs="Arial" w:eastAsia="Arial" w:hAnsi="Arial"/>
                <w:sz w:val="13"/>
                <w:szCs w:val="13"/>
                <w:b w:val="1"/>
                <w:bCs w:val="1"/>
                <w:color w:val="auto"/>
              </w:rPr>
              <w:t>100%</w:t>
            </w:r>
          </w:p>
        </w:tc>
        <w:tc>
          <w:tcPr>
            <w:tcW w:w="0" w:type="dxa"/>
            <w:vAlign w:val="bottom"/>
          </w:tcPr>
          <w:p>
            <w:pPr>
              <w:spacing w:after="0"/>
              <w:rPr>
                <w:sz w:val="1"/>
                <w:szCs w:val="1"/>
                <w:color w:val="auto"/>
              </w:rPr>
            </w:pPr>
          </w:p>
        </w:tc>
      </w:tr>
      <w:tr>
        <w:trPr>
          <w:trHeight w:val="420"/>
        </w:trPr>
        <w:tc>
          <w:tcPr>
            <w:tcW w:w="2140" w:type="dxa"/>
            <w:vAlign w:val="bottom"/>
          </w:tcPr>
          <w:p>
            <w:pPr>
              <w:ind w:left="20"/>
              <w:spacing w:after="0"/>
              <w:rPr>
                <w:sz w:val="20"/>
                <w:szCs w:val="20"/>
                <w:color w:val="auto"/>
              </w:rPr>
            </w:pPr>
            <w:r>
              <w:rPr>
                <w:rFonts w:ascii="Arial" w:cs="Arial" w:eastAsia="Arial" w:hAnsi="Arial"/>
                <w:sz w:val="18"/>
                <w:szCs w:val="18"/>
                <w:color w:val="auto"/>
              </w:rPr>
              <w:t>104</w:t>
            </w:r>
          </w:p>
        </w:tc>
        <w:tc>
          <w:tcPr>
            <w:tcW w:w="170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i w:val="1"/>
                <w:iCs w:val="1"/>
                <w:color w:val="auto"/>
                <w:w w:val="99"/>
              </w:rPr>
              <w:t>2023 Proxy Statement</w:t>
            </w: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-139065</wp:posOffset>
            </wp:positionV>
            <wp:extent cx="737235" cy="14605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As a result, close to 90 percent of the year-over-year change of PEO “Compensation Actually Paid” reflects unvested equity, its value influenced by the Company’s stock performance.</w:t>
      </w:r>
    </w:p>
    <w:p>
      <w:pPr>
        <w:spacing w:after="0" w:line="149"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Year-end stock price of $ 110.30 in 2022, from $61.19 in 2021 and $41.22 in 2020, resulted in significant year-over-year change.</w:t>
      </w:r>
    </w:p>
    <w:p>
      <w:pPr>
        <w:sectPr>
          <w:pgSz w:w="11900" w:h="16838" w:orient="portrait"/>
          <w:cols w:equalWidth="0" w:num="2">
            <w:col w:w="6240" w:space="160"/>
            <w:col w:w="3320"/>
          </w:cols>
          <w:pgMar w:left="1080" w:top="94" w:right="109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760" w:right="140"/>
        <w:spacing w:after="0" w:line="253" w:lineRule="auto"/>
        <w:rPr>
          <w:sz w:val="20"/>
          <w:szCs w:val="20"/>
          <w:color w:val="auto"/>
        </w:rPr>
      </w:pPr>
      <w:r>
        <w:rPr>
          <w:rFonts w:ascii="Arial" w:cs="Arial" w:eastAsia="Arial" w:hAnsi="Arial"/>
          <w:sz w:val="18"/>
          <w:szCs w:val="18"/>
          <w:color w:val="auto"/>
        </w:rPr>
        <w:t>While the charts below suggest correlation, it is important to note that in its pay deliberations, the Compensation Committee evaluates the CEO’s performance based on progress against a broad range of plan goals and objectives and performance measures. See pages 49 to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153670</wp:posOffset>
            </wp:positionV>
            <wp:extent cx="617220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2176780</wp:posOffset>
            </wp:positionV>
            <wp:extent cx="61722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350520</wp:posOffset>
            </wp:positionV>
            <wp:extent cx="6035040" cy="156845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035040" cy="156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760" w:right="160"/>
        <w:spacing w:after="0" w:line="242" w:lineRule="auto"/>
        <w:rPr>
          <w:sz w:val="20"/>
          <w:szCs w:val="20"/>
          <w:color w:val="auto"/>
        </w:rPr>
      </w:pPr>
      <w:r>
        <w:rPr>
          <w:rFonts w:ascii="Arial" w:cs="Arial" w:eastAsia="Arial" w:hAnsi="Arial"/>
          <w:sz w:val="18"/>
          <w:szCs w:val="18"/>
          <w:color w:val="auto"/>
        </w:rPr>
        <w:t>The table below indicates certain performance measures used by the Compensation Committee to link compensation to performance. ExxonMobil operates in a capital intensive industry where decisions and management of risk play out over time horizons decades in length through cyclical commodity price environments. As a result, and particularly in a down-cycle, near-term financial performance may not be reflective of strong business and operational performance. For this reason, performance is assessed across a broad range of financial and operating metrics, over near- and long-term time horizons and taking into account the broader business environment. See pages 49 to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142875</wp:posOffset>
            </wp:positionV>
            <wp:extent cx="6172200" cy="163703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172200" cy="1637030"/>
                    </a:xfrm>
                    <a:prstGeom prst="rect">
                      <a:avLst/>
                    </a:prstGeom>
                    <a:noFill/>
                  </pic:spPr>
                </pic:pic>
              </a:graphicData>
            </a:graphic>
          </wp:anchor>
        </w:drawing>
      </w:r>
    </w:p>
    <w:p>
      <w:pPr>
        <w:spacing w:after="0" w:line="231"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Supporting Financial &amp; Operating Metrics</w:t>
      </w:r>
    </w:p>
    <w:p>
      <w:pPr>
        <w:spacing w:after="0" w:line="111" w:lineRule="exact"/>
        <w:rPr>
          <w:sz w:val="20"/>
          <w:szCs w:val="20"/>
          <w:color w:val="auto"/>
        </w:rPr>
      </w:pPr>
    </w:p>
    <w:p>
      <w:pPr>
        <w:ind w:left="90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TSR</w:t>
      </w:r>
    </w:p>
    <w:p>
      <w:pPr>
        <w:spacing w:after="0" w:line="138" w:lineRule="exact"/>
        <w:rPr>
          <w:sz w:val="20"/>
          <w:szCs w:val="20"/>
          <w:color w:val="auto"/>
        </w:rPr>
      </w:pPr>
    </w:p>
    <w:p>
      <w:pPr>
        <w:ind w:left="90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Earnings</w:t>
      </w:r>
    </w:p>
    <w:p>
      <w:pPr>
        <w:spacing w:after="0" w:line="138" w:lineRule="exact"/>
        <w:rPr>
          <w:sz w:val="20"/>
          <w:szCs w:val="20"/>
          <w:color w:val="auto"/>
        </w:rPr>
      </w:pPr>
    </w:p>
    <w:p>
      <w:pPr>
        <w:ind w:left="90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Cash Flow from Operations and Asset Sales</w:t>
      </w:r>
    </w:p>
    <w:p>
      <w:pPr>
        <w:spacing w:after="0" w:line="138" w:lineRule="exact"/>
        <w:rPr>
          <w:sz w:val="20"/>
          <w:szCs w:val="20"/>
          <w:color w:val="auto"/>
        </w:rPr>
      </w:pPr>
    </w:p>
    <w:p>
      <w:pPr>
        <w:ind w:left="90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Return on Capital Employed</w:t>
      </w:r>
    </w:p>
    <w:p>
      <w:pPr>
        <w:spacing w:after="0" w:line="138" w:lineRule="exact"/>
        <w:rPr>
          <w:sz w:val="20"/>
          <w:szCs w:val="20"/>
          <w:color w:val="auto"/>
        </w:rPr>
      </w:pPr>
    </w:p>
    <w:p>
      <w:pPr>
        <w:ind w:left="90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Safety Performance</w:t>
      </w:r>
    </w:p>
    <w:p>
      <w:pPr>
        <w:spacing w:after="0" w:line="138" w:lineRule="exact"/>
        <w:rPr>
          <w:sz w:val="20"/>
          <w:szCs w:val="20"/>
          <w:color w:val="auto"/>
        </w:rPr>
      </w:pPr>
    </w:p>
    <w:p>
      <w:pPr>
        <w:ind w:left="90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Environmental Performance</w:t>
      </w:r>
    </w:p>
    <w:p>
      <w:pPr>
        <w:spacing w:after="0" w:line="138" w:lineRule="exact"/>
        <w:rPr>
          <w:sz w:val="20"/>
          <w:szCs w:val="20"/>
          <w:color w:val="auto"/>
        </w:rPr>
      </w:pPr>
    </w:p>
    <w:p>
      <w:pPr>
        <w:ind w:left="90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Corporate-wide operated asset GHG emissions intensity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303530</wp:posOffset>
            </wp:positionV>
            <wp:extent cx="617220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60" w:right="20"/>
        <w:spacing w:after="0" w:line="253" w:lineRule="auto"/>
        <w:rPr>
          <w:sz w:val="20"/>
          <w:szCs w:val="20"/>
          <w:color w:val="auto"/>
        </w:rPr>
      </w:pPr>
      <w:r>
        <w:rPr>
          <w:rFonts w:ascii="Arial" w:cs="Arial" w:eastAsia="Arial" w:hAnsi="Arial"/>
          <w:sz w:val="18"/>
          <w:szCs w:val="18"/>
          <w:color w:val="auto"/>
        </w:rPr>
        <w:t>Information on performance measures as well as a description of Executive Compensation Program, including information on Compensation Design, Determining Compensation, other Compensation Elements, Risk and Governance can be found in the Compensation and Discussion Analysis on pages 45 to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153670</wp:posOffset>
            </wp:positionV>
            <wp:extent cx="61722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FOOTNOTES</w:t>
      </w:r>
    </w:p>
    <w:p>
      <w:pPr>
        <w:spacing w:after="0" w:line="94" w:lineRule="exact"/>
        <w:rPr>
          <w:sz w:val="20"/>
          <w:szCs w:val="20"/>
          <w:color w:val="auto"/>
        </w:rPr>
      </w:pPr>
    </w:p>
    <w:p>
      <w:pPr>
        <w:ind w:left="960" w:hanging="196"/>
        <w:spacing w:after="0"/>
        <w:tabs>
          <w:tab w:leader="none" w:pos="960" w:val="left"/>
        </w:tabs>
        <w:numPr>
          <w:ilvl w:val="0"/>
          <w:numId w:val="117"/>
        </w:numPr>
        <w:rPr>
          <w:rFonts w:ascii="Arial" w:cs="Arial" w:eastAsia="Arial" w:hAnsi="Arial"/>
          <w:sz w:val="18"/>
          <w:szCs w:val="18"/>
          <w:color w:val="auto"/>
          <w:vertAlign w:val="superscript"/>
        </w:rPr>
      </w:pPr>
      <w:r>
        <w:rPr>
          <w:rFonts w:ascii="Arial" w:cs="Arial" w:eastAsia="Arial" w:hAnsi="Arial"/>
          <w:sz w:val="14"/>
          <w:szCs w:val="14"/>
          <w:color w:val="auto"/>
        </w:rPr>
        <w:t>Principle Executive Officer (PEO): 2020-2022 D.W. Woods</w:t>
      </w:r>
    </w:p>
    <w:p>
      <w:pPr>
        <w:ind w:left="960" w:right="320" w:hanging="196"/>
        <w:spacing w:after="0" w:line="220" w:lineRule="auto"/>
        <w:tabs>
          <w:tab w:leader="none" w:pos="960" w:val="left"/>
        </w:tabs>
        <w:numPr>
          <w:ilvl w:val="0"/>
          <w:numId w:val="118"/>
        </w:numPr>
        <w:rPr>
          <w:rFonts w:ascii="Arial" w:cs="Arial" w:eastAsia="Arial" w:hAnsi="Arial"/>
          <w:sz w:val="18"/>
          <w:szCs w:val="18"/>
          <w:color w:val="auto"/>
          <w:vertAlign w:val="superscript"/>
        </w:rPr>
      </w:pPr>
      <w:r>
        <w:rPr>
          <w:rFonts w:ascii="Arial" w:cs="Arial" w:eastAsia="Arial" w:hAnsi="Arial"/>
          <w:sz w:val="14"/>
          <w:szCs w:val="14"/>
          <w:color w:val="auto"/>
        </w:rPr>
        <w:t>Named Executive Officer (NEO): In 2022, K.A. Mikells, N.A. Chapman, J.P. Williams, Jr., and K.T. McKee; in 2021, K.A. Mikells, A.P. Swiger, N.A. Chapman, J.P. Williams, Jr., and L.M. Mallon; in 2020, A.P. Swiger, N.A. Chapman, J.P. Williams, Jr., and N.W. Duffin</w:t>
      </w:r>
    </w:p>
    <w:p>
      <w:pPr>
        <w:ind w:left="960" w:hanging="196"/>
        <w:spacing w:after="0" w:line="209" w:lineRule="auto"/>
        <w:tabs>
          <w:tab w:leader="none" w:pos="960" w:val="left"/>
        </w:tabs>
        <w:numPr>
          <w:ilvl w:val="0"/>
          <w:numId w:val="119"/>
        </w:numPr>
        <w:rPr>
          <w:rFonts w:ascii="Arial" w:cs="Arial" w:eastAsia="Arial" w:hAnsi="Arial"/>
          <w:sz w:val="18"/>
          <w:szCs w:val="18"/>
          <w:color w:val="auto"/>
          <w:vertAlign w:val="superscript"/>
        </w:rPr>
      </w:pPr>
      <w:r>
        <w:rPr>
          <w:rFonts w:ascii="Arial" w:cs="Arial" w:eastAsia="Arial" w:hAnsi="Arial"/>
          <w:sz w:val="14"/>
          <w:szCs w:val="14"/>
          <w:color w:val="auto"/>
        </w:rPr>
        <w:t>CD&amp;A Performance Peer group: BP, Chevron, Shell, and TotalEnergies</w:t>
      </w:r>
    </w:p>
    <w:p>
      <w:pPr>
        <w:ind w:left="960" w:hanging="196"/>
        <w:spacing w:after="0" w:line="219" w:lineRule="auto"/>
        <w:tabs>
          <w:tab w:leader="none" w:pos="960" w:val="left"/>
        </w:tabs>
        <w:numPr>
          <w:ilvl w:val="0"/>
          <w:numId w:val="120"/>
        </w:numPr>
        <w:rPr>
          <w:rFonts w:ascii="Arial" w:cs="Arial" w:eastAsia="Arial" w:hAnsi="Arial"/>
          <w:sz w:val="18"/>
          <w:szCs w:val="18"/>
          <w:color w:val="auto"/>
          <w:vertAlign w:val="superscript"/>
        </w:rPr>
      </w:pPr>
      <w:r>
        <w:rPr>
          <w:rFonts w:ascii="Arial" w:cs="Arial" w:eastAsia="Arial" w:hAnsi="Arial"/>
          <w:sz w:val="14"/>
          <w:szCs w:val="14"/>
          <w:color w:val="auto"/>
        </w:rPr>
        <w:t>Adjustments to determine “Compensation Actually Paid”:</w:t>
      </w:r>
    </w:p>
    <w:p>
      <w:pPr>
        <w:spacing w:after="0" w:line="191"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jc w:val="right"/>
              <w:ind w:right="98"/>
              <w:spacing w:after="0"/>
              <w:rPr>
                <w:sz w:val="20"/>
                <w:szCs w:val="20"/>
                <w:color w:val="auto"/>
              </w:rPr>
            </w:pPr>
            <w:r>
              <w:rPr>
                <w:rFonts w:ascii="Arial" w:cs="Arial" w:eastAsia="Arial" w:hAnsi="Arial"/>
                <w:sz w:val="12"/>
                <w:szCs w:val="12"/>
                <w:color w:val="auto"/>
              </w:rPr>
              <w:t>PEO</w:t>
            </w:r>
            <w:r>
              <w:rPr>
                <w:rFonts w:ascii="Arial" w:cs="Arial" w:eastAsia="Arial" w:hAnsi="Arial"/>
                <w:sz w:val="14"/>
                <w:szCs w:val="14"/>
                <w:color w:val="auto"/>
                <w:vertAlign w:val="superscript"/>
              </w:rPr>
              <w:t>1</w:t>
            </w:r>
          </w:p>
        </w:tc>
        <w:tc>
          <w:tcPr>
            <w:tcW w:w="960" w:type="dxa"/>
            <w:vAlign w:val="bottom"/>
          </w:tcPr>
          <w:p>
            <w:pPr>
              <w:spacing w:after="0"/>
              <w:rPr>
                <w:sz w:val="14"/>
                <w:szCs w:val="14"/>
                <w:color w:val="auto"/>
              </w:rPr>
            </w:pPr>
          </w:p>
        </w:tc>
        <w:tc>
          <w:tcPr>
            <w:tcW w:w="2800" w:type="dxa"/>
            <w:vAlign w:val="bottom"/>
            <w:gridSpan w:val="3"/>
          </w:tcPr>
          <w:p>
            <w:pPr>
              <w:jc w:val="right"/>
              <w:ind w:right="638"/>
              <w:spacing w:after="0"/>
              <w:rPr>
                <w:sz w:val="20"/>
                <w:szCs w:val="20"/>
                <w:color w:val="auto"/>
              </w:rPr>
            </w:pPr>
            <w:r>
              <w:rPr>
                <w:rFonts w:ascii="Arial" w:cs="Arial" w:eastAsia="Arial" w:hAnsi="Arial"/>
                <w:sz w:val="12"/>
                <w:szCs w:val="12"/>
                <w:color w:val="auto"/>
              </w:rPr>
              <w:t>Average Non-PEO NEOs</w:t>
            </w:r>
            <w:r>
              <w:rPr>
                <w:rFonts w:ascii="Arial" w:cs="Arial" w:eastAsia="Arial" w:hAnsi="Arial"/>
                <w:sz w:val="14"/>
                <w:szCs w:val="14"/>
                <w:color w:val="auto"/>
                <w:vertAlign w:val="superscript"/>
              </w:rPr>
              <w:t>2</w:t>
            </w:r>
          </w:p>
        </w:tc>
      </w:tr>
      <w:tr>
        <w:trPr>
          <w:trHeight w:val="163"/>
        </w:trPr>
        <w:tc>
          <w:tcPr>
            <w:tcW w:w="3620" w:type="dxa"/>
            <w:vAlign w:val="bottom"/>
            <w:tcBorders>
              <w:bottom w:val="single" w:sz="8" w:color="DBDBDB"/>
            </w:tcBorders>
          </w:tcPr>
          <w:p>
            <w:pPr>
              <w:spacing w:after="0"/>
              <w:rPr>
                <w:sz w:val="14"/>
                <w:szCs w:val="14"/>
                <w:color w:val="auto"/>
              </w:rPr>
            </w:pPr>
          </w:p>
        </w:tc>
        <w:tc>
          <w:tcPr>
            <w:tcW w:w="640" w:type="dxa"/>
            <w:vAlign w:val="bottom"/>
            <w:tcBorders>
              <w:bottom w:val="single" w:sz="8" w:color="DBDBDB"/>
            </w:tcBorders>
          </w:tcPr>
          <w:p>
            <w:pPr>
              <w:jc w:val="center"/>
              <w:ind w:left="318"/>
              <w:spacing w:after="0"/>
              <w:rPr>
                <w:sz w:val="20"/>
                <w:szCs w:val="20"/>
                <w:color w:val="auto"/>
              </w:rPr>
            </w:pPr>
            <w:r>
              <w:rPr>
                <w:rFonts w:ascii="Arial" w:cs="Arial" w:eastAsia="Arial" w:hAnsi="Arial"/>
                <w:sz w:val="12"/>
                <w:szCs w:val="12"/>
                <w:color w:val="auto"/>
                <w:w w:val="97"/>
              </w:rPr>
              <w:t>+/-</w:t>
            </w:r>
          </w:p>
        </w:tc>
        <w:tc>
          <w:tcPr>
            <w:tcW w:w="800" w:type="dxa"/>
            <w:vAlign w:val="bottom"/>
            <w:tcBorders>
              <w:bottom w:val="single" w:sz="8" w:color="DBDBDB"/>
            </w:tcBorders>
          </w:tcPr>
          <w:p>
            <w:pPr>
              <w:jc w:val="right"/>
              <w:ind w:right="38"/>
              <w:spacing w:after="0"/>
              <w:rPr>
                <w:sz w:val="20"/>
                <w:szCs w:val="20"/>
                <w:color w:val="auto"/>
              </w:rPr>
            </w:pPr>
            <w:r>
              <w:rPr>
                <w:rFonts w:ascii="Arial" w:cs="Arial" w:eastAsia="Arial" w:hAnsi="Arial"/>
                <w:sz w:val="12"/>
                <w:szCs w:val="12"/>
                <w:color w:val="auto"/>
              </w:rPr>
              <w:t>2022</w:t>
            </w:r>
          </w:p>
        </w:tc>
        <w:tc>
          <w:tcPr>
            <w:tcW w:w="900" w:type="dxa"/>
            <w:vAlign w:val="bottom"/>
            <w:tcBorders>
              <w:bottom w:val="single" w:sz="8" w:color="DBDBDB"/>
            </w:tcBorders>
          </w:tcPr>
          <w:p>
            <w:pPr>
              <w:jc w:val="right"/>
              <w:ind w:right="98"/>
              <w:spacing w:after="0"/>
              <w:rPr>
                <w:sz w:val="20"/>
                <w:szCs w:val="20"/>
                <w:color w:val="auto"/>
              </w:rPr>
            </w:pPr>
            <w:r>
              <w:rPr>
                <w:rFonts w:ascii="Arial" w:cs="Arial" w:eastAsia="Arial" w:hAnsi="Arial"/>
                <w:sz w:val="12"/>
                <w:szCs w:val="12"/>
                <w:color w:val="auto"/>
              </w:rPr>
              <w:t>2021</w:t>
            </w:r>
          </w:p>
        </w:tc>
        <w:tc>
          <w:tcPr>
            <w:tcW w:w="960" w:type="dxa"/>
            <w:vAlign w:val="bottom"/>
            <w:tcBorders>
              <w:bottom w:val="single" w:sz="8" w:color="DBDBDB"/>
            </w:tcBorders>
          </w:tcPr>
          <w:p>
            <w:pPr>
              <w:jc w:val="right"/>
              <w:ind w:right="98"/>
              <w:spacing w:after="0"/>
              <w:rPr>
                <w:sz w:val="20"/>
                <w:szCs w:val="20"/>
                <w:color w:val="auto"/>
              </w:rPr>
            </w:pPr>
            <w:r>
              <w:rPr>
                <w:rFonts w:ascii="Arial" w:cs="Arial" w:eastAsia="Arial" w:hAnsi="Arial"/>
                <w:sz w:val="12"/>
                <w:szCs w:val="12"/>
                <w:color w:val="auto"/>
              </w:rPr>
              <w:t>2020</w:t>
            </w:r>
          </w:p>
        </w:tc>
        <w:tc>
          <w:tcPr>
            <w:tcW w:w="940" w:type="dxa"/>
            <w:vAlign w:val="bottom"/>
            <w:tcBorders>
              <w:bottom w:val="single" w:sz="8" w:color="DBDBDB"/>
            </w:tcBorders>
          </w:tcPr>
          <w:p>
            <w:pPr>
              <w:jc w:val="right"/>
              <w:ind w:right="98"/>
              <w:spacing w:after="0"/>
              <w:rPr>
                <w:sz w:val="20"/>
                <w:szCs w:val="20"/>
                <w:color w:val="auto"/>
              </w:rPr>
            </w:pPr>
            <w:r>
              <w:rPr>
                <w:rFonts w:ascii="Arial" w:cs="Arial" w:eastAsia="Arial" w:hAnsi="Arial"/>
                <w:sz w:val="12"/>
                <w:szCs w:val="12"/>
                <w:color w:val="auto"/>
              </w:rPr>
              <w:t>2022</w:t>
            </w:r>
          </w:p>
        </w:tc>
        <w:tc>
          <w:tcPr>
            <w:tcW w:w="920" w:type="dxa"/>
            <w:vAlign w:val="bottom"/>
            <w:tcBorders>
              <w:bottom w:val="single" w:sz="8" w:color="DBDBDB"/>
            </w:tcBorders>
          </w:tcPr>
          <w:p>
            <w:pPr>
              <w:jc w:val="right"/>
              <w:ind w:right="158"/>
              <w:spacing w:after="0"/>
              <w:rPr>
                <w:sz w:val="20"/>
                <w:szCs w:val="20"/>
                <w:color w:val="auto"/>
              </w:rPr>
            </w:pPr>
            <w:r>
              <w:rPr>
                <w:rFonts w:ascii="Arial" w:cs="Arial" w:eastAsia="Arial" w:hAnsi="Arial"/>
                <w:sz w:val="12"/>
                <w:szCs w:val="12"/>
                <w:color w:val="auto"/>
              </w:rPr>
              <w:t>2021</w:t>
            </w:r>
          </w:p>
        </w:tc>
        <w:tc>
          <w:tcPr>
            <w:tcW w:w="940" w:type="dxa"/>
            <w:vAlign w:val="bottom"/>
            <w:tcBorders>
              <w:bottom w:val="single" w:sz="8" w:color="DBDBDB"/>
            </w:tcBorders>
          </w:tcPr>
          <w:p>
            <w:pPr>
              <w:jc w:val="right"/>
              <w:spacing w:after="0"/>
              <w:rPr>
                <w:sz w:val="20"/>
                <w:szCs w:val="20"/>
                <w:color w:val="auto"/>
              </w:rPr>
            </w:pPr>
            <w:r>
              <w:rPr>
                <w:rFonts w:ascii="Arial" w:cs="Arial" w:eastAsia="Arial" w:hAnsi="Arial"/>
                <w:sz w:val="12"/>
                <w:szCs w:val="12"/>
                <w:color w:val="auto"/>
              </w:rPr>
              <w:t>2020</w:t>
            </w:r>
          </w:p>
        </w:tc>
      </w:tr>
      <w:tr>
        <w:trPr>
          <w:trHeight w:val="166"/>
        </w:trPr>
        <w:tc>
          <w:tcPr>
            <w:tcW w:w="3620" w:type="dxa"/>
            <w:vAlign w:val="bottom"/>
          </w:tcPr>
          <w:p>
            <w:pPr>
              <w:ind w:left="20"/>
              <w:spacing w:after="0"/>
              <w:rPr>
                <w:sz w:val="20"/>
                <w:szCs w:val="20"/>
                <w:color w:val="auto"/>
              </w:rPr>
            </w:pPr>
            <w:r>
              <w:rPr>
                <w:rFonts w:ascii="Arial" w:cs="Arial" w:eastAsia="Arial" w:hAnsi="Arial"/>
                <w:sz w:val="13"/>
                <w:szCs w:val="13"/>
                <w:color w:val="auto"/>
              </w:rPr>
              <w:t>SCT grant value of current year long-term awards</w:t>
            </w:r>
          </w:p>
        </w:tc>
        <w:tc>
          <w:tcPr>
            <w:tcW w:w="640" w:type="dxa"/>
            <w:vAlign w:val="bottom"/>
          </w:tcPr>
          <w:p>
            <w:pPr>
              <w:jc w:val="center"/>
              <w:ind w:left="318"/>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38"/>
              <w:spacing w:after="0"/>
              <w:rPr>
                <w:sz w:val="20"/>
                <w:szCs w:val="20"/>
                <w:color w:val="auto"/>
              </w:rPr>
            </w:pPr>
            <w:r>
              <w:rPr>
                <w:rFonts w:ascii="Arial" w:cs="Arial" w:eastAsia="Arial" w:hAnsi="Arial"/>
                <w:sz w:val="13"/>
                <w:szCs w:val="13"/>
                <w:color w:val="auto"/>
              </w:rPr>
              <w:t>24,939,000</w:t>
            </w:r>
          </w:p>
        </w:tc>
        <w:tc>
          <w:tcPr>
            <w:tcW w:w="900" w:type="dxa"/>
            <w:vAlign w:val="bottom"/>
          </w:tcPr>
          <w:p>
            <w:pPr>
              <w:jc w:val="right"/>
              <w:ind w:right="98"/>
              <w:spacing w:after="0"/>
              <w:rPr>
                <w:sz w:val="20"/>
                <w:szCs w:val="20"/>
                <w:color w:val="auto"/>
              </w:rPr>
            </w:pPr>
            <w:r>
              <w:rPr>
                <w:rFonts w:ascii="Arial" w:cs="Arial" w:eastAsia="Arial" w:hAnsi="Arial"/>
                <w:sz w:val="13"/>
                <w:szCs w:val="13"/>
                <w:color w:val="auto"/>
              </w:rPr>
              <w:t>13,505,225</w:t>
            </w:r>
          </w:p>
        </w:tc>
        <w:tc>
          <w:tcPr>
            <w:tcW w:w="960" w:type="dxa"/>
            <w:vAlign w:val="bottom"/>
          </w:tcPr>
          <w:p>
            <w:pPr>
              <w:jc w:val="right"/>
              <w:ind w:right="98"/>
              <w:spacing w:after="0"/>
              <w:rPr>
                <w:sz w:val="20"/>
                <w:szCs w:val="20"/>
                <w:color w:val="auto"/>
              </w:rPr>
            </w:pPr>
            <w:r>
              <w:rPr>
                <w:rFonts w:ascii="Arial" w:cs="Arial" w:eastAsia="Arial" w:hAnsi="Arial"/>
                <w:sz w:val="13"/>
                <w:szCs w:val="13"/>
                <w:color w:val="auto"/>
              </w:rPr>
              <w:t>8,434,725</w:t>
            </w:r>
          </w:p>
        </w:tc>
        <w:tc>
          <w:tcPr>
            <w:tcW w:w="940" w:type="dxa"/>
            <w:vAlign w:val="bottom"/>
          </w:tcPr>
          <w:p>
            <w:pPr>
              <w:jc w:val="right"/>
              <w:ind w:right="98"/>
              <w:spacing w:after="0"/>
              <w:rPr>
                <w:sz w:val="20"/>
                <w:szCs w:val="20"/>
                <w:color w:val="auto"/>
              </w:rPr>
            </w:pPr>
            <w:r>
              <w:rPr>
                <w:rFonts w:ascii="Arial" w:cs="Arial" w:eastAsia="Arial" w:hAnsi="Arial"/>
                <w:sz w:val="13"/>
                <w:szCs w:val="13"/>
                <w:color w:val="auto"/>
              </w:rPr>
              <w:t>12,594,195</w:t>
            </w:r>
          </w:p>
        </w:tc>
        <w:tc>
          <w:tcPr>
            <w:tcW w:w="920" w:type="dxa"/>
            <w:vAlign w:val="bottom"/>
          </w:tcPr>
          <w:p>
            <w:pPr>
              <w:jc w:val="right"/>
              <w:ind w:right="158"/>
              <w:spacing w:after="0"/>
              <w:rPr>
                <w:sz w:val="20"/>
                <w:szCs w:val="20"/>
                <w:color w:val="auto"/>
              </w:rPr>
            </w:pPr>
            <w:r>
              <w:rPr>
                <w:rFonts w:ascii="Arial" w:cs="Arial" w:eastAsia="Arial" w:hAnsi="Arial"/>
                <w:sz w:val="13"/>
                <w:szCs w:val="13"/>
                <w:color w:val="auto"/>
              </w:rPr>
              <w:t>5,892,181</w:t>
            </w:r>
          </w:p>
        </w:tc>
        <w:tc>
          <w:tcPr>
            <w:tcW w:w="940" w:type="dxa"/>
            <w:vAlign w:val="bottom"/>
          </w:tcPr>
          <w:p>
            <w:pPr>
              <w:jc w:val="right"/>
              <w:spacing w:after="0"/>
              <w:rPr>
                <w:sz w:val="20"/>
                <w:szCs w:val="20"/>
                <w:color w:val="auto"/>
              </w:rPr>
            </w:pPr>
            <w:r>
              <w:rPr>
                <w:rFonts w:ascii="Arial" w:cs="Arial" w:eastAsia="Arial" w:hAnsi="Arial"/>
                <w:sz w:val="13"/>
                <w:szCs w:val="13"/>
                <w:color w:val="auto"/>
              </w:rPr>
              <w:t>3,594,016</w:t>
            </w:r>
          </w:p>
        </w:tc>
      </w:tr>
      <w:tr>
        <w:trPr>
          <w:trHeight w:val="185"/>
        </w:trPr>
        <w:tc>
          <w:tcPr>
            <w:tcW w:w="3620" w:type="dxa"/>
            <w:vAlign w:val="bottom"/>
          </w:tcPr>
          <w:p>
            <w:pPr>
              <w:ind w:left="20"/>
              <w:spacing w:after="0"/>
              <w:rPr>
                <w:sz w:val="20"/>
                <w:szCs w:val="20"/>
                <w:color w:val="auto"/>
              </w:rPr>
            </w:pPr>
            <w:r>
              <w:rPr>
                <w:rFonts w:ascii="Arial" w:cs="Arial" w:eastAsia="Arial" w:hAnsi="Arial"/>
                <w:sz w:val="13"/>
                <w:szCs w:val="13"/>
                <w:color w:val="auto"/>
              </w:rPr>
              <w:t>Year-end value of current long-term awards</w:t>
            </w:r>
          </w:p>
        </w:tc>
        <w:tc>
          <w:tcPr>
            <w:tcW w:w="640" w:type="dxa"/>
            <w:vAlign w:val="bottom"/>
          </w:tcPr>
          <w:p>
            <w:pPr>
              <w:jc w:val="center"/>
              <w:ind w:left="318"/>
              <w:spacing w:after="0"/>
              <w:rPr>
                <w:sz w:val="20"/>
                <w:szCs w:val="20"/>
                <w:color w:val="auto"/>
              </w:rPr>
            </w:pPr>
            <w:r>
              <w:rPr>
                <w:rFonts w:ascii="Arial" w:cs="Arial" w:eastAsia="Arial" w:hAnsi="Arial"/>
                <w:sz w:val="13"/>
                <w:szCs w:val="13"/>
                <w:color w:val="auto"/>
                <w:w w:val="78"/>
              </w:rPr>
              <w:t>+</w:t>
            </w:r>
          </w:p>
        </w:tc>
        <w:tc>
          <w:tcPr>
            <w:tcW w:w="800" w:type="dxa"/>
            <w:vAlign w:val="bottom"/>
          </w:tcPr>
          <w:p>
            <w:pPr>
              <w:jc w:val="right"/>
              <w:ind w:right="38"/>
              <w:spacing w:after="0"/>
              <w:rPr>
                <w:sz w:val="20"/>
                <w:szCs w:val="20"/>
                <w:color w:val="auto"/>
              </w:rPr>
            </w:pPr>
            <w:r>
              <w:rPr>
                <w:rFonts w:ascii="Arial" w:cs="Arial" w:eastAsia="Arial" w:hAnsi="Arial"/>
                <w:sz w:val="13"/>
                <w:szCs w:val="13"/>
                <w:color w:val="auto"/>
              </w:rPr>
              <w:t>24,817,500</w:t>
            </w:r>
          </w:p>
        </w:tc>
        <w:tc>
          <w:tcPr>
            <w:tcW w:w="900" w:type="dxa"/>
            <w:vAlign w:val="bottom"/>
          </w:tcPr>
          <w:p>
            <w:pPr>
              <w:jc w:val="right"/>
              <w:ind w:right="98"/>
              <w:spacing w:after="0"/>
              <w:rPr>
                <w:sz w:val="20"/>
                <w:szCs w:val="20"/>
                <w:color w:val="auto"/>
              </w:rPr>
            </w:pPr>
            <w:r>
              <w:rPr>
                <w:rFonts w:ascii="Arial" w:cs="Arial" w:eastAsia="Arial" w:hAnsi="Arial"/>
                <w:sz w:val="13"/>
                <w:szCs w:val="13"/>
                <w:color w:val="auto"/>
              </w:rPr>
              <w:t>13,155,850</w:t>
            </w:r>
          </w:p>
        </w:tc>
        <w:tc>
          <w:tcPr>
            <w:tcW w:w="960" w:type="dxa"/>
            <w:vAlign w:val="bottom"/>
          </w:tcPr>
          <w:p>
            <w:pPr>
              <w:jc w:val="right"/>
              <w:ind w:right="98"/>
              <w:spacing w:after="0"/>
              <w:rPr>
                <w:sz w:val="20"/>
                <w:szCs w:val="20"/>
                <w:color w:val="auto"/>
              </w:rPr>
            </w:pPr>
            <w:r>
              <w:rPr>
                <w:rFonts w:ascii="Arial" w:cs="Arial" w:eastAsia="Arial" w:hAnsi="Arial"/>
                <w:sz w:val="13"/>
                <w:szCs w:val="13"/>
                <w:color w:val="auto"/>
              </w:rPr>
              <w:t>8,450,100</w:t>
            </w:r>
          </w:p>
        </w:tc>
        <w:tc>
          <w:tcPr>
            <w:tcW w:w="940" w:type="dxa"/>
            <w:vAlign w:val="bottom"/>
          </w:tcPr>
          <w:p>
            <w:pPr>
              <w:jc w:val="right"/>
              <w:ind w:right="98"/>
              <w:spacing w:after="0"/>
              <w:rPr>
                <w:sz w:val="20"/>
                <w:szCs w:val="20"/>
                <w:color w:val="auto"/>
              </w:rPr>
            </w:pPr>
            <w:r>
              <w:rPr>
                <w:rFonts w:ascii="Arial" w:cs="Arial" w:eastAsia="Arial" w:hAnsi="Arial"/>
                <w:sz w:val="13"/>
                <w:szCs w:val="13"/>
                <w:color w:val="auto"/>
              </w:rPr>
              <w:t>12,532,838</w:t>
            </w:r>
          </w:p>
        </w:tc>
        <w:tc>
          <w:tcPr>
            <w:tcW w:w="920" w:type="dxa"/>
            <w:vAlign w:val="bottom"/>
          </w:tcPr>
          <w:p>
            <w:pPr>
              <w:jc w:val="right"/>
              <w:ind w:right="158"/>
              <w:spacing w:after="0"/>
              <w:rPr>
                <w:sz w:val="20"/>
                <w:szCs w:val="20"/>
                <w:color w:val="auto"/>
              </w:rPr>
            </w:pPr>
            <w:r>
              <w:rPr>
                <w:rFonts w:ascii="Arial" w:cs="Arial" w:eastAsia="Arial" w:hAnsi="Arial"/>
                <w:sz w:val="13"/>
                <w:szCs w:val="13"/>
                <w:color w:val="auto"/>
              </w:rPr>
              <w:t>5,827,736</w:t>
            </w:r>
          </w:p>
        </w:tc>
        <w:tc>
          <w:tcPr>
            <w:tcW w:w="940" w:type="dxa"/>
            <w:vAlign w:val="bottom"/>
          </w:tcPr>
          <w:p>
            <w:pPr>
              <w:jc w:val="right"/>
              <w:spacing w:after="0"/>
              <w:rPr>
                <w:sz w:val="20"/>
                <w:szCs w:val="20"/>
                <w:color w:val="auto"/>
              </w:rPr>
            </w:pPr>
            <w:r>
              <w:rPr>
                <w:rFonts w:ascii="Arial" w:cs="Arial" w:eastAsia="Arial" w:hAnsi="Arial"/>
                <w:sz w:val="13"/>
                <w:szCs w:val="13"/>
                <w:color w:val="auto"/>
              </w:rPr>
              <w:t>3,600,567</w:t>
            </w:r>
          </w:p>
        </w:tc>
      </w:tr>
      <w:tr>
        <w:trPr>
          <w:trHeight w:val="189"/>
        </w:trPr>
        <w:tc>
          <w:tcPr>
            <w:tcW w:w="3620" w:type="dxa"/>
            <w:vAlign w:val="bottom"/>
          </w:tcPr>
          <w:p>
            <w:pPr>
              <w:ind w:left="20"/>
              <w:spacing w:after="0"/>
              <w:rPr>
                <w:sz w:val="20"/>
                <w:szCs w:val="20"/>
                <w:color w:val="auto"/>
              </w:rPr>
            </w:pPr>
            <w:r>
              <w:rPr>
                <w:rFonts w:ascii="Arial" w:cs="Arial" w:eastAsia="Arial" w:hAnsi="Arial"/>
                <w:sz w:val="13"/>
                <w:szCs w:val="13"/>
                <w:color w:val="auto"/>
              </w:rPr>
              <w:t>Year-over-year change in “fair value” of unvested awards</w:t>
            </w:r>
          </w:p>
        </w:tc>
        <w:tc>
          <w:tcPr>
            <w:tcW w:w="640" w:type="dxa"/>
            <w:vAlign w:val="bottom"/>
          </w:tcPr>
          <w:p>
            <w:pPr>
              <w:jc w:val="center"/>
              <w:ind w:left="318"/>
              <w:spacing w:after="0"/>
              <w:rPr>
                <w:sz w:val="20"/>
                <w:szCs w:val="20"/>
                <w:color w:val="auto"/>
              </w:rPr>
            </w:pPr>
            <w:r>
              <w:rPr>
                <w:rFonts w:ascii="Arial" w:cs="Arial" w:eastAsia="Arial" w:hAnsi="Arial"/>
                <w:sz w:val="13"/>
                <w:szCs w:val="13"/>
                <w:color w:val="auto"/>
                <w:w w:val="78"/>
              </w:rPr>
              <w:t>+</w:t>
            </w:r>
          </w:p>
        </w:tc>
        <w:tc>
          <w:tcPr>
            <w:tcW w:w="800" w:type="dxa"/>
            <w:vAlign w:val="bottom"/>
          </w:tcPr>
          <w:p>
            <w:pPr>
              <w:jc w:val="right"/>
              <w:ind w:right="38"/>
              <w:spacing w:after="0"/>
              <w:rPr>
                <w:sz w:val="20"/>
                <w:szCs w:val="20"/>
                <w:color w:val="auto"/>
              </w:rPr>
            </w:pPr>
            <w:r>
              <w:rPr>
                <w:rFonts w:ascii="Arial" w:cs="Arial" w:eastAsia="Arial" w:hAnsi="Arial"/>
                <w:sz w:val="13"/>
                <w:szCs w:val="13"/>
                <w:color w:val="auto"/>
              </w:rPr>
              <w:t>48,547,691</w:t>
            </w:r>
          </w:p>
        </w:tc>
        <w:tc>
          <w:tcPr>
            <w:tcW w:w="900" w:type="dxa"/>
            <w:vAlign w:val="bottom"/>
          </w:tcPr>
          <w:p>
            <w:pPr>
              <w:jc w:val="right"/>
              <w:ind w:right="98"/>
              <w:spacing w:after="0"/>
              <w:rPr>
                <w:sz w:val="20"/>
                <w:szCs w:val="20"/>
                <w:color w:val="auto"/>
              </w:rPr>
            </w:pPr>
            <w:r>
              <w:rPr>
                <w:rFonts w:ascii="Arial" w:cs="Arial" w:eastAsia="Arial" w:hAnsi="Arial"/>
                <w:sz w:val="13"/>
                <w:szCs w:val="13"/>
                <w:color w:val="auto"/>
              </w:rPr>
              <w:t>16,765,814</w:t>
            </w:r>
          </w:p>
        </w:tc>
        <w:tc>
          <w:tcPr>
            <w:tcW w:w="960" w:type="dxa"/>
            <w:vAlign w:val="bottom"/>
          </w:tcPr>
          <w:p>
            <w:pPr>
              <w:jc w:val="right"/>
              <w:ind w:right="98"/>
              <w:spacing w:after="0"/>
              <w:rPr>
                <w:sz w:val="20"/>
                <w:szCs w:val="20"/>
                <w:color w:val="auto"/>
              </w:rPr>
            </w:pPr>
            <w:r>
              <w:rPr>
                <w:rFonts w:ascii="Arial" w:cs="Arial" w:eastAsia="Arial" w:hAnsi="Arial"/>
                <w:sz w:val="13"/>
                <w:szCs w:val="13"/>
                <w:color w:val="auto"/>
              </w:rPr>
              <w:t>-20,079,108</w:t>
            </w:r>
          </w:p>
        </w:tc>
        <w:tc>
          <w:tcPr>
            <w:tcW w:w="940" w:type="dxa"/>
            <w:vAlign w:val="bottom"/>
          </w:tcPr>
          <w:p>
            <w:pPr>
              <w:jc w:val="right"/>
              <w:ind w:right="98"/>
              <w:spacing w:after="0"/>
              <w:rPr>
                <w:sz w:val="20"/>
                <w:szCs w:val="20"/>
                <w:color w:val="auto"/>
              </w:rPr>
            </w:pPr>
            <w:r>
              <w:rPr>
                <w:rFonts w:ascii="Arial" w:cs="Arial" w:eastAsia="Arial" w:hAnsi="Arial"/>
                <w:sz w:val="13"/>
                <w:szCs w:val="13"/>
                <w:color w:val="auto"/>
              </w:rPr>
              <w:t>17,672,847</w:t>
            </w:r>
          </w:p>
        </w:tc>
        <w:tc>
          <w:tcPr>
            <w:tcW w:w="920" w:type="dxa"/>
            <w:vAlign w:val="bottom"/>
          </w:tcPr>
          <w:p>
            <w:pPr>
              <w:jc w:val="right"/>
              <w:ind w:right="158"/>
              <w:spacing w:after="0"/>
              <w:rPr>
                <w:sz w:val="20"/>
                <w:szCs w:val="20"/>
                <w:color w:val="auto"/>
              </w:rPr>
            </w:pPr>
            <w:r>
              <w:rPr>
                <w:rFonts w:ascii="Arial" w:cs="Arial" w:eastAsia="Arial" w:hAnsi="Arial"/>
                <w:sz w:val="13"/>
                <w:szCs w:val="13"/>
                <w:color w:val="auto"/>
              </w:rPr>
              <w:t>7,865,983</w:t>
            </w:r>
          </w:p>
        </w:tc>
        <w:tc>
          <w:tcPr>
            <w:tcW w:w="940" w:type="dxa"/>
            <w:vAlign w:val="bottom"/>
          </w:tcPr>
          <w:p>
            <w:pPr>
              <w:jc w:val="right"/>
              <w:spacing w:after="0"/>
              <w:rPr>
                <w:sz w:val="20"/>
                <w:szCs w:val="20"/>
                <w:color w:val="auto"/>
              </w:rPr>
            </w:pPr>
            <w:r>
              <w:rPr>
                <w:rFonts w:ascii="Arial" w:cs="Arial" w:eastAsia="Arial" w:hAnsi="Arial"/>
                <w:sz w:val="13"/>
                <w:szCs w:val="13"/>
                <w:color w:val="auto"/>
              </w:rPr>
              <w:t>-15,015,063</w:t>
            </w:r>
          </w:p>
        </w:tc>
      </w:tr>
      <w:tr>
        <w:trPr>
          <w:trHeight w:val="189"/>
        </w:trPr>
        <w:tc>
          <w:tcPr>
            <w:tcW w:w="3620" w:type="dxa"/>
            <w:vAlign w:val="bottom"/>
          </w:tcPr>
          <w:p>
            <w:pPr>
              <w:ind w:left="20"/>
              <w:spacing w:after="0"/>
              <w:rPr>
                <w:sz w:val="20"/>
                <w:szCs w:val="20"/>
                <w:color w:val="auto"/>
              </w:rPr>
            </w:pPr>
            <w:r>
              <w:rPr>
                <w:rFonts w:ascii="Arial" w:cs="Arial" w:eastAsia="Arial" w:hAnsi="Arial"/>
                <w:sz w:val="13"/>
                <w:szCs w:val="13"/>
                <w:color w:val="auto"/>
              </w:rPr>
              <w:t>Value of vested awards received</w:t>
            </w:r>
          </w:p>
        </w:tc>
        <w:tc>
          <w:tcPr>
            <w:tcW w:w="640" w:type="dxa"/>
            <w:vAlign w:val="bottom"/>
          </w:tcPr>
          <w:p>
            <w:pPr>
              <w:jc w:val="center"/>
              <w:ind w:left="318"/>
              <w:spacing w:after="0"/>
              <w:rPr>
                <w:sz w:val="20"/>
                <w:szCs w:val="20"/>
                <w:color w:val="auto"/>
              </w:rPr>
            </w:pPr>
            <w:r>
              <w:rPr>
                <w:rFonts w:ascii="Arial" w:cs="Arial" w:eastAsia="Arial" w:hAnsi="Arial"/>
                <w:sz w:val="13"/>
                <w:szCs w:val="13"/>
                <w:color w:val="auto"/>
                <w:w w:val="78"/>
              </w:rPr>
              <w:t>+</w:t>
            </w:r>
          </w:p>
        </w:tc>
        <w:tc>
          <w:tcPr>
            <w:tcW w:w="800" w:type="dxa"/>
            <w:vAlign w:val="bottom"/>
          </w:tcPr>
          <w:p>
            <w:pPr>
              <w:jc w:val="right"/>
              <w:ind w:right="38"/>
              <w:spacing w:after="0"/>
              <w:rPr>
                <w:sz w:val="20"/>
                <w:szCs w:val="20"/>
                <w:color w:val="auto"/>
              </w:rPr>
            </w:pPr>
            <w:r>
              <w:rPr>
                <w:rFonts w:ascii="Arial" w:cs="Arial" w:eastAsia="Arial" w:hAnsi="Arial"/>
                <w:sz w:val="13"/>
                <w:szCs w:val="13"/>
                <w:color w:val="auto"/>
              </w:rPr>
              <w:t>3,273,600</w:t>
            </w:r>
          </w:p>
        </w:tc>
        <w:tc>
          <w:tcPr>
            <w:tcW w:w="900" w:type="dxa"/>
            <w:vAlign w:val="bottom"/>
          </w:tcPr>
          <w:p>
            <w:pPr>
              <w:jc w:val="right"/>
              <w:ind w:right="98"/>
              <w:spacing w:after="0"/>
              <w:rPr>
                <w:sz w:val="20"/>
                <w:szCs w:val="20"/>
                <w:color w:val="auto"/>
              </w:rPr>
            </w:pPr>
            <w:r>
              <w:rPr>
                <w:rFonts w:ascii="Arial" w:cs="Arial" w:eastAsia="Arial" w:hAnsi="Arial"/>
                <w:sz w:val="13"/>
                <w:szCs w:val="13"/>
                <w:color w:val="auto"/>
              </w:rPr>
              <w:t>1,314,686</w:t>
            </w:r>
          </w:p>
        </w:tc>
        <w:tc>
          <w:tcPr>
            <w:tcW w:w="960" w:type="dxa"/>
            <w:vAlign w:val="bottom"/>
          </w:tcPr>
          <w:p>
            <w:pPr>
              <w:jc w:val="right"/>
              <w:ind w:right="98"/>
              <w:spacing w:after="0"/>
              <w:rPr>
                <w:sz w:val="20"/>
                <w:szCs w:val="20"/>
                <w:color w:val="auto"/>
              </w:rPr>
            </w:pPr>
            <w:r>
              <w:rPr>
                <w:rFonts w:ascii="Arial" w:cs="Arial" w:eastAsia="Arial" w:hAnsi="Arial"/>
                <w:sz w:val="13"/>
                <w:szCs w:val="13"/>
                <w:color w:val="auto"/>
              </w:rPr>
              <w:t>-1,274,817</w:t>
            </w:r>
          </w:p>
        </w:tc>
        <w:tc>
          <w:tcPr>
            <w:tcW w:w="940" w:type="dxa"/>
            <w:vAlign w:val="bottom"/>
          </w:tcPr>
          <w:p>
            <w:pPr>
              <w:jc w:val="right"/>
              <w:ind w:right="98"/>
              <w:spacing w:after="0"/>
              <w:rPr>
                <w:sz w:val="20"/>
                <w:szCs w:val="20"/>
                <w:color w:val="auto"/>
              </w:rPr>
            </w:pPr>
            <w:r>
              <w:rPr>
                <w:rFonts w:ascii="Arial" w:cs="Arial" w:eastAsia="Arial" w:hAnsi="Arial"/>
                <w:sz w:val="13"/>
                <w:szCs w:val="13"/>
                <w:color w:val="auto"/>
              </w:rPr>
              <w:t>751,602</w:t>
            </w:r>
          </w:p>
        </w:tc>
        <w:tc>
          <w:tcPr>
            <w:tcW w:w="920" w:type="dxa"/>
            <w:vAlign w:val="bottom"/>
          </w:tcPr>
          <w:p>
            <w:pPr>
              <w:jc w:val="right"/>
              <w:ind w:right="158"/>
              <w:spacing w:after="0"/>
              <w:rPr>
                <w:sz w:val="20"/>
                <w:szCs w:val="20"/>
                <w:color w:val="auto"/>
              </w:rPr>
            </w:pPr>
            <w:r>
              <w:rPr>
                <w:rFonts w:ascii="Arial" w:cs="Arial" w:eastAsia="Arial" w:hAnsi="Arial"/>
                <w:sz w:val="13"/>
                <w:szCs w:val="13"/>
                <w:color w:val="auto"/>
              </w:rPr>
              <w:t>486,992</w:t>
            </w:r>
          </w:p>
        </w:tc>
        <w:tc>
          <w:tcPr>
            <w:tcW w:w="940" w:type="dxa"/>
            <w:vAlign w:val="bottom"/>
          </w:tcPr>
          <w:p>
            <w:pPr>
              <w:jc w:val="right"/>
              <w:spacing w:after="0"/>
              <w:rPr>
                <w:sz w:val="20"/>
                <w:szCs w:val="20"/>
                <w:color w:val="auto"/>
              </w:rPr>
            </w:pPr>
            <w:r>
              <w:rPr>
                <w:rFonts w:ascii="Arial" w:cs="Arial" w:eastAsia="Arial" w:hAnsi="Arial"/>
                <w:sz w:val="13"/>
                <w:szCs w:val="13"/>
                <w:color w:val="auto"/>
              </w:rPr>
              <w:t>-1,009,384</w:t>
            </w:r>
          </w:p>
        </w:tc>
      </w:tr>
      <w:tr>
        <w:trPr>
          <w:trHeight w:val="189"/>
        </w:trPr>
        <w:tc>
          <w:tcPr>
            <w:tcW w:w="3620" w:type="dxa"/>
            <w:vAlign w:val="bottom"/>
          </w:tcPr>
          <w:p>
            <w:pPr>
              <w:ind w:left="20"/>
              <w:spacing w:after="0"/>
              <w:rPr>
                <w:sz w:val="20"/>
                <w:szCs w:val="20"/>
                <w:color w:val="auto"/>
              </w:rPr>
            </w:pPr>
            <w:r>
              <w:rPr>
                <w:rFonts w:ascii="Arial" w:cs="Arial" w:eastAsia="Arial" w:hAnsi="Arial"/>
                <w:sz w:val="13"/>
                <w:szCs w:val="13"/>
                <w:color w:val="auto"/>
              </w:rPr>
              <w:t>SCT change in pension value</w:t>
            </w:r>
          </w:p>
        </w:tc>
        <w:tc>
          <w:tcPr>
            <w:tcW w:w="640" w:type="dxa"/>
            <w:vAlign w:val="bottom"/>
          </w:tcPr>
          <w:p>
            <w:pPr>
              <w:jc w:val="center"/>
              <w:ind w:left="318"/>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38"/>
              <w:spacing w:after="0"/>
              <w:rPr>
                <w:sz w:val="20"/>
                <w:szCs w:val="20"/>
                <w:color w:val="auto"/>
              </w:rPr>
            </w:pPr>
            <w:r>
              <w:rPr>
                <w:rFonts w:ascii="Arial" w:cs="Arial" w:eastAsia="Arial" w:hAnsi="Arial"/>
                <w:sz w:val="13"/>
                <w:szCs w:val="13"/>
                <w:color w:val="auto"/>
              </w:rPr>
              <w:t>2,506,363</w:t>
            </w:r>
          </w:p>
        </w:tc>
        <w:tc>
          <w:tcPr>
            <w:tcW w:w="900" w:type="dxa"/>
            <w:vAlign w:val="bottom"/>
          </w:tcPr>
          <w:p>
            <w:pPr>
              <w:jc w:val="right"/>
              <w:ind w:right="98"/>
              <w:spacing w:after="0"/>
              <w:rPr>
                <w:sz w:val="20"/>
                <w:szCs w:val="20"/>
                <w:color w:val="auto"/>
              </w:rPr>
            </w:pPr>
            <w:r>
              <w:rPr>
                <w:rFonts w:ascii="Arial" w:cs="Arial" w:eastAsia="Arial" w:hAnsi="Arial"/>
                <w:sz w:val="13"/>
                <w:szCs w:val="13"/>
                <w:color w:val="auto"/>
              </w:rPr>
              <w:t>5,137,153</w:t>
            </w:r>
          </w:p>
        </w:tc>
        <w:tc>
          <w:tcPr>
            <w:tcW w:w="960" w:type="dxa"/>
            <w:vAlign w:val="bottom"/>
          </w:tcPr>
          <w:p>
            <w:pPr>
              <w:jc w:val="right"/>
              <w:ind w:right="98"/>
              <w:spacing w:after="0"/>
              <w:rPr>
                <w:sz w:val="20"/>
                <w:szCs w:val="20"/>
                <w:color w:val="auto"/>
              </w:rPr>
            </w:pPr>
            <w:r>
              <w:rPr>
                <w:rFonts w:ascii="Arial" w:cs="Arial" w:eastAsia="Arial" w:hAnsi="Arial"/>
                <w:sz w:val="13"/>
                <w:szCs w:val="13"/>
                <w:color w:val="auto"/>
              </w:rPr>
              <w:t>5,348,636</w:t>
            </w:r>
          </w:p>
        </w:tc>
        <w:tc>
          <w:tcPr>
            <w:tcW w:w="940" w:type="dxa"/>
            <w:vAlign w:val="bottom"/>
          </w:tcPr>
          <w:p>
            <w:pPr>
              <w:jc w:val="right"/>
              <w:ind w:right="98"/>
              <w:spacing w:after="0"/>
              <w:rPr>
                <w:sz w:val="20"/>
                <w:szCs w:val="20"/>
                <w:color w:val="auto"/>
              </w:rPr>
            </w:pPr>
            <w:r>
              <w:rPr>
                <w:rFonts w:ascii="Arial" w:cs="Arial" w:eastAsia="Arial" w:hAnsi="Arial"/>
                <w:sz w:val="13"/>
                <w:szCs w:val="13"/>
                <w:color w:val="auto"/>
              </w:rPr>
              <w:t>3,044,269</w:t>
            </w:r>
          </w:p>
        </w:tc>
        <w:tc>
          <w:tcPr>
            <w:tcW w:w="920" w:type="dxa"/>
            <w:vAlign w:val="bottom"/>
          </w:tcPr>
          <w:p>
            <w:pPr>
              <w:jc w:val="right"/>
              <w:ind w:right="158"/>
              <w:spacing w:after="0"/>
              <w:rPr>
                <w:sz w:val="20"/>
                <w:szCs w:val="20"/>
                <w:color w:val="auto"/>
              </w:rPr>
            </w:pPr>
            <w:r>
              <w:rPr>
                <w:rFonts w:ascii="Arial" w:cs="Arial" w:eastAsia="Arial" w:hAnsi="Arial"/>
                <w:sz w:val="13"/>
                <w:szCs w:val="13"/>
                <w:color w:val="auto"/>
              </w:rPr>
              <w:t>2,710,176</w:t>
            </w:r>
          </w:p>
        </w:tc>
        <w:tc>
          <w:tcPr>
            <w:tcW w:w="940" w:type="dxa"/>
            <w:vAlign w:val="bottom"/>
          </w:tcPr>
          <w:p>
            <w:pPr>
              <w:jc w:val="right"/>
              <w:spacing w:after="0"/>
              <w:rPr>
                <w:sz w:val="20"/>
                <w:szCs w:val="20"/>
                <w:color w:val="auto"/>
              </w:rPr>
            </w:pPr>
            <w:r>
              <w:rPr>
                <w:rFonts w:ascii="Arial" w:cs="Arial" w:eastAsia="Arial" w:hAnsi="Arial"/>
                <w:sz w:val="13"/>
                <w:szCs w:val="13"/>
                <w:color w:val="auto"/>
              </w:rPr>
              <w:t>3,442,800</w:t>
            </w:r>
          </w:p>
        </w:tc>
      </w:tr>
      <w:tr>
        <w:trPr>
          <w:trHeight w:val="189"/>
        </w:trPr>
        <w:tc>
          <w:tcPr>
            <w:tcW w:w="3620" w:type="dxa"/>
            <w:vAlign w:val="bottom"/>
          </w:tcPr>
          <w:p>
            <w:pPr>
              <w:ind w:left="20"/>
              <w:spacing w:after="0"/>
              <w:rPr>
                <w:sz w:val="20"/>
                <w:szCs w:val="20"/>
                <w:color w:val="auto"/>
              </w:rPr>
            </w:pPr>
            <w:r>
              <w:rPr>
                <w:rFonts w:ascii="Arial" w:cs="Arial" w:eastAsia="Arial" w:hAnsi="Arial"/>
                <w:sz w:val="13"/>
                <w:szCs w:val="13"/>
                <w:color w:val="auto"/>
              </w:rPr>
              <w:t>Pension Service cost</w:t>
            </w:r>
          </w:p>
        </w:tc>
        <w:tc>
          <w:tcPr>
            <w:tcW w:w="640" w:type="dxa"/>
            <w:vAlign w:val="bottom"/>
          </w:tcPr>
          <w:p>
            <w:pPr>
              <w:jc w:val="center"/>
              <w:ind w:left="318"/>
              <w:spacing w:after="0"/>
              <w:rPr>
                <w:sz w:val="20"/>
                <w:szCs w:val="20"/>
                <w:color w:val="auto"/>
              </w:rPr>
            </w:pPr>
            <w:r>
              <w:rPr>
                <w:rFonts w:ascii="Arial" w:cs="Arial" w:eastAsia="Arial" w:hAnsi="Arial"/>
                <w:sz w:val="13"/>
                <w:szCs w:val="13"/>
                <w:color w:val="auto"/>
                <w:w w:val="78"/>
              </w:rPr>
              <w:t>+</w:t>
            </w:r>
          </w:p>
        </w:tc>
        <w:tc>
          <w:tcPr>
            <w:tcW w:w="800" w:type="dxa"/>
            <w:vAlign w:val="bottom"/>
          </w:tcPr>
          <w:p>
            <w:pPr>
              <w:jc w:val="right"/>
              <w:ind w:right="38"/>
              <w:spacing w:after="0"/>
              <w:rPr>
                <w:sz w:val="20"/>
                <w:szCs w:val="20"/>
                <w:color w:val="auto"/>
              </w:rPr>
            </w:pPr>
            <w:r>
              <w:rPr>
                <w:rFonts w:ascii="Arial" w:cs="Arial" w:eastAsia="Arial" w:hAnsi="Arial"/>
                <w:sz w:val="13"/>
                <w:szCs w:val="13"/>
                <w:color w:val="auto"/>
              </w:rPr>
              <w:t>901,365</w:t>
            </w:r>
          </w:p>
        </w:tc>
        <w:tc>
          <w:tcPr>
            <w:tcW w:w="900" w:type="dxa"/>
            <w:vAlign w:val="bottom"/>
          </w:tcPr>
          <w:p>
            <w:pPr>
              <w:jc w:val="right"/>
              <w:ind w:right="98"/>
              <w:spacing w:after="0"/>
              <w:rPr>
                <w:sz w:val="20"/>
                <w:szCs w:val="20"/>
                <w:color w:val="auto"/>
              </w:rPr>
            </w:pPr>
            <w:r>
              <w:rPr>
                <w:rFonts w:ascii="Arial" w:cs="Arial" w:eastAsia="Arial" w:hAnsi="Arial"/>
                <w:sz w:val="13"/>
                <w:szCs w:val="13"/>
                <w:color w:val="auto"/>
              </w:rPr>
              <w:t>744,658</w:t>
            </w:r>
          </w:p>
        </w:tc>
        <w:tc>
          <w:tcPr>
            <w:tcW w:w="960" w:type="dxa"/>
            <w:vAlign w:val="bottom"/>
          </w:tcPr>
          <w:p>
            <w:pPr>
              <w:jc w:val="right"/>
              <w:ind w:right="98"/>
              <w:spacing w:after="0"/>
              <w:rPr>
                <w:sz w:val="20"/>
                <w:szCs w:val="20"/>
                <w:color w:val="auto"/>
              </w:rPr>
            </w:pPr>
            <w:r>
              <w:rPr>
                <w:rFonts w:ascii="Arial" w:cs="Arial" w:eastAsia="Arial" w:hAnsi="Arial"/>
                <w:sz w:val="13"/>
                <w:szCs w:val="13"/>
                <w:color w:val="auto"/>
              </w:rPr>
              <w:t>751,812</w:t>
            </w:r>
          </w:p>
        </w:tc>
        <w:tc>
          <w:tcPr>
            <w:tcW w:w="940" w:type="dxa"/>
            <w:vAlign w:val="bottom"/>
          </w:tcPr>
          <w:p>
            <w:pPr>
              <w:jc w:val="right"/>
              <w:ind w:right="98"/>
              <w:spacing w:after="0"/>
              <w:rPr>
                <w:sz w:val="20"/>
                <w:szCs w:val="20"/>
                <w:color w:val="auto"/>
              </w:rPr>
            </w:pPr>
            <w:r>
              <w:rPr>
                <w:rFonts w:ascii="Arial" w:cs="Arial" w:eastAsia="Arial" w:hAnsi="Arial"/>
                <w:sz w:val="13"/>
                <w:szCs w:val="13"/>
                <w:color w:val="auto"/>
              </w:rPr>
              <w:t>460,833</w:t>
            </w:r>
          </w:p>
        </w:tc>
        <w:tc>
          <w:tcPr>
            <w:tcW w:w="920" w:type="dxa"/>
            <w:vAlign w:val="bottom"/>
          </w:tcPr>
          <w:p>
            <w:pPr>
              <w:jc w:val="right"/>
              <w:ind w:right="158"/>
              <w:spacing w:after="0"/>
              <w:rPr>
                <w:sz w:val="20"/>
                <w:szCs w:val="20"/>
                <w:color w:val="auto"/>
              </w:rPr>
            </w:pPr>
            <w:r>
              <w:rPr>
                <w:rFonts w:ascii="Arial" w:cs="Arial" w:eastAsia="Arial" w:hAnsi="Arial"/>
                <w:sz w:val="13"/>
                <w:szCs w:val="13"/>
                <w:color w:val="auto"/>
              </w:rPr>
              <w:t>326,056</w:t>
            </w:r>
          </w:p>
        </w:tc>
        <w:tc>
          <w:tcPr>
            <w:tcW w:w="940" w:type="dxa"/>
            <w:vAlign w:val="bottom"/>
          </w:tcPr>
          <w:p>
            <w:pPr>
              <w:jc w:val="right"/>
              <w:spacing w:after="0"/>
              <w:rPr>
                <w:sz w:val="20"/>
                <w:szCs w:val="20"/>
                <w:color w:val="auto"/>
              </w:rPr>
            </w:pPr>
            <w:r>
              <w:rPr>
                <w:rFonts w:ascii="Arial" w:cs="Arial" w:eastAsia="Arial" w:hAnsi="Arial"/>
                <w:sz w:val="13"/>
                <w:szCs w:val="13"/>
                <w:color w:val="auto"/>
              </w:rPr>
              <w:t>462,472</w:t>
            </w:r>
          </w:p>
        </w:tc>
      </w:tr>
      <w:tr>
        <w:trPr>
          <w:trHeight w:val="196"/>
        </w:trPr>
        <w:tc>
          <w:tcPr>
            <w:tcW w:w="362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Dividends</w:t>
            </w:r>
          </w:p>
        </w:tc>
        <w:tc>
          <w:tcPr>
            <w:tcW w:w="640" w:type="dxa"/>
            <w:vAlign w:val="bottom"/>
            <w:tcBorders>
              <w:bottom w:val="single" w:sz="8" w:color="DBDBDB"/>
            </w:tcBorders>
          </w:tcPr>
          <w:p>
            <w:pPr>
              <w:jc w:val="center"/>
              <w:ind w:left="318"/>
              <w:spacing w:after="0"/>
              <w:rPr>
                <w:sz w:val="20"/>
                <w:szCs w:val="20"/>
                <w:color w:val="auto"/>
              </w:rPr>
            </w:pPr>
            <w:r>
              <w:rPr>
                <w:rFonts w:ascii="Arial" w:cs="Arial" w:eastAsia="Arial" w:hAnsi="Arial"/>
                <w:sz w:val="13"/>
                <w:szCs w:val="13"/>
                <w:color w:val="auto"/>
                <w:w w:val="78"/>
              </w:rPr>
              <w:t>+</w:t>
            </w:r>
          </w:p>
        </w:tc>
        <w:tc>
          <w:tcPr>
            <w:tcW w:w="800" w:type="dxa"/>
            <w:vAlign w:val="bottom"/>
            <w:tcBorders>
              <w:bottom w:val="single" w:sz="8" w:color="DBDBDB"/>
            </w:tcBorders>
          </w:tcPr>
          <w:p>
            <w:pPr>
              <w:jc w:val="right"/>
              <w:ind w:right="38"/>
              <w:spacing w:after="0"/>
              <w:rPr>
                <w:sz w:val="20"/>
                <w:szCs w:val="20"/>
                <w:color w:val="auto"/>
              </w:rPr>
            </w:pPr>
            <w:r>
              <w:rPr>
                <w:rFonts w:ascii="Arial" w:cs="Arial" w:eastAsia="Arial" w:hAnsi="Arial"/>
                <w:sz w:val="13"/>
                <w:szCs w:val="13"/>
                <w:color w:val="auto"/>
              </w:rPr>
              <w:t>3,743,653</w:t>
            </w:r>
          </w:p>
        </w:tc>
        <w:tc>
          <w:tcPr>
            <w:tcW w:w="900" w:type="dxa"/>
            <w:vAlign w:val="bottom"/>
            <w:tcBorders>
              <w:bottom w:val="single" w:sz="8" w:color="DBDBDB"/>
            </w:tcBorders>
          </w:tcPr>
          <w:p>
            <w:pPr>
              <w:jc w:val="right"/>
              <w:ind w:right="98"/>
              <w:spacing w:after="0"/>
              <w:rPr>
                <w:sz w:val="20"/>
                <w:szCs w:val="20"/>
                <w:color w:val="auto"/>
              </w:rPr>
            </w:pPr>
            <w:r>
              <w:rPr>
                <w:rFonts w:ascii="Arial" w:cs="Arial" w:eastAsia="Arial" w:hAnsi="Arial"/>
                <w:sz w:val="13"/>
                <w:szCs w:val="13"/>
                <w:color w:val="auto"/>
              </w:rPr>
              <w:t>3,169,095</w:t>
            </w:r>
          </w:p>
        </w:tc>
        <w:tc>
          <w:tcPr>
            <w:tcW w:w="960" w:type="dxa"/>
            <w:vAlign w:val="bottom"/>
            <w:tcBorders>
              <w:bottom w:val="single" w:sz="8" w:color="DBDBDB"/>
            </w:tcBorders>
          </w:tcPr>
          <w:p>
            <w:pPr>
              <w:jc w:val="right"/>
              <w:ind w:right="98"/>
              <w:spacing w:after="0"/>
              <w:rPr>
                <w:sz w:val="20"/>
                <w:szCs w:val="20"/>
                <w:color w:val="auto"/>
              </w:rPr>
            </w:pPr>
            <w:r>
              <w:rPr>
                <w:rFonts w:ascii="Arial" w:cs="Arial" w:eastAsia="Arial" w:hAnsi="Arial"/>
                <w:sz w:val="13"/>
                <w:szCs w:val="13"/>
                <w:color w:val="auto"/>
              </w:rPr>
              <w:t>2,604,606</w:t>
            </w:r>
          </w:p>
        </w:tc>
        <w:tc>
          <w:tcPr>
            <w:tcW w:w="940" w:type="dxa"/>
            <w:vAlign w:val="bottom"/>
            <w:tcBorders>
              <w:bottom w:val="single" w:sz="8" w:color="DBDBDB"/>
            </w:tcBorders>
          </w:tcPr>
          <w:p>
            <w:pPr>
              <w:jc w:val="right"/>
              <w:ind w:right="98"/>
              <w:spacing w:after="0"/>
              <w:rPr>
                <w:sz w:val="20"/>
                <w:szCs w:val="20"/>
                <w:color w:val="auto"/>
              </w:rPr>
            </w:pPr>
            <w:r>
              <w:rPr>
                <w:rFonts w:ascii="Arial" w:cs="Arial" w:eastAsia="Arial" w:hAnsi="Arial"/>
                <w:sz w:val="13"/>
                <w:szCs w:val="13"/>
                <w:color w:val="auto"/>
              </w:rPr>
              <w:t>1,330,895</w:t>
            </w:r>
          </w:p>
        </w:tc>
        <w:tc>
          <w:tcPr>
            <w:tcW w:w="920" w:type="dxa"/>
            <w:vAlign w:val="bottom"/>
            <w:tcBorders>
              <w:bottom w:val="single" w:sz="8" w:color="DBDBDB"/>
            </w:tcBorders>
          </w:tcPr>
          <w:p>
            <w:pPr>
              <w:jc w:val="right"/>
              <w:ind w:right="158"/>
              <w:spacing w:after="0"/>
              <w:rPr>
                <w:sz w:val="20"/>
                <w:szCs w:val="20"/>
                <w:color w:val="auto"/>
              </w:rPr>
            </w:pPr>
            <w:r>
              <w:rPr>
                <w:rFonts w:ascii="Arial" w:cs="Arial" w:eastAsia="Arial" w:hAnsi="Arial"/>
                <w:sz w:val="13"/>
                <w:szCs w:val="13"/>
                <w:color w:val="auto"/>
              </w:rPr>
              <w:t>1,489,577</w:t>
            </w:r>
          </w:p>
        </w:tc>
        <w:tc>
          <w:tcPr>
            <w:tcW w:w="940" w:type="dxa"/>
            <w:vAlign w:val="bottom"/>
            <w:tcBorders>
              <w:bottom w:val="single" w:sz="8" w:color="DBDBDB"/>
            </w:tcBorders>
          </w:tcPr>
          <w:p>
            <w:pPr>
              <w:jc w:val="right"/>
              <w:spacing w:after="0"/>
              <w:rPr>
                <w:sz w:val="20"/>
                <w:szCs w:val="20"/>
                <w:color w:val="auto"/>
              </w:rPr>
            </w:pPr>
            <w:r>
              <w:rPr>
                <w:rFonts w:ascii="Arial" w:cs="Arial" w:eastAsia="Arial" w:hAnsi="Arial"/>
                <w:sz w:val="13"/>
                <w:szCs w:val="13"/>
                <w:color w:val="auto"/>
              </w:rPr>
              <w:t>1,952,237</w:t>
            </w:r>
          </w:p>
        </w:tc>
      </w:tr>
    </w:tbl>
    <w:p>
      <w:pPr>
        <w:spacing w:after="0" w:line="90" w:lineRule="exact"/>
        <w:rPr>
          <w:sz w:val="20"/>
          <w:szCs w:val="20"/>
          <w:color w:val="auto"/>
        </w:rPr>
      </w:pPr>
    </w:p>
    <w:p>
      <w:pPr>
        <w:ind w:left="960" w:hanging="196"/>
        <w:spacing w:after="0"/>
        <w:tabs>
          <w:tab w:leader="none" w:pos="960" w:val="left"/>
        </w:tabs>
        <w:numPr>
          <w:ilvl w:val="0"/>
          <w:numId w:val="121"/>
        </w:numPr>
        <w:rPr>
          <w:rFonts w:ascii="Arial" w:cs="Arial" w:eastAsia="Arial" w:hAnsi="Arial"/>
          <w:sz w:val="18"/>
          <w:szCs w:val="18"/>
          <w:color w:val="auto"/>
          <w:vertAlign w:val="superscript"/>
        </w:rPr>
      </w:pPr>
      <w:r>
        <w:rPr>
          <w:rFonts w:ascii="Arial" w:cs="Arial" w:eastAsia="Arial" w:hAnsi="Arial"/>
          <w:sz w:val="14"/>
          <w:szCs w:val="14"/>
          <w:color w:val="auto"/>
        </w:rPr>
        <w:t>Additional information on CFOAS is included in Exhibit A starting on page 109.</w:t>
      </w:r>
    </w:p>
    <w:p>
      <w:pPr>
        <w:ind w:left="960" w:hanging="196"/>
        <w:spacing w:after="0" w:line="209" w:lineRule="auto"/>
        <w:tabs>
          <w:tab w:leader="none" w:pos="960" w:val="left"/>
        </w:tabs>
        <w:numPr>
          <w:ilvl w:val="0"/>
          <w:numId w:val="122"/>
        </w:numPr>
        <w:rPr>
          <w:rFonts w:ascii="Arial" w:cs="Arial" w:eastAsia="Arial" w:hAnsi="Arial"/>
          <w:sz w:val="18"/>
          <w:szCs w:val="18"/>
          <w:color w:val="auto"/>
          <w:vertAlign w:val="superscript"/>
        </w:rPr>
      </w:pPr>
      <w:r>
        <w:rPr>
          <w:rFonts w:ascii="Arial" w:cs="Arial" w:eastAsia="Arial" w:hAnsi="Arial"/>
          <w:sz w:val="14"/>
          <w:szCs w:val="14"/>
          <w:color w:val="auto"/>
        </w:rPr>
        <w:t>Definitions of “Total Direct Compensation” and “Realized Pay” are included on page 66.</w:t>
      </w:r>
    </w:p>
    <w:p>
      <w:pPr>
        <w:spacing w:after="0" w:line="110" w:lineRule="exact"/>
        <w:rPr>
          <w:sz w:val="20"/>
          <w:szCs w:val="20"/>
          <w:color w:val="auto"/>
        </w:rPr>
      </w:pPr>
    </w:p>
    <w:tbl>
      <w:tblPr>
        <w:tblLayout w:type="fixed"/>
        <w:tblInd w:w="662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220" w:type="dxa"/>
            <w:vAlign w:val="bottom"/>
          </w:tcPr>
          <w:p>
            <w:pPr>
              <w:jc w:val="right"/>
              <w:spacing w:after="0"/>
              <w:rPr>
                <w:sz w:val="20"/>
                <w:szCs w:val="20"/>
                <w:color w:val="auto"/>
              </w:rPr>
            </w:pPr>
            <w:r>
              <w:rPr>
                <w:rFonts w:ascii="Arial" w:cs="Arial" w:eastAsia="Arial" w:hAnsi="Arial"/>
                <w:sz w:val="18"/>
                <w:szCs w:val="18"/>
                <w:color w:val="auto"/>
              </w:rPr>
              <w:t>105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-139065</wp:posOffset>
            </wp:positionV>
            <wp:extent cx="737235" cy="1454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480"/>
          </w:cols>
          <w:pgMar w:left="320" w:top="482" w:right="10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8"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2B4C9B"/>
        </w:rPr>
        <w:t>PAY RATIO</w:t>
      </w:r>
    </w:p>
    <w:p>
      <w:pPr>
        <w:spacing w:after="0" w:line="128" w:lineRule="exact"/>
        <w:rPr>
          <w:sz w:val="20"/>
          <w:szCs w:val="20"/>
          <w:color w:val="auto"/>
        </w:rPr>
      </w:pPr>
    </w:p>
    <w:p>
      <w:pPr>
        <w:ind w:left="760" w:right="300"/>
        <w:spacing w:after="0" w:line="253" w:lineRule="auto"/>
        <w:rPr>
          <w:sz w:val="20"/>
          <w:szCs w:val="20"/>
          <w:color w:val="auto"/>
        </w:rPr>
      </w:pPr>
      <w:r>
        <w:rPr>
          <w:rFonts w:ascii="Arial" w:cs="Arial" w:eastAsia="Arial" w:hAnsi="Arial"/>
          <w:sz w:val="18"/>
          <w:szCs w:val="18"/>
          <w:color w:val="auto"/>
        </w:rPr>
        <w:t>Annual total CEO compensation for 2022 was $35,950,331. The median annual total compensation of all employees of the Corporation, except the CEO, for 2022 was $171,582. The ratio of annual total CEO compensation to the median annual total compensation of all employees was 210:1.</w:t>
      </w:r>
    </w:p>
    <w:p>
      <w:pPr>
        <w:spacing w:after="0" w:line="169" w:lineRule="exact"/>
        <w:rPr>
          <w:sz w:val="20"/>
          <w:szCs w:val="20"/>
          <w:color w:val="auto"/>
        </w:rPr>
      </w:pPr>
    </w:p>
    <w:p>
      <w:pPr>
        <w:ind w:left="760" w:right="80"/>
        <w:spacing w:after="0" w:line="247" w:lineRule="auto"/>
        <w:rPr>
          <w:sz w:val="20"/>
          <w:szCs w:val="20"/>
          <w:color w:val="auto"/>
        </w:rPr>
      </w:pPr>
      <w:r>
        <w:rPr>
          <w:rFonts w:ascii="Arial" w:cs="Arial" w:eastAsia="Arial" w:hAnsi="Arial"/>
          <w:sz w:val="18"/>
          <w:szCs w:val="18"/>
          <w:color w:val="auto"/>
        </w:rPr>
        <w:t>The median employee was identified as of October 15, 2022, based on total taxable wages for the most recently completed prior fiscal year as shown in the Corporation’s records. No estimates or sampling methodologies were used for this purpose. No cost-of-living adjustments were made and the taxable wages of employees employed for less than the full fiscal year were not annualized. “Employees” were defined based on applicable employment and tax laws.</w:t>
      </w:r>
    </w:p>
    <w:p>
      <w:pPr>
        <w:spacing w:after="0" w:line="174" w:lineRule="exact"/>
        <w:rPr>
          <w:sz w:val="20"/>
          <w:szCs w:val="20"/>
          <w:color w:val="auto"/>
        </w:rPr>
      </w:pPr>
    </w:p>
    <w:p>
      <w:pPr>
        <w:jc w:val="both"/>
        <w:ind w:left="760" w:right="100"/>
        <w:spacing w:after="0" w:line="253" w:lineRule="auto"/>
        <w:rPr>
          <w:sz w:val="20"/>
          <w:szCs w:val="20"/>
          <w:color w:val="auto"/>
        </w:rPr>
      </w:pPr>
      <w:r>
        <w:rPr>
          <w:rFonts w:ascii="Arial" w:cs="Arial" w:eastAsia="Arial" w:hAnsi="Arial"/>
          <w:sz w:val="18"/>
          <w:szCs w:val="18"/>
          <w:color w:val="auto"/>
        </w:rPr>
        <w:t>For purposes of this disclosure, as permitted by SEC rules, the value of non-discriminatory benefits is included in annual total compensation of both the median employee and the CEO. These non-discriminatory benefits are long-term disability plan, basic life insurance and accidental death and dismemberment plan, medical plan, and dental plan.</w:t>
      </w:r>
    </w:p>
    <w:p>
      <w:pPr>
        <w:spacing w:after="0" w:line="169" w:lineRule="exact"/>
        <w:rPr>
          <w:sz w:val="20"/>
          <w:szCs w:val="20"/>
          <w:color w:val="auto"/>
        </w:rPr>
      </w:pPr>
    </w:p>
    <w:p>
      <w:pPr>
        <w:jc w:val="both"/>
        <w:ind w:left="760" w:right="240"/>
        <w:spacing w:after="0" w:line="253" w:lineRule="auto"/>
        <w:rPr>
          <w:sz w:val="20"/>
          <w:szCs w:val="20"/>
          <w:color w:val="auto"/>
        </w:rPr>
      </w:pPr>
      <w:r>
        <w:rPr>
          <w:rFonts w:ascii="Arial" w:cs="Arial" w:eastAsia="Arial" w:hAnsi="Arial"/>
          <w:sz w:val="18"/>
          <w:szCs w:val="18"/>
          <w:color w:val="auto"/>
        </w:rPr>
        <w:t>Including these benefits provides a more accurate pay ratio. Since SEC rules do not require inclusion of these generally available benefits in the Summary Compensation Table, annual total CEO compensation shown above is slightly higher than the Total CEO Compensation shown in that table.</w:t>
      </w:r>
    </w:p>
    <w:p>
      <w:pPr>
        <w:spacing w:after="0" w:line="169" w:lineRule="exact"/>
        <w:rPr>
          <w:sz w:val="20"/>
          <w:szCs w:val="20"/>
          <w:color w:val="auto"/>
        </w:rPr>
      </w:pPr>
    </w:p>
    <w:p>
      <w:pPr>
        <w:ind w:left="760" w:right="160"/>
        <w:spacing w:after="0" w:line="242" w:lineRule="auto"/>
        <w:rPr>
          <w:sz w:val="20"/>
          <w:szCs w:val="20"/>
          <w:color w:val="auto"/>
        </w:rPr>
      </w:pPr>
      <w:r>
        <w:rPr>
          <w:rFonts w:ascii="Arial" w:cs="Arial" w:eastAsia="Arial" w:hAnsi="Arial"/>
          <w:sz w:val="18"/>
          <w:szCs w:val="18"/>
          <w:color w:val="auto"/>
        </w:rPr>
        <w:t xml:space="preserve">ExxonMobil is a global company with employees in many countries around the world. As permitted by the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exemption under the SEC rules, for purposes of identifying the median employee in 2022, we excluded employees from 34 countries, which represent in aggregate less than 5 percent of the Corporation’s total employees. As required, where any employees from a jurisdiction were excluded, all employees from that jurisdiction were excluded. In total, as detailed in the table below, 1,307 employees out of a total number of 64,062 worldwide employees (as of October 15, 2022) were excluded under the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exemption.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142875</wp:posOffset>
            </wp:positionV>
            <wp:extent cx="6180455" cy="141478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180455" cy="1414780"/>
                    </a:xfrm>
                    <a:prstGeom prst="rect">
                      <a:avLst/>
                    </a:prstGeom>
                    <a:noFill/>
                  </pic:spPr>
                </pic:pic>
              </a:graphicData>
            </a:graphic>
          </wp:anchor>
        </w:drawing>
      </w:r>
    </w:p>
    <w:p>
      <w:pPr>
        <w:spacing w:after="0" w:line="249" w:lineRule="exact"/>
        <w:rPr>
          <w:sz w:val="20"/>
          <w:szCs w:val="20"/>
          <w:color w:val="auto"/>
        </w:rPr>
      </w:pPr>
    </w:p>
    <w:p>
      <w:pPr>
        <w:ind w:left="4220"/>
        <w:spacing w:after="0"/>
        <w:rPr>
          <w:sz w:val="20"/>
          <w:szCs w:val="20"/>
          <w:color w:val="auto"/>
        </w:rPr>
      </w:pPr>
      <w:r>
        <w:rPr>
          <w:rFonts w:ascii="Arial" w:cs="Arial" w:eastAsia="Arial" w:hAnsi="Arial"/>
          <w:sz w:val="14"/>
          <w:szCs w:val="14"/>
          <w:b w:val="1"/>
          <w:bCs w:val="1"/>
          <w:color w:val="FFFFFF"/>
        </w:rPr>
        <w:t>Countries Excluded / Number of Employees</w:t>
      </w:r>
    </w:p>
    <w:p>
      <w:pPr>
        <w:spacing w:after="0" w:line="64" w:lineRule="exact"/>
        <w:rPr>
          <w:sz w:val="20"/>
          <w:szCs w:val="20"/>
          <w:color w:val="auto"/>
        </w:rPr>
      </w:pPr>
    </w:p>
    <w:tbl>
      <w:tblPr>
        <w:tblLayout w:type="fixed"/>
        <w:tblInd w:w="760" w:type="dxa"/>
        <w:tblCellMar>
          <w:top w:w="0" w:type="dxa"/>
          <w:left w:w="0" w:type="dxa"/>
          <w:bottom w:w="0" w:type="dxa"/>
          <w:right w:w="0" w:type="dxa"/>
        </w:tblCellMar>
      </w:tblPr>
      <w:tr>
        <w:trPr>
          <w:trHeight w:val="210"/>
        </w:trPr>
        <w:tc>
          <w:tcPr>
            <w:tcW w:w="360" w:type="dxa"/>
            <w:vAlign w:val="bottom"/>
          </w:tcPr>
          <w:p>
            <w:pPr>
              <w:jc w:val="right"/>
              <w:spacing w:after="0"/>
              <w:rPr>
                <w:sz w:val="20"/>
                <w:szCs w:val="20"/>
                <w:color w:val="auto"/>
              </w:rPr>
            </w:pPr>
            <w:r>
              <w:rPr>
                <w:rFonts w:ascii="Arial" w:cs="Arial" w:eastAsia="Arial" w:hAnsi="Arial"/>
                <w:sz w:val="14"/>
                <w:szCs w:val="14"/>
                <w:color w:val="auto"/>
              </w:rPr>
              <w:t>1.</w:t>
            </w:r>
          </w:p>
        </w:tc>
        <w:tc>
          <w:tcPr>
            <w:tcW w:w="1460" w:type="dxa"/>
            <w:vAlign w:val="bottom"/>
          </w:tcPr>
          <w:p>
            <w:pPr>
              <w:ind w:left="40"/>
              <w:spacing w:after="0"/>
              <w:rPr>
                <w:sz w:val="20"/>
                <w:szCs w:val="20"/>
                <w:color w:val="auto"/>
              </w:rPr>
            </w:pPr>
            <w:r>
              <w:rPr>
                <w:rFonts w:ascii="Arial" w:cs="Arial" w:eastAsia="Arial" w:hAnsi="Arial"/>
                <w:sz w:val="14"/>
                <w:szCs w:val="14"/>
                <w:color w:val="auto"/>
              </w:rPr>
              <w:t>Equatorial Guinea</w:t>
            </w:r>
          </w:p>
        </w:tc>
        <w:tc>
          <w:tcPr>
            <w:tcW w:w="600" w:type="dxa"/>
            <w:vAlign w:val="bottom"/>
            <w:tcBorders>
              <w:right w:val="single" w:sz="8" w:color="auto"/>
            </w:tcBorders>
          </w:tcPr>
          <w:p>
            <w:pPr>
              <w:jc w:val="right"/>
              <w:ind w:right="26"/>
              <w:spacing w:after="0"/>
              <w:rPr>
                <w:sz w:val="20"/>
                <w:szCs w:val="20"/>
                <w:color w:val="auto"/>
              </w:rPr>
            </w:pPr>
            <w:r>
              <w:rPr>
                <w:rFonts w:ascii="Arial" w:cs="Arial" w:eastAsia="Arial" w:hAnsi="Arial"/>
                <w:sz w:val="14"/>
                <w:szCs w:val="14"/>
                <w:color w:val="auto"/>
              </w:rPr>
              <w:t>224</w:t>
            </w:r>
          </w:p>
        </w:tc>
        <w:tc>
          <w:tcPr>
            <w:tcW w:w="280" w:type="dxa"/>
            <w:vAlign w:val="bottom"/>
          </w:tcPr>
          <w:p>
            <w:pPr>
              <w:ind w:left="60"/>
              <w:spacing w:after="0"/>
              <w:rPr>
                <w:sz w:val="20"/>
                <w:szCs w:val="20"/>
                <w:color w:val="auto"/>
              </w:rPr>
            </w:pPr>
            <w:r>
              <w:rPr>
                <w:rFonts w:ascii="Arial" w:cs="Arial" w:eastAsia="Arial" w:hAnsi="Arial"/>
                <w:sz w:val="14"/>
                <w:szCs w:val="14"/>
                <w:color w:val="auto"/>
              </w:rPr>
              <w:t>10.</w:t>
            </w:r>
          </w:p>
        </w:tc>
        <w:tc>
          <w:tcPr>
            <w:tcW w:w="1420" w:type="dxa"/>
            <w:vAlign w:val="bottom"/>
          </w:tcPr>
          <w:p>
            <w:pPr>
              <w:ind w:left="40"/>
              <w:spacing w:after="0"/>
              <w:rPr>
                <w:sz w:val="20"/>
                <w:szCs w:val="20"/>
                <w:color w:val="auto"/>
              </w:rPr>
            </w:pPr>
            <w:r>
              <w:rPr>
                <w:rFonts w:ascii="Arial" w:cs="Arial" w:eastAsia="Arial" w:hAnsi="Arial"/>
                <w:sz w:val="14"/>
                <w:szCs w:val="14"/>
                <w:color w:val="auto"/>
              </w:rPr>
              <w:t>Taiwan</w:t>
            </w:r>
          </w:p>
        </w:tc>
        <w:tc>
          <w:tcPr>
            <w:tcW w:w="66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51</w:t>
            </w:r>
          </w:p>
        </w:tc>
        <w:tc>
          <w:tcPr>
            <w:tcW w:w="320" w:type="dxa"/>
            <w:vAlign w:val="bottom"/>
          </w:tcPr>
          <w:p>
            <w:pPr>
              <w:jc w:val="right"/>
              <w:spacing w:after="0"/>
              <w:rPr>
                <w:sz w:val="20"/>
                <w:szCs w:val="20"/>
                <w:color w:val="auto"/>
              </w:rPr>
            </w:pPr>
            <w:r>
              <w:rPr>
                <w:rFonts w:ascii="Arial" w:cs="Arial" w:eastAsia="Arial" w:hAnsi="Arial"/>
                <w:sz w:val="14"/>
                <w:szCs w:val="14"/>
                <w:color w:val="auto"/>
              </w:rPr>
              <w:t>19.</w:t>
            </w:r>
          </w:p>
        </w:tc>
        <w:tc>
          <w:tcPr>
            <w:tcW w:w="1360" w:type="dxa"/>
            <w:vAlign w:val="bottom"/>
          </w:tcPr>
          <w:p>
            <w:pPr>
              <w:ind w:left="40"/>
              <w:spacing w:after="0"/>
              <w:rPr>
                <w:sz w:val="20"/>
                <w:szCs w:val="20"/>
                <w:color w:val="auto"/>
              </w:rPr>
            </w:pPr>
            <w:r>
              <w:rPr>
                <w:rFonts w:ascii="Arial" w:cs="Arial" w:eastAsia="Arial" w:hAnsi="Arial"/>
                <w:sz w:val="14"/>
                <w:szCs w:val="14"/>
                <w:color w:val="auto"/>
              </w:rPr>
              <w:t>N. Mariana Islands</w:t>
            </w:r>
          </w:p>
        </w:tc>
        <w:tc>
          <w:tcPr>
            <w:tcW w:w="92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17</w:t>
            </w:r>
          </w:p>
        </w:tc>
        <w:tc>
          <w:tcPr>
            <w:tcW w:w="320" w:type="dxa"/>
            <w:vAlign w:val="bottom"/>
          </w:tcPr>
          <w:p>
            <w:pPr>
              <w:jc w:val="right"/>
              <w:spacing w:after="0"/>
              <w:rPr>
                <w:sz w:val="20"/>
                <w:szCs w:val="20"/>
                <w:color w:val="auto"/>
              </w:rPr>
            </w:pPr>
            <w:r>
              <w:rPr>
                <w:rFonts w:ascii="Arial" w:cs="Arial" w:eastAsia="Arial" w:hAnsi="Arial"/>
                <w:sz w:val="14"/>
                <w:szCs w:val="14"/>
                <w:color w:val="auto"/>
              </w:rPr>
              <w:t>28.</w:t>
            </w:r>
          </w:p>
        </w:tc>
        <w:tc>
          <w:tcPr>
            <w:tcW w:w="1560" w:type="dxa"/>
            <w:vAlign w:val="bottom"/>
          </w:tcPr>
          <w:p>
            <w:pPr>
              <w:ind w:left="60"/>
              <w:spacing w:after="0"/>
              <w:rPr>
                <w:sz w:val="20"/>
                <w:szCs w:val="20"/>
                <w:color w:val="auto"/>
              </w:rPr>
            </w:pPr>
            <w:r>
              <w:rPr>
                <w:rFonts w:ascii="Arial" w:cs="Arial" w:eastAsia="Arial" w:hAnsi="Arial"/>
                <w:sz w:val="14"/>
                <w:szCs w:val="14"/>
                <w:color w:val="auto"/>
              </w:rPr>
              <w:t>Cameroon</w:t>
            </w:r>
          </w:p>
        </w:tc>
        <w:tc>
          <w:tcPr>
            <w:tcW w:w="48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14"/>
        </w:trPr>
        <w:tc>
          <w:tcPr>
            <w:tcW w:w="360" w:type="dxa"/>
            <w:vAlign w:val="bottom"/>
          </w:tcPr>
          <w:p>
            <w:pPr>
              <w:jc w:val="right"/>
              <w:spacing w:after="0"/>
              <w:rPr>
                <w:sz w:val="20"/>
                <w:szCs w:val="20"/>
                <w:color w:val="auto"/>
              </w:rPr>
            </w:pPr>
            <w:r>
              <w:rPr>
                <w:rFonts w:ascii="Arial" w:cs="Arial" w:eastAsia="Arial" w:hAnsi="Arial"/>
                <w:sz w:val="14"/>
                <w:szCs w:val="14"/>
                <w:color w:val="auto"/>
              </w:rPr>
              <w:t>2.</w:t>
            </w:r>
          </w:p>
        </w:tc>
        <w:tc>
          <w:tcPr>
            <w:tcW w:w="1460" w:type="dxa"/>
            <w:vAlign w:val="bottom"/>
          </w:tcPr>
          <w:p>
            <w:pPr>
              <w:ind w:left="40"/>
              <w:spacing w:after="0"/>
              <w:rPr>
                <w:sz w:val="20"/>
                <w:szCs w:val="20"/>
                <w:color w:val="auto"/>
              </w:rPr>
            </w:pPr>
            <w:r>
              <w:rPr>
                <w:rFonts w:ascii="Arial" w:cs="Arial" w:eastAsia="Arial" w:hAnsi="Arial"/>
                <w:sz w:val="14"/>
                <w:szCs w:val="14"/>
                <w:color w:val="auto"/>
              </w:rPr>
              <w:t>Qatar</w:t>
            </w:r>
          </w:p>
        </w:tc>
        <w:tc>
          <w:tcPr>
            <w:tcW w:w="600" w:type="dxa"/>
            <w:vAlign w:val="bottom"/>
            <w:tcBorders>
              <w:right w:val="single" w:sz="8" w:color="auto"/>
            </w:tcBorders>
          </w:tcPr>
          <w:p>
            <w:pPr>
              <w:jc w:val="right"/>
              <w:ind w:right="26"/>
              <w:spacing w:after="0"/>
              <w:rPr>
                <w:sz w:val="20"/>
                <w:szCs w:val="20"/>
                <w:color w:val="auto"/>
              </w:rPr>
            </w:pPr>
            <w:r>
              <w:rPr>
                <w:rFonts w:ascii="Arial" w:cs="Arial" w:eastAsia="Arial" w:hAnsi="Arial"/>
                <w:sz w:val="14"/>
                <w:szCs w:val="14"/>
                <w:color w:val="auto"/>
              </w:rPr>
              <w:t>136</w:t>
            </w:r>
          </w:p>
        </w:tc>
        <w:tc>
          <w:tcPr>
            <w:tcW w:w="280" w:type="dxa"/>
            <w:vAlign w:val="bottom"/>
          </w:tcPr>
          <w:p>
            <w:pPr>
              <w:ind w:left="60"/>
              <w:spacing w:after="0"/>
              <w:rPr>
                <w:sz w:val="20"/>
                <w:szCs w:val="20"/>
                <w:color w:val="auto"/>
              </w:rPr>
            </w:pPr>
            <w:r>
              <w:rPr>
                <w:rFonts w:ascii="Arial" w:cs="Arial" w:eastAsia="Arial" w:hAnsi="Arial"/>
                <w:sz w:val="14"/>
                <w:szCs w:val="14"/>
                <w:color w:val="auto"/>
              </w:rPr>
              <w:t>11.</w:t>
            </w:r>
          </w:p>
        </w:tc>
        <w:tc>
          <w:tcPr>
            <w:tcW w:w="1420" w:type="dxa"/>
            <w:vAlign w:val="bottom"/>
          </w:tcPr>
          <w:p>
            <w:pPr>
              <w:ind w:left="40"/>
              <w:spacing w:after="0"/>
              <w:rPr>
                <w:sz w:val="20"/>
                <w:szCs w:val="20"/>
                <w:color w:val="auto"/>
              </w:rPr>
            </w:pPr>
            <w:r>
              <w:rPr>
                <w:rFonts w:ascii="Arial" w:cs="Arial" w:eastAsia="Arial" w:hAnsi="Arial"/>
                <w:sz w:val="14"/>
                <w:szCs w:val="14"/>
                <w:color w:val="auto"/>
              </w:rPr>
              <w:t>Mozambique</w:t>
            </w:r>
          </w:p>
        </w:tc>
        <w:tc>
          <w:tcPr>
            <w:tcW w:w="66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35</w:t>
            </w:r>
          </w:p>
        </w:tc>
        <w:tc>
          <w:tcPr>
            <w:tcW w:w="320" w:type="dxa"/>
            <w:vAlign w:val="bottom"/>
          </w:tcPr>
          <w:p>
            <w:pPr>
              <w:jc w:val="right"/>
              <w:spacing w:after="0"/>
              <w:rPr>
                <w:sz w:val="20"/>
                <w:szCs w:val="20"/>
                <w:color w:val="auto"/>
              </w:rPr>
            </w:pPr>
            <w:r>
              <w:rPr>
                <w:rFonts w:ascii="Arial" w:cs="Arial" w:eastAsia="Arial" w:hAnsi="Arial"/>
                <w:sz w:val="14"/>
                <w:szCs w:val="14"/>
                <w:color w:val="auto"/>
              </w:rPr>
              <w:t>20.</w:t>
            </w:r>
          </w:p>
        </w:tc>
        <w:tc>
          <w:tcPr>
            <w:tcW w:w="1360" w:type="dxa"/>
            <w:vAlign w:val="bottom"/>
          </w:tcPr>
          <w:p>
            <w:pPr>
              <w:ind w:left="40"/>
              <w:spacing w:after="0"/>
              <w:rPr>
                <w:sz w:val="20"/>
                <w:szCs w:val="20"/>
                <w:color w:val="auto"/>
              </w:rPr>
            </w:pPr>
            <w:r>
              <w:rPr>
                <w:rFonts w:ascii="Arial" w:cs="Arial" w:eastAsia="Arial" w:hAnsi="Arial"/>
                <w:sz w:val="14"/>
                <w:szCs w:val="14"/>
                <w:color w:val="auto"/>
              </w:rPr>
              <w:t>South Korea</w:t>
            </w:r>
          </w:p>
        </w:tc>
        <w:tc>
          <w:tcPr>
            <w:tcW w:w="92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17</w:t>
            </w:r>
          </w:p>
        </w:tc>
        <w:tc>
          <w:tcPr>
            <w:tcW w:w="320" w:type="dxa"/>
            <w:vAlign w:val="bottom"/>
          </w:tcPr>
          <w:p>
            <w:pPr>
              <w:jc w:val="right"/>
              <w:spacing w:after="0"/>
              <w:rPr>
                <w:sz w:val="20"/>
                <w:szCs w:val="20"/>
                <w:color w:val="auto"/>
              </w:rPr>
            </w:pPr>
            <w:r>
              <w:rPr>
                <w:rFonts w:ascii="Arial" w:cs="Arial" w:eastAsia="Arial" w:hAnsi="Arial"/>
                <w:sz w:val="14"/>
                <w:szCs w:val="14"/>
                <w:color w:val="auto"/>
              </w:rPr>
              <w:t>29.</w:t>
            </w:r>
          </w:p>
        </w:tc>
        <w:tc>
          <w:tcPr>
            <w:tcW w:w="1560" w:type="dxa"/>
            <w:vAlign w:val="bottom"/>
          </w:tcPr>
          <w:p>
            <w:pPr>
              <w:ind w:left="60"/>
              <w:spacing w:after="0"/>
              <w:rPr>
                <w:sz w:val="20"/>
                <w:szCs w:val="20"/>
                <w:color w:val="auto"/>
              </w:rPr>
            </w:pPr>
            <w:r>
              <w:rPr>
                <w:rFonts w:ascii="Arial" w:cs="Arial" w:eastAsia="Arial" w:hAnsi="Arial"/>
                <w:sz w:val="14"/>
                <w:szCs w:val="14"/>
                <w:color w:val="auto"/>
              </w:rPr>
              <w:t>Luxembourg</w:t>
            </w:r>
          </w:p>
        </w:tc>
        <w:tc>
          <w:tcPr>
            <w:tcW w:w="48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16"/>
        </w:trPr>
        <w:tc>
          <w:tcPr>
            <w:tcW w:w="360" w:type="dxa"/>
            <w:vAlign w:val="bottom"/>
          </w:tcPr>
          <w:p>
            <w:pPr>
              <w:jc w:val="right"/>
              <w:spacing w:after="0"/>
              <w:rPr>
                <w:sz w:val="20"/>
                <w:szCs w:val="20"/>
                <w:color w:val="auto"/>
              </w:rPr>
            </w:pPr>
            <w:r>
              <w:rPr>
                <w:rFonts w:ascii="Arial" w:cs="Arial" w:eastAsia="Arial" w:hAnsi="Arial"/>
                <w:sz w:val="14"/>
                <w:szCs w:val="14"/>
                <w:color w:val="auto"/>
              </w:rPr>
              <w:t>3.</w:t>
            </w:r>
          </w:p>
        </w:tc>
        <w:tc>
          <w:tcPr>
            <w:tcW w:w="1460" w:type="dxa"/>
            <w:vAlign w:val="bottom"/>
          </w:tcPr>
          <w:p>
            <w:pPr>
              <w:ind w:left="40"/>
              <w:spacing w:after="0"/>
              <w:rPr>
                <w:sz w:val="20"/>
                <w:szCs w:val="20"/>
                <w:color w:val="auto"/>
              </w:rPr>
            </w:pPr>
            <w:r>
              <w:rPr>
                <w:rFonts w:ascii="Arial" w:cs="Arial" w:eastAsia="Arial" w:hAnsi="Arial"/>
                <w:sz w:val="14"/>
                <w:szCs w:val="14"/>
                <w:color w:val="auto"/>
              </w:rPr>
              <w:t>Norway</w:t>
            </w:r>
          </w:p>
        </w:tc>
        <w:tc>
          <w:tcPr>
            <w:tcW w:w="600" w:type="dxa"/>
            <w:vAlign w:val="bottom"/>
            <w:tcBorders>
              <w:right w:val="single" w:sz="8" w:color="auto"/>
            </w:tcBorders>
          </w:tcPr>
          <w:p>
            <w:pPr>
              <w:jc w:val="right"/>
              <w:ind w:right="26"/>
              <w:spacing w:after="0"/>
              <w:rPr>
                <w:sz w:val="20"/>
                <w:szCs w:val="20"/>
                <w:color w:val="auto"/>
              </w:rPr>
            </w:pPr>
            <w:r>
              <w:rPr>
                <w:rFonts w:ascii="Arial" w:cs="Arial" w:eastAsia="Arial" w:hAnsi="Arial"/>
                <w:sz w:val="14"/>
                <w:szCs w:val="14"/>
                <w:color w:val="auto"/>
              </w:rPr>
              <w:t>115</w:t>
            </w:r>
          </w:p>
        </w:tc>
        <w:tc>
          <w:tcPr>
            <w:tcW w:w="280" w:type="dxa"/>
            <w:vAlign w:val="bottom"/>
          </w:tcPr>
          <w:p>
            <w:pPr>
              <w:ind w:left="60"/>
              <w:spacing w:after="0"/>
              <w:rPr>
                <w:sz w:val="20"/>
                <w:szCs w:val="20"/>
                <w:color w:val="auto"/>
              </w:rPr>
            </w:pPr>
            <w:r>
              <w:rPr>
                <w:rFonts w:ascii="Arial" w:cs="Arial" w:eastAsia="Arial" w:hAnsi="Arial"/>
                <w:sz w:val="14"/>
                <w:szCs w:val="14"/>
                <w:color w:val="auto"/>
              </w:rPr>
              <w:t>12.</w:t>
            </w:r>
          </w:p>
        </w:tc>
        <w:tc>
          <w:tcPr>
            <w:tcW w:w="1420" w:type="dxa"/>
            <w:vAlign w:val="bottom"/>
          </w:tcPr>
          <w:p>
            <w:pPr>
              <w:ind w:left="40"/>
              <w:spacing w:after="0"/>
              <w:rPr>
                <w:sz w:val="20"/>
                <w:szCs w:val="20"/>
                <w:color w:val="auto"/>
              </w:rPr>
            </w:pPr>
            <w:r>
              <w:rPr>
                <w:rFonts w:ascii="Arial" w:cs="Arial" w:eastAsia="Arial" w:hAnsi="Arial"/>
                <w:sz w:val="14"/>
                <w:szCs w:val="14"/>
                <w:color w:val="auto"/>
              </w:rPr>
              <w:t>Guam</w:t>
            </w:r>
          </w:p>
        </w:tc>
        <w:tc>
          <w:tcPr>
            <w:tcW w:w="66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33</w:t>
            </w:r>
          </w:p>
        </w:tc>
        <w:tc>
          <w:tcPr>
            <w:tcW w:w="320" w:type="dxa"/>
            <w:vAlign w:val="bottom"/>
          </w:tcPr>
          <w:p>
            <w:pPr>
              <w:jc w:val="right"/>
              <w:spacing w:after="0"/>
              <w:rPr>
                <w:sz w:val="20"/>
                <w:szCs w:val="20"/>
                <w:color w:val="auto"/>
              </w:rPr>
            </w:pPr>
            <w:r>
              <w:rPr>
                <w:rFonts w:ascii="Arial" w:cs="Arial" w:eastAsia="Arial" w:hAnsi="Arial"/>
                <w:sz w:val="14"/>
                <w:szCs w:val="14"/>
                <w:color w:val="auto"/>
              </w:rPr>
              <w:t>21.</w:t>
            </w:r>
          </w:p>
        </w:tc>
        <w:tc>
          <w:tcPr>
            <w:tcW w:w="1360" w:type="dxa"/>
            <w:vAlign w:val="bottom"/>
          </w:tcPr>
          <w:p>
            <w:pPr>
              <w:ind w:left="40"/>
              <w:spacing w:after="0"/>
              <w:rPr>
                <w:sz w:val="20"/>
                <w:szCs w:val="20"/>
                <w:color w:val="auto"/>
              </w:rPr>
            </w:pPr>
            <w:r>
              <w:rPr>
                <w:rFonts w:ascii="Arial" w:cs="Arial" w:eastAsia="Arial" w:hAnsi="Arial"/>
                <w:sz w:val="14"/>
                <w:szCs w:val="14"/>
                <w:color w:val="auto"/>
              </w:rPr>
              <w:t>Saudi Arabia</w:t>
            </w:r>
          </w:p>
        </w:tc>
        <w:tc>
          <w:tcPr>
            <w:tcW w:w="92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c>
          <w:tcPr>
            <w:tcW w:w="320" w:type="dxa"/>
            <w:vAlign w:val="bottom"/>
          </w:tcPr>
          <w:p>
            <w:pPr>
              <w:jc w:val="right"/>
              <w:spacing w:after="0"/>
              <w:rPr>
                <w:sz w:val="20"/>
                <w:szCs w:val="20"/>
                <w:color w:val="auto"/>
              </w:rPr>
            </w:pPr>
            <w:r>
              <w:rPr>
                <w:rFonts w:ascii="Arial" w:cs="Arial" w:eastAsia="Arial" w:hAnsi="Arial"/>
                <w:sz w:val="14"/>
                <w:szCs w:val="14"/>
                <w:color w:val="auto"/>
              </w:rPr>
              <w:t>30.</w:t>
            </w:r>
          </w:p>
        </w:tc>
        <w:tc>
          <w:tcPr>
            <w:tcW w:w="1560" w:type="dxa"/>
            <w:vAlign w:val="bottom"/>
          </w:tcPr>
          <w:p>
            <w:pPr>
              <w:ind w:left="60"/>
              <w:spacing w:after="0"/>
              <w:rPr>
                <w:sz w:val="20"/>
                <w:szCs w:val="20"/>
                <w:color w:val="auto"/>
              </w:rPr>
            </w:pPr>
            <w:r>
              <w:rPr>
                <w:rFonts w:ascii="Arial" w:cs="Arial" w:eastAsia="Arial" w:hAnsi="Arial"/>
                <w:sz w:val="14"/>
                <w:szCs w:val="14"/>
                <w:color w:val="auto"/>
              </w:rPr>
              <w:t>Peru</w:t>
            </w:r>
          </w:p>
        </w:tc>
        <w:tc>
          <w:tcPr>
            <w:tcW w:w="48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16"/>
        </w:trPr>
        <w:tc>
          <w:tcPr>
            <w:tcW w:w="360" w:type="dxa"/>
            <w:vAlign w:val="bottom"/>
          </w:tcPr>
          <w:p>
            <w:pPr>
              <w:jc w:val="right"/>
              <w:spacing w:after="0"/>
              <w:rPr>
                <w:sz w:val="20"/>
                <w:szCs w:val="20"/>
                <w:color w:val="auto"/>
              </w:rPr>
            </w:pPr>
            <w:r>
              <w:rPr>
                <w:rFonts w:ascii="Arial" w:cs="Arial" w:eastAsia="Arial" w:hAnsi="Arial"/>
                <w:sz w:val="14"/>
                <w:szCs w:val="14"/>
                <w:color w:val="auto"/>
              </w:rPr>
              <w:t>4.</w:t>
            </w:r>
          </w:p>
        </w:tc>
        <w:tc>
          <w:tcPr>
            <w:tcW w:w="1460" w:type="dxa"/>
            <w:vAlign w:val="bottom"/>
          </w:tcPr>
          <w:p>
            <w:pPr>
              <w:ind w:left="40"/>
              <w:spacing w:after="0"/>
              <w:rPr>
                <w:sz w:val="20"/>
                <w:szCs w:val="20"/>
                <w:color w:val="auto"/>
              </w:rPr>
            </w:pPr>
            <w:r>
              <w:rPr>
                <w:rFonts w:ascii="Arial" w:cs="Arial" w:eastAsia="Arial" w:hAnsi="Arial"/>
                <w:sz w:val="14"/>
                <w:szCs w:val="14"/>
                <w:color w:val="auto"/>
              </w:rPr>
              <w:t>Turkey</w:t>
            </w:r>
          </w:p>
        </w:tc>
        <w:tc>
          <w:tcPr>
            <w:tcW w:w="600" w:type="dxa"/>
            <w:vAlign w:val="bottom"/>
            <w:tcBorders>
              <w:right w:val="single" w:sz="8" w:color="auto"/>
            </w:tcBorders>
          </w:tcPr>
          <w:p>
            <w:pPr>
              <w:jc w:val="right"/>
              <w:ind w:right="26"/>
              <w:spacing w:after="0"/>
              <w:rPr>
                <w:sz w:val="20"/>
                <w:szCs w:val="20"/>
                <w:color w:val="auto"/>
              </w:rPr>
            </w:pPr>
            <w:r>
              <w:rPr>
                <w:rFonts w:ascii="Arial" w:cs="Arial" w:eastAsia="Arial" w:hAnsi="Arial"/>
                <w:sz w:val="14"/>
                <w:szCs w:val="14"/>
                <w:color w:val="auto"/>
              </w:rPr>
              <w:t>105</w:t>
            </w:r>
          </w:p>
        </w:tc>
        <w:tc>
          <w:tcPr>
            <w:tcW w:w="280" w:type="dxa"/>
            <w:vAlign w:val="bottom"/>
          </w:tcPr>
          <w:p>
            <w:pPr>
              <w:ind w:left="60"/>
              <w:spacing w:after="0"/>
              <w:rPr>
                <w:sz w:val="20"/>
                <w:szCs w:val="20"/>
                <w:color w:val="auto"/>
              </w:rPr>
            </w:pPr>
            <w:r>
              <w:rPr>
                <w:rFonts w:ascii="Arial" w:cs="Arial" w:eastAsia="Arial" w:hAnsi="Arial"/>
                <w:sz w:val="14"/>
                <w:szCs w:val="14"/>
                <w:color w:val="auto"/>
              </w:rPr>
              <w:t>13.</w:t>
            </w:r>
          </w:p>
        </w:tc>
        <w:tc>
          <w:tcPr>
            <w:tcW w:w="1420" w:type="dxa"/>
            <w:vAlign w:val="bottom"/>
          </w:tcPr>
          <w:p>
            <w:pPr>
              <w:ind w:left="40"/>
              <w:spacing w:after="0"/>
              <w:rPr>
                <w:sz w:val="20"/>
                <w:szCs w:val="20"/>
                <w:color w:val="auto"/>
              </w:rPr>
            </w:pPr>
            <w:r>
              <w:rPr>
                <w:rFonts w:ascii="Arial" w:cs="Arial" w:eastAsia="Arial" w:hAnsi="Arial"/>
                <w:sz w:val="14"/>
                <w:szCs w:val="14"/>
                <w:color w:val="auto"/>
              </w:rPr>
              <w:t>Kazakhstan</w:t>
            </w:r>
          </w:p>
        </w:tc>
        <w:tc>
          <w:tcPr>
            <w:tcW w:w="66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33</w:t>
            </w:r>
          </w:p>
        </w:tc>
        <w:tc>
          <w:tcPr>
            <w:tcW w:w="320" w:type="dxa"/>
            <w:vAlign w:val="bottom"/>
          </w:tcPr>
          <w:p>
            <w:pPr>
              <w:jc w:val="right"/>
              <w:spacing w:after="0"/>
              <w:rPr>
                <w:sz w:val="20"/>
                <w:szCs w:val="20"/>
                <w:color w:val="auto"/>
              </w:rPr>
            </w:pPr>
            <w:r>
              <w:rPr>
                <w:rFonts w:ascii="Arial" w:cs="Arial" w:eastAsia="Arial" w:hAnsi="Arial"/>
                <w:sz w:val="14"/>
                <w:szCs w:val="14"/>
                <w:color w:val="auto"/>
              </w:rPr>
              <w:t>22.</w:t>
            </w:r>
          </w:p>
        </w:tc>
        <w:tc>
          <w:tcPr>
            <w:tcW w:w="1360" w:type="dxa"/>
            <w:vAlign w:val="bottom"/>
          </w:tcPr>
          <w:p>
            <w:pPr>
              <w:ind w:left="40"/>
              <w:spacing w:after="0"/>
              <w:rPr>
                <w:sz w:val="20"/>
                <w:szCs w:val="20"/>
                <w:color w:val="auto"/>
              </w:rPr>
            </w:pPr>
            <w:r>
              <w:rPr>
                <w:rFonts w:ascii="Arial" w:cs="Arial" w:eastAsia="Arial" w:hAnsi="Arial"/>
                <w:sz w:val="14"/>
                <w:szCs w:val="14"/>
                <w:color w:val="auto"/>
              </w:rPr>
              <w:t>Greece</w:t>
            </w:r>
          </w:p>
        </w:tc>
        <w:tc>
          <w:tcPr>
            <w:tcW w:w="92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320" w:type="dxa"/>
            <w:vAlign w:val="bottom"/>
          </w:tcPr>
          <w:p>
            <w:pPr>
              <w:jc w:val="right"/>
              <w:spacing w:after="0"/>
              <w:rPr>
                <w:sz w:val="20"/>
                <w:szCs w:val="20"/>
                <w:color w:val="auto"/>
              </w:rPr>
            </w:pPr>
            <w:r>
              <w:rPr>
                <w:rFonts w:ascii="Arial" w:cs="Arial" w:eastAsia="Arial" w:hAnsi="Arial"/>
                <w:sz w:val="14"/>
                <w:szCs w:val="14"/>
                <w:color w:val="auto"/>
              </w:rPr>
              <w:t>31.</w:t>
            </w:r>
          </w:p>
        </w:tc>
        <w:tc>
          <w:tcPr>
            <w:tcW w:w="1560" w:type="dxa"/>
            <w:vAlign w:val="bottom"/>
          </w:tcPr>
          <w:p>
            <w:pPr>
              <w:ind w:left="60"/>
              <w:spacing w:after="0"/>
              <w:rPr>
                <w:sz w:val="20"/>
                <w:szCs w:val="20"/>
                <w:color w:val="auto"/>
              </w:rPr>
            </w:pPr>
            <w:r>
              <w:rPr>
                <w:rFonts w:ascii="Arial" w:cs="Arial" w:eastAsia="Arial" w:hAnsi="Arial"/>
                <w:sz w:val="14"/>
                <w:szCs w:val="14"/>
                <w:color w:val="auto"/>
              </w:rPr>
              <w:t>South Africa</w:t>
            </w:r>
          </w:p>
        </w:tc>
        <w:tc>
          <w:tcPr>
            <w:tcW w:w="48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16"/>
        </w:trPr>
        <w:tc>
          <w:tcPr>
            <w:tcW w:w="360" w:type="dxa"/>
            <w:vAlign w:val="bottom"/>
          </w:tcPr>
          <w:p>
            <w:pPr>
              <w:jc w:val="right"/>
              <w:spacing w:after="0"/>
              <w:rPr>
                <w:sz w:val="20"/>
                <w:szCs w:val="20"/>
                <w:color w:val="auto"/>
              </w:rPr>
            </w:pPr>
            <w:r>
              <w:rPr>
                <w:rFonts w:ascii="Arial" w:cs="Arial" w:eastAsia="Arial" w:hAnsi="Arial"/>
                <w:sz w:val="14"/>
                <w:szCs w:val="14"/>
                <w:color w:val="auto"/>
              </w:rPr>
              <w:t>5.</w:t>
            </w:r>
          </w:p>
        </w:tc>
        <w:tc>
          <w:tcPr>
            <w:tcW w:w="1460" w:type="dxa"/>
            <w:vAlign w:val="bottom"/>
          </w:tcPr>
          <w:p>
            <w:pPr>
              <w:ind w:left="40"/>
              <w:spacing w:after="0"/>
              <w:rPr>
                <w:sz w:val="20"/>
                <w:szCs w:val="20"/>
                <w:color w:val="auto"/>
              </w:rPr>
            </w:pPr>
            <w:r>
              <w:rPr>
                <w:rFonts w:ascii="Arial" w:cs="Arial" w:eastAsia="Arial" w:hAnsi="Arial"/>
                <w:sz w:val="14"/>
                <w:szCs w:val="14"/>
                <w:color w:val="auto"/>
              </w:rPr>
              <w:t>New Zealand</w:t>
            </w:r>
          </w:p>
        </w:tc>
        <w:tc>
          <w:tcPr>
            <w:tcW w:w="600" w:type="dxa"/>
            <w:vAlign w:val="bottom"/>
            <w:tcBorders>
              <w:right w:val="single" w:sz="8" w:color="auto"/>
            </w:tcBorders>
          </w:tcPr>
          <w:p>
            <w:pPr>
              <w:jc w:val="right"/>
              <w:ind w:right="26"/>
              <w:spacing w:after="0"/>
              <w:rPr>
                <w:sz w:val="20"/>
                <w:szCs w:val="20"/>
                <w:color w:val="auto"/>
              </w:rPr>
            </w:pPr>
            <w:r>
              <w:rPr>
                <w:rFonts w:ascii="Arial" w:cs="Arial" w:eastAsia="Arial" w:hAnsi="Arial"/>
                <w:sz w:val="14"/>
                <w:szCs w:val="14"/>
                <w:color w:val="auto"/>
              </w:rPr>
              <w:t>80</w:t>
            </w:r>
          </w:p>
        </w:tc>
        <w:tc>
          <w:tcPr>
            <w:tcW w:w="280" w:type="dxa"/>
            <w:vAlign w:val="bottom"/>
          </w:tcPr>
          <w:p>
            <w:pPr>
              <w:ind w:left="60"/>
              <w:spacing w:after="0"/>
              <w:rPr>
                <w:sz w:val="20"/>
                <w:szCs w:val="20"/>
                <w:color w:val="auto"/>
              </w:rPr>
            </w:pPr>
            <w:r>
              <w:rPr>
                <w:rFonts w:ascii="Arial" w:cs="Arial" w:eastAsia="Arial" w:hAnsi="Arial"/>
                <w:sz w:val="14"/>
                <w:szCs w:val="14"/>
                <w:color w:val="auto"/>
              </w:rPr>
              <w:t>14.</w:t>
            </w:r>
          </w:p>
        </w:tc>
        <w:tc>
          <w:tcPr>
            <w:tcW w:w="1420" w:type="dxa"/>
            <w:vAlign w:val="bottom"/>
          </w:tcPr>
          <w:p>
            <w:pPr>
              <w:ind w:left="40"/>
              <w:spacing w:after="0"/>
              <w:rPr>
                <w:sz w:val="20"/>
                <w:szCs w:val="20"/>
                <w:color w:val="auto"/>
              </w:rPr>
            </w:pPr>
            <w:r>
              <w:rPr>
                <w:rFonts w:ascii="Arial" w:cs="Arial" w:eastAsia="Arial" w:hAnsi="Arial"/>
                <w:sz w:val="14"/>
                <w:szCs w:val="14"/>
                <w:color w:val="auto"/>
              </w:rPr>
              <w:t>Cyprus</w:t>
            </w:r>
          </w:p>
        </w:tc>
        <w:tc>
          <w:tcPr>
            <w:tcW w:w="66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28</w:t>
            </w:r>
          </w:p>
        </w:tc>
        <w:tc>
          <w:tcPr>
            <w:tcW w:w="320" w:type="dxa"/>
            <w:vAlign w:val="bottom"/>
          </w:tcPr>
          <w:p>
            <w:pPr>
              <w:jc w:val="right"/>
              <w:spacing w:after="0"/>
              <w:rPr>
                <w:sz w:val="20"/>
                <w:szCs w:val="20"/>
                <w:color w:val="auto"/>
              </w:rPr>
            </w:pPr>
            <w:r>
              <w:rPr>
                <w:rFonts w:ascii="Arial" w:cs="Arial" w:eastAsia="Arial" w:hAnsi="Arial"/>
                <w:sz w:val="14"/>
                <w:szCs w:val="14"/>
                <w:color w:val="auto"/>
              </w:rPr>
              <w:t>23.</w:t>
            </w:r>
          </w:p>
        </w:tc>
        <w:tc>
          <w:tcPr>
            <w:tcW w:w="1360" w:type="dxa"/>
            <w:vAlign w:val="bottom"/>
          </w:tcPr>
          <w:p>
            <w:pPr>
              <w:ind w:left="40"/>
              <w:spacing w:after="0"/>
              <w:rPr>
                <w:sz w:val="20"/>
                <w:szCs w:val="20"/>
                <w:color w:val="auto"/>
              </w:rPr>
            </w:pPr>
            <w:r>
              <w:rPr>
                <w:rFonts w:ascii="Arial" w:cs="Arial" w:eastAsia="Arial" w:hAnsi="Arial"/>
                <w:sz w:val="14"/>
                <w:szCs w:val="14"/>
                <w:color w:val="auto"/>
              </w:rPr>
              <w:t>Vietnam</w:t>
            </w:r>
          </w:p>
        </w:tc>
        <w:tc>
          <w:tcPr>
            <w:tcW w:w="92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c>
          <w:tcPr>
            <w:tcW w:w="320" w:type="dxa"/>
            <w:vAlign w:val="bottom"/>
          </w:tcPr>
          <w:p>
            <w:pPr>
              <w:jc w:val="right"/>
              <w:spacing w:after="0"/>
              <w:rPr>
                <w:sz w:val="20"/>
                <w:szCs w:val="20"/>
                <w:color w:val="auto"/>
              </w:rPr>
            </w:pPr>
            <w:r>
              <w:rPr>
                <w:rFonts w:ascii="Arial" w:cs="Arial" w:eastAsia="Arial" w:hAnsi="Arial"/>
                <w:sz w:val="14"/>
                <w:szCs w:val="14"/>
                <w:color w:val="auto"/>
              </w:rPr>
              <w:t>32.</w:t>
            </w:r>
          </w:p>
        </w:tc>
        <w:tc>
          <w:tcPr>
            <w:tcW w:w="1560" w:type="dxa"/>
            <w:vAlign w:val="bottom"/>
          </w:tcPr>
          <w:p>
            <w:pPr>
              <w:ind w:left="60"/>
              <w:spacing w:after="0"/>
              <w:rPr>
                <w:sz w:val="20"/>
                <w:szCs w:val="20"/>
                <w:color w:val="auto"/>
              </w:rPr>
            </w:pPr>
            <w:r>
              <w:rPr>
                <w:rFonts w:ascii="Arial" w:cs="Arial" w:eastAsia="Arial" w:hAnsi="Arial"/>
                <w:sz w:val="14"/>
                <w:szCs w:val="14"/>
                <w:color w:val="auto"/>
              </w:rPr>
              <w:t>Micronesia</w:t>
            </w:r>
          </w:p>
        </w:tc>
        <w:tc>
          <w:tcPr>
            <w:tcW w:w="4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16"/>
        </w:trPr>
        <w:tc>
          <w:tcPr>
            <w:tcW w:w="360" w:type="dxa"/>
            <w:vAlign w:val="bottom"/>
          </w:tcPr>
          <w:p>
            <w:pPr>
              <w:jc w:val="right"/>
              <w:spacing w:after="0"/>
              <w:rPr>
                <w:sz w:val="20"/>
                <w:szCs w:val="20"/>
                <w:color w:val="auto"/>
              </w:rPr>
            </w:pPr>
            <w:r>
              <w:rPr>
                <w:rFonts w:ascii="Arial" w:cs="Arial" w:eastAsia="Arial" w:hAnsi="Arial"/>
                <w:sz w:val="14"/>
                <w:szCs w:val="14"/>
                <w:color w:val="auto"/>
              </w:rPr>
              <w:t>6.</w:t>
            </w:r>
          </w:p>
        </w:tc>
        <w:tc>
          <w:tcPr>
            <w:tcW w:w="1460" w:type="dxa"/>
            <w:vAlign w:val="bottom"/>
          </w:tcPr>
          <w:p>
            <w:pPr>
              <w:ind w:left="40"/>
              <w:spacing w:after="0"/>
              <w:rPr>
                <w:sz w:val="20"/>
                <w:szCs w:val="20"/>
                <w:color w:val="auto"/>
              </w:rPr>
            </w:pPr>
            <w:r>
              <w:rPr>
                <w:rFonts w:ascii="Arial" w:cs="Arial" w:eastAsia="Arial" w:hAnsi="Arial"/>
                <w:sz w:val="14"/>
                <w:szCs w:val="14"/>
                <w:color w:val="auto"/>
              </w:rPr>
              <w:t>Finland</w:t>
            </w:r>
          </w:p>
        </w:tc>
        <w:tc>
          <w:tcPr>
            <w:tcW w:w="600" w:type="dxa"/>
            <w:vAlign w:val="bottom"/>
            <w:tcBorders>
              <w:right w:val="single" w:sz="8" w:color="auto"/>
            </w:tcBorders>
          </w:tcPr>
          <w:p>
            <w:pPr>
              <w:jc w:val="right"/>
              <w:ind w:right="26"/>
              <w:spacing w:after="0"/>
              <w:rPr>
                <w:sz w:val="20"/>
                <w:szCs w:val="20"/>
                <w:color w:val="auto"/>
              </w:rPr>
            </w:pPr>
            <w:r>
              <w:rPr>
                <w:rFonts w:ascii="Arial" w:cs="Arial" w:eastAsia="Arial" w:hAnsi="Arial"/>
                <w:sz w:val="14"/>
                <w:szCs w:val="14"/>
                <w:color w:val="auto"/>
              </w:rPr>
              <w:t>78</w:t>
            </w:r>
          </w:p>
        </w:tc>
        <w:tc>
          <w:tcPr>
            <w:tcW w:w="280" w:type="dxa"/>
            <w:vAlign w:val="bottom"/>
          </w:tcPr>
          <w:p>
            <w:pPr>
              <w:ind w:left="60"/>
              <w:spacing w:after="0"/>
              <w:rPr>
                <w:sz w:val="20"/>
                <w:szCs w:val="20"/>
                <w:color w:val="auto"/>
              </w:rPr>
            </w:pPr>
            <w:r>
              <w:rPr>
                <w:rFonts w:ascii="Arial" w:cs="Arial" w:eastAsia="Arial" w:hAnsi="Arial"/>
                <w:sz w:val="14"/>
                <w:szCs w:val="14"/>
                <w:color w:val="auto"/>
              </w:rPr>
              <w:t>15.</w:t>
            </w:r>
          </w:p>
        </w:tc>
        <w:tc>
          <w:tcPr>
            <w:tcW w:w="1420" w:type="dxa"/>
            <w:vAlign w:val="bottom"/>
          </w:tcPr>
          <w:p>
            <w:pPr>
              <w:ind w:left="40"/>
              <w:spacing w:after="0"/>
              <w:rPr>
                <w:sz w:val="20"/>
                <w:szCs w:val="20"/>
                <w:color w:val="auto"/>
              </w:rPr>
            </w:pPr>
            <w:r>
              <w:rPr>
                <w:rFonts w:ascii="Arial" w:cs="Arial" w:eastAsia="Arial" w:hAnsi="Arial"/>
                <w:sz w:val="14"/>
                <w:szCs w:val="14"/>
                <w:color w:val="auto"/>
              </w:rPr>
              <w:t>Fiji</w:t>
            </w:r>
          </w:p>
        </w:tc>
        <w:tc>
          <w:tcPr>
            <w:tcW w:w="66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25</w:t>
            </w:r>
          </w:p>
        </w:tc>
        <w:tc>
          <w:tcPr>
            <w:tcW w:w="320" w:type="dxa"/>
            <w:vAlign w:val="bottom"/>
          </w:tcPr>
          <w:p>
            <w:pPr>
              <w:jc w:val="right"/>
              <w:spacing w:after="0"/>
              <w:rPr>
                <w:sz w:val="20"/>
                <w:szCs w:val="20"/>
                <w:color w:val="auto"/>
              </w:rPr>
            </w:pPr>
            <w:r>
              <w:rPr>
                <w:rFonts w:ascii="Arial" w:cs="Arial" w:eastAsia="Arial" w:hAnsi="Arial"/>
                <w:sz w:val="14"/>
                <w:szCs w:val="14"/>
                <w:color w:val="auto"/>
              </w:rPr>
              <w:t>24.</w:t>
            </w:r>
          </w:p>
        </w:tc>
        <w:tc>
          <w:tcPr>
            <w:tcW w:w="1360" w:type="dxa"/>
            <w:vAlign w:val="bottom"/>
          </w:tcPr>
          <w:p>
            <w:pPr>
              <w:ind w:left="40"/>
              <w:spacing w:after="0"/>
              <w:rPr>
                <w:sz w:val="20"/>
                <w:szCs w:val="20"/>
                <w:color w:val="auto"/>
              </w:rPr>
            </w:pPr>
            <w:r>
              <w:rPr>
                <w:rFonts w:ascii="Arial" w:cs="Arial" w:eastAsia="Arial" w:hAnsi="Arial"/>
                <w:sz w:val="14"/>
                <w:szCs w:val="14"/>
                <w:color w:val="auto"/>
              </w:rPr>
              <w:t>Spain</w:t>
            </w:r>
          </w:p>
        </w:tc>
        <w:tc>
          <w:tcPr>
            <w:tcW w:w="92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8</w:t>
            </w:r>
          </w:p>
        </w:tc>
        <w:tc>
          <w:tcPr>
            <w:tcW w:w="320" w:type="dxa"/>
            <w:vAlign w:val="bottom"/>
          </w:tcPr>
          <w:p>
            <w:pPr>
              <w:jc w:val="right"/>
              <w:spacing w:after="0"/>
              <w:rPr>
                <w:sz w:val="20"/>
                <w:szCs w:val="20"/>
                <w:color w:val="auto"/>
              </w:rPr>
            </w:pPr>
            <w:r>
              <w:rPr>
                <w:rFonts w:ascii="Arial" w:cs="Arial" w:eastAsia="Arial" w:hAnsi="Arial"/>
                <w:sz w:val="14"/>
                <w:szCs w:val="14"/>
                <w:color w:val="auto"/>
              </w:rPr>
              <w:t>33.</w:t>
            </w:r>
          </w:p>
        </w:tc>
        <w:tc>
          <w:tcPr>
            <w:tcW w:w="1560" w:type="dxa"/>
            <w:vAlign w:val="bottom"/>
          </w:tcPr>
          <w:p>
            <w:pPr>
              <w:ind w:left="60"/>
              <w:spacing w:after="0"/>
              <w:rPr>
                <w:sz w:val="20"/>
                <w:szCs w:val="20"/>
                <w:color w:val="auto"/>
              </w:rPr>
            </w:pPr>
            <w:r>
              <w:rPr>
                <w:rFonts w:ascii="Arial" w:cs="Arial" w:eastAsia="Arial" w:hAnsi="Arial"/>
                <w:sz w:val="14"/>
                <w:szCs w:val="14"/>
                <w:color w:val="auto"/>
              </w:rPr>
              <w:t>Namibia</w:t>
            </w:r>
          </w:p>
        </w:tc>
        <w:tc>
          <w:tcPr>
            <w:tcW w:w="4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16"/>
        </w:trPr>
        <w:tc>
          <w:tcPr>
            <w:tcW w:w="360" w:type="dxa"/>
            <w:vAlign w:val="bottom"/>
          </w:tcPr>
          <w:p>
            <w:pPr>
              <w:jc w:val="right"/>
              <w:spacing w:after="0"/>
              <w:rPr>
                <w:sz w:val="20"/>
                <w:szCs w:val="20"/>
                <w:color w:val="auto"/>
              </w:rPr>
            </w:pPr>
            <w:r>
              <w:rPr>
                <w:rFonts w:ascii="Arial" w:cs="Arial" w:eastAsia="Arial" w:hAnsi="Arial"/>
                <w:sz w:val="14"/>
                <w:szCs w:val="14"/>
                <w:color w:val="auto"/>
              </w:rPr>
              <w:t>7.</w:t>
            </w:r>
          </w:p>
        </w:tc>
        <w:tc>
          <w:tcPr>
            <w:tcW w:w="1460" w:type="dxa"/>
            <w:vAlign w:val="bottom"/>
          </w:tcPr>
          <w:p>
            <w:pPr>
              <w:ind w:left="40"/>
              <w:spacing w:after="0"/>
              <w:rPr>
                <w:sz w:val="20"/>
                <w:szCs w:val="20"/>
                <w:color w:val="auto"/>
              </w:rPr>
            </w:pPr>
            <w:r>
              <w:rPr>
                <w:rFonts w:ascii="Arial" w:cs="Arial" w:eastAsia="Arial" w:hAnsi="Arial"/>
                <w:sz w:val="14"/>
                <w:szCs w:val="14"/>
                <w:color w:val="auto"/>
              </w:rPr>
              <w:t>Japan</w:t>
            </w:r>
          </w:p>
        </w:tc>
        <w:tc>
          <w:tcPr>
            <w:tcW w:w="600" w:type="dxa"/>
            <w:vAlign w:val="bottom"/>
            <w:tcBorders>
              <w:right w:val="single" w:sz="8" w:color="auto"/>
            </w:tcBorders>
          </w:tcPr>
          <w:p>
            <w:pPr>
              <w:jc w:val="right"/>
              <w:ind w:right="26"/>
              <w:spacing w:after="0"/>
              <w:rPr>
                <w:sz w:val="20"/>
                <w:szCs w:val="20"/>
                <w:color w:val="auto"/>
              </w:rPr>
            </w:pPr>
            <w:r>
              <w:rPr>
                <w:rFonts w:ascii="Arial" w:cs="Arial" w:eastAsia="Arial" w:hAnsi="Arial"/>
                <w:sz w:val="14"/>
                <w:szCs w:val="14"/>
                <w:color w:val="auto"/>
              </w:rPr>
              <w:t>67</w:t>
            </w:r>
          </w:p>
        </w:tc>
        <w:tc>
          <w:tcPr>
            <w:tcW w:w="280" w:type="dxa"/>
            <w:vAlign w:val="bottom"/>
          </w:tcPr>
          <w:p>
            <w:pPr>
              <w:ind w:left="60"/>
              <w:spacing w:after="0"/>
              <w:rPr>
                <w:sz w:val="20"/>
                <w:szCs w:val="20"/>
                <w:color w:val="auto"/>
              </w:rPr>
            </w:pPr>
            <w:r>
              <w:rPr>
                <w:rFonts w:ascii="Arial" w:cs="Arial" w:eastAsia="Arial" w:hAnsi="Arial"/>
                <w:sz w:val="14"/>
                <w:szCs w:val="14"/>
                <w:color w:val="auto"/>
              </w:rPr>
              <w:t>16.</w:t>
            </w:r>
          </w:p>
        </w:tc>
        <w:tc>
          <w:tcPr>
            <w:tcW w:w="1420" w:type="dxa"/>
            <w:vAlign w:val="bottom"/>
          </w:tcPr>
          <w:p>
            <w:pPr>
              <w:ind w:left="40"/>
              <w:spacing w:after="0"/>
              <w:rPr>
                <w:sz w:val="20"/>
                <w:szCs w:val="20"/>
                <w:color w:val="auto"/>
              </w:rPr>
            </w:pPr>
            <w:r>
              <w:rPr>
                <w:rFonts w:ascii="Arial" w:cs="Arial" w:eastAsia="Arial" w:hAnsi="Arial"/>
                <w:sz w:val="14"/>
                <w:szCs w:val="14"/>
                <w:color w:val="auto"/>
              </w:rPr>
              <w:t>New Caledonia</w:t>
            </w:r>
          </w:p>
        </w:tc>
        <w:tc>
          <w:tcPr>
            <w:tcW w:w="66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24</w:t>
            </w:r>
          </w:p>
        </w:tc>
        <w:tc>
          <w:tcPr>
            <w:tcW w:w="320" w:type="dxa"/>
            <w:vAlign w:val="bottom"/>
          </w:tcPr>
          <w:p>
            <w:pPr>
              <w:jc w:val="right"/>
              <w:spacing w:after="0"/>
              <w:rPr>
                <w:sz w:val="20"/>
                <w:szCs w:val="20"/>
                <w:color w:val="auto"/>
              </w:rPr>
            </w:pPr>
            <w:r>
              <w:rPr>
                <w:rFonts w:ascii="Arial" w:cs="Arial" w:eastAsia="Arial" w:hAnsi="Arial"/>
                <w:sz w:val="14"/>
                <w:szCs w:val="14"/>
                <w:color w:val="auto"/>
              </w:rPr>
              <w:t>25.</w:t>
            </w:r>
          </w:p>
        </w:tc>
        <w:tc>
          <w:tcPr>
            <w:tcW w:w="1360" w:type="dxa"/>
            <w:vAlign w:val="bottom"/>
          </w:tcPr>
          <w:p>
            <w:pPr>
              <w:ind w:left="40"/>
              <w:spacing w:after="0"/>
              <w:rPr>
                <w:sz w:val="20"/>
                <w:szCs w:val="20"/>
                <w:color w:val="auto"/>
              </w:rPr>
            </w:pPr>
            <w:r>
              <w:rPr>
                <w:rFonts w:ascii="Arial" w:cs="Arial" w:eastAsia="Arial" w:hAnsi="Arial"/>
                <w:sz w:val="14"/>
                <w:szCs w:val="14"/>
                <w:color w:val="auto"/>
              </w:rPr>
              <w:t>Denmark</w:t>
            </w:r>
          </w:p>
        </w:tc>
        <w:tc>
          <w:tcPr>
            <w:tcW w:w="92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320" w:type="dxa"/>
            <w:vAlign w:val="bottom"/>
          </w:tcPr>
          <w:p>
            <w:pPr>
              <w:jc w:val="right"/>
              <w:spacing w:after="0"/>
              <w:rPr>
                <w:sz w:val="20"/>
                <w:szCs w:val="20"/>
                <w:color w:val="auto"/>
              </w:rPr>
            </w:pPr>
            <w:r>
              <w:rPr>
                <w:rFonts w:ascii="Arial" w:cs="Arial" w:eastAsia="Arial" w:hAnsi="Arial"/>
                <w:sz w:val="14"/>
                <w:szCs w:val="14"/>
                <w:color w:val="auto"/>
              </w:rPr>
              <w:t>34.</w:t>
            </w:r>
          </w:p>
        </w:tc>
        <w:tc>
          <w:tcPr>
            <w:tcW w:w="1560" w:type="dxa"/>
            <w:vAlign w:val="bottom"/>
          </w:tcPr>
          <w:p>
            <w:pPr>
              <w:ind w:left="60"/>
              <w:spacing w:after="0"/>
              <w:rPr>
                <w:sz w:val="20"/>
                <w:szCs w:val="20"/>
                <w:color w:val="auto"/>
              </w:rPr>
            </w:pPr>
            <w:r>
              <w:rPr>
                <w:rFonts w:ascii="Arial" w:cs="Arial" w:eastAsia="Arial" w:hAnsi="Arial"/>
                <w:sz w:val="14"/>
                <w:szCs w:val="14"/>
                <w:color w:val="auto"/>
              </w:rPr>
              <w:t>Bahamas</w:t>
            </w:r>
          </w:p>
        </w:tc>
        <w:tc>
          <w:tcPr>
            <w:tcW w:w="4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16"/>
        </w:trPr>
        <w:tc>
          <w:tcPr>
            <w:tcW w:w="360" w:type="dxa"/>
            <w:vAlign w:val="bottom"/>
          </w:tcPr>
          <w:p>
            <w:pPr>
              <w:jc w:val="right"/>
              <w:spacing w:after="0"/>
              <w:rPr>
                <w:sz w:val="20"/>
                <w:szCs w:val="20"/>
                <w:color w:val="auto"/>
              </w:rPr>
            </w:pPr>
            <w:r>
              <w:rPr>
                <w:rFonts w:ascii="Arial" w:cs="Arial" w:eastAsia="Arial" w:hAnsi="Arial"/>
                <w:sz w:val="14"/>
                <w:szCs w:val="14"/>
                <w:color w:val="auto"/>
              </w:rPr>
              <w:t>8.</w:t>
            </w:r>
          </w:p>
        </w:tc>
        <w:tc>
          <w:tcPr>
            <w:tcW w:w="1460" w:type="dxa"/>
            <w:vAlign w:val="bottom"/>
          </w:tcPr>
          <w:p>
            <w:pPr>
              <w:ind w:left="40"/>
              <w:spacing w:after="0"/>
              <w:rPr>
                <w:sz w:val="20"/>
                <w:szCs w:val="20"/>
                <w:color w:val="auto"/>
              </w:rPr>
            </w:pPr>
            <w:r>
              <w:rPr>
                <w:rFonts w:ascii="Arial" w:cs="Arial" w:eastAsia="Arial" w:hAnsi="Arial"/>
                <w:sz w:val="14"/>
                <w:szCs w:val="14"/>
                <w:color w:val="auto"/>
              </w:rPr>
              <w:t>Sweden</w:t>
            </w:r>
          </w:p>
        </w:tc>
        <w:tc>
          <w:tcPr>
            <w:tcW w:w="600" w:type="dxa"/>
            <w:vAlign w:val="bottom"/>
            <w:tcBorders>
              <w:right w:val="single" w:sz="8" w:color="auto"/>
            </w:tcBorders>
          </w:tcPr>
          <w:p>
            <w:pPr>
              <w:jc w:val="right"/>
              <w:ind w:right="26"/>
              <w:spacing w:after="0"/>
              <w:rPr>
                <w:sz w:val="20"/>
                <w:szCs w:val="20"/>
                <w:color w:val="auto"/>
              </w:rPr>
            </w:pPr>
            <w:r>
              <w:rPr>
                <w:rFonts w:ascii="Arial" w:cs="Arial" w:eastAsia="Arial" w:hAnsi="Arial"/>
                <w:sz w:val="14"/>
                <w:szCs w:val="14"/>
                <w:color w:val="auto"/>
              </w:rPr>
              <w:t>65</w:t>
            </w:r>
          </w:p>
        </w:tc>
        <w:tc>
          <w:tcPr>
            <w:tcW w:w="280" w:type="dxa"/>
            <w:vAlign w:val="bottom"/>
          </w:tcPr>
          <w:p>
            <w:pPr>
              <w:ind w:left="60"/>
              <w:spacing w:after="0"/>
              <w:rPr>
                <w:sz w:val="20"/>
                <w:szCs w:val="20"/>
                <w:color w:val="auto"/>
              </w:rPr>
            </w:pPr>
            <w:r>
              <w:rPr>
                <w:rFonts w:ascii="Arial" w:cs="Arial" w:eastAsia="Arial" w:hAnsi="Arial"/>
                <w:sz w:val="14"/>
                <w:szCs w:val="14"/>
                <w:color w:val="auto"/>
              </w:rPr>
              <w:t>17.</w:t>
            </w:r>
          </w:p>
        </w:tc>
        <w:tc>
          <w:tcPr>
            <w:tcW w:w="1420" w:type="dxa"/>
            <w:vAlign w:val="bottom"/>
          </w:tcPr>
          <w:p>
            <w:pPr>
              <w:ind w:left="40"/>
              <w:spacing w:after="0"/>
              <w:rPr>
                <w:sz w:val="20"/>
                <w:szCs w:val="20"/>
                <w:color w:val="auto"/>
              </w:rPr>
            </w:pPr>
            <w:r>
              <w:rPr>
                <w:rFonts w:ascii="Arial" w:cs="Arial" w:eastAsia="Arial" w:hAnsi="Arial"/>
                <w:sz w:val="14"/>
                <w:szCs w:val="14"/>
                <w:color w:val="auto"/>
              </w:rPr>
              <w:t>Colombia</w:t>
            </w:r>
          </w:p>
        </w:tc>
        <w:tc>
          <w:tcPr>
            <w:tcW w:w="66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23</w:t>
            </w:r>
          </w:p>
        </w:tc>
        <w:tc>
          <w:tcPr>
            <w:tcW w:w="320" w:type="dxa"/>
            <w:vAlign w:val="bottom"/>
          </w:tcPr>
          <w:p>
            <w:pPr>
              <w:jc w:val="right"/>
              <w:spacing w:after="0"/>
              <w:rPr>
                <w:sz w:val="20"/>
                <w:szCs w:val="20"/>
                <w:color w:val="auto"/>
              </w:rPr>
            </w:pPr>
            <w:r>
              <w:rPr>
                <w:rFonts w:ascii="Arial" w:cs="Arial" w:eastAsia="Arial" w:hAnsi="Arial"/>
                <w:sz w:val="14"/>
                <w:szCs w:val="14"/>
                <w:color w:val="auto"/>
              </w:rPr>
              <w:t>26.</w:t>
            </w:r>
          </w:p>
        </w:tc>
        <w:tc>
          <w:tcPr>
            <w:tcW w:w="1360" w:type="dxa"/>
            <w:vAlign w:val="bottom"/>
          </w:tcPr>
          <w:p>
            <w:pPr>
              <w:ind w:left="40"/>
              <w:spacing w:after="0"/>
              <w:rPr>
                <w:sz w:val="20"/>
                <w:szCs w:val="20"/>
                <w:color w:val="auto"/>
              </w:rPr>
            </w:pPr>
            <w:r>
              <w:rPr>
                <w:rFonts w:ascii="Arial" w:cs="Arial" w:eastAsia="Arial" w:hAnsi="Arial"/>
                <w:sz w:val="14"/>
                <w:szCs w:val="14"/>
                <w:color w:val="auto"/>
              </w:rPr>
              <w:t>Ukraine</w:t>
            </w:r>
          </w:p>
        </w:tc>
        <w:tc>
          <w:tcPr>
            <w:tcW w:w="92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20"/>
        </w:trPr>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Utd. Arab Emir.</w:t>
            </w:r>
          </w:p>
        </w:tc>
        <w:tc>
          <w:tcPr>
            <w:tcW w:w="60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4"/>
                <w:szCs w:val="14"/>
                <w:color w:val="auto"/>
              </w:rPr>
              <w:t>56</w:t>
            </w: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18.</w:t>
            </w:r>
          </w:p>
        </w:tc>
        <w:tc>
          <w:tcPr>
            <w:tcW w:w="1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Poland</w:t>
            </w:r>
          </w:p>
        </w:tc>
        <w:tc>
          <w:tcPr>
            <w:tcW w:w="6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23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Azerbaijan</w:t>
            </w:r>
          </w:p>
        </w:tc>
        <w:tc>
          <w:tcPr>
            <w:tcW w:w="92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3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r>
      <w:tr>
        <w:trPr>
          <w:trHeight w:val="194"/>
        </w:trPr>
        <w:tc>
          <w:tcPr>
            <w:tcW w:w="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0" w:type="dxa"/>
            <w:vAlign w:val="bottom"/>
            <w:gridSpan w:val="3"/>
          </w:tcPr>
          <w:p>
            <w:pPr>
              <w:ind w:left="140"/>
              <w:spacing w:after="0"/>
              <w:rPr>
                <w:sz w:val="20"/>
                <w:szCs w:val="20"/>
                <w:color w:val="auto"/>
              </w:rPr>
            </w:pPr>
            <w:r>
              <w:rPr>
                <w:rFonts w:ascii="Arial" w:cs="Arial" w:eastAsia="Arial" w:hAnsi="Arial"/>
                <w:sz w:val="14"/>
                <w:szCs w:val="14"/>
                <w:b w:val="1"/>
                <w:bCs w:val="1"/>
                <w:color w:val="auto"/>
              </w:rPr>
              <w:t>Total number of employees excluded:</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1,307</w:t>
            </w:r>
          </w:p>
        </w:tc>
      </w:tr>
      <w:tr>
        <w:trPr>
          <w:trHeight w:val="334"/>
        </w:trPr>
        <w:tc>
          <w:tcPr>
            <w:tcW w:w="360" w:type="dxa"/>
            <w:vAlign w:val="bottom"/>
          </w:tcPr>
          <w:p>
            <w:pPr>
              <w:jc w:val="right"/>
              <w:spacing w:after="0"/>
              <w:rPr>
                <w:sz w:val="20"/>
                <w:szCs w:val="20"/>
                <w:color w:val="auto"/>
              </w:rPr>
            </w:pPr>
            <w:r>
              <w:rPr>
                <w:rFonts w:ascii="Arial" w:cs="Arial" w:eastAsia="Arial" w:hAnsi="Arial"/>
                <w:sz w:val="18"/>
                <w:szCs w:val="18"/>
                <w:color w:val="auto"/>
                <w:w w:val="99"/>
              </w:rPr>
              <w:t>106</w:t>
            </w:r>
          </w:p>
        </w:tc>
        <w:tc>
          <w:tcPr>
            <w:tcW w:w="1460" w:type="dxa"/>
            <w:vAlign w:val="bottom"/>
          </w:tcPr>
          <w:p>
            <w:pPr>
              <w:spacing w:after="0"/>
              <w:rPr>
                <w:sz w:val="24"/>
                <w:szCs w:val="24"/>
                <w:color w:val="auto"/>
              </w:rPr>
            </w:pPr>
          </w:p>
        </w:tc>
        <w:tc>
          <w:tcPr>
            <w:tcW w:w="2300" w:type="dxa"/>
            <w:vAlign w:val="bottom"/>
            <w:gridSpan w:val="3"/>
          </w:tcPr>
          <w:p>
            <w:pPr>
              <w:ind w:left="340"/>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-139065</wp:posOffset>
            </wp:positionV>
            <wp:extent cx="737235" cy="1454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500"/>
          </w:cols>
          <w:pgMar w:left="320" w:top="482" w:right="107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8"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2B4C9B"/>
        </w:rPr>
        <w:t>ADDITIONAL INFORMATION</w:t>
      </w:r>
    </w:p>
    <w:p>
      <w:pPr>
        <w:spacing w:after="0" w:line="38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Other Business</w:t>
      </w:r>
    </w:p>
    <w:p>
      <w:pPr>
        <w:spacing w:after="0" w:line="104" w:lineRule="exact"/>
        <w:rPr>
          <w:sz w:val="20"/>
          <w:szCs w:val="20"/>
          <w:color w:val="auto"/>
        </w:rPr>
      </w:pPr>
    </w:p>
    <w:p>
      <w:pPr>
        <w:ind w:left="760" w:right="20"/>
        <w:spacing w:after="0" w:line="247" w:lineRule="auto"/>
        <w:rPr>
          <w:sz w:val="20"/>
          <w:szCs w:val="20"/>
          <w:color w:val="auto"/>
        </w:rPr>
      </w:pPr>
      <w:r>
        <w:rPr>
          <w:rFonts w:ascii="Arial" w:cs="Arial" w:eastAsia="Arial" w:hAnsi="Arial"/>
          <w:sz w:val="18"/>
          <w:szCs w:val="18"/>
          <w:color w:val="auto"/>
        </w:rPr>
        <w:t>We are not currently aware of any other business to be acted on at the annual meeting. Under the laws of New Jersey, where ExxonMobil is incorporated, no business other than procedural matters may be raised at the meeting unless proper notice has been given to the shareholders. If other business is properly raised, your proxies have authority to vote as they think best, including to adjourn the meeting.</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Outstanding Shares</w:t>
      </w:r>
    </w:p>
    <w:p>
      <w:pPr>
        <w:spacing w:after="0" w:line="104" w:lineRule="exact"/>
        <w:rPr>
          <w:sz w:val="20"/>
          <w:szCs w:val="20"/>
          <w:color w:val="auto"/>
        </w:rPr>
      </w:pPr>
    </w:p>
    <w:p>
      <w:pPr>
        <w:ind w:left="760" w:right="280"/>
        <w:spacing w:after="0" w:line="253" w:lineRule="auto"/>
        <w:rPr>
          <w:sz w:val="20"/>
          <w:szCs w:val="20"/>
          <w:color w:val="auto"/>
        </w:rPr>
      </w:pPr>
      <w:r>
        <w:rPr>
          <w:rFonts w:ascii="Arial" w:cs="Arial" w:eastAsia="Arial" w:hAnsi="Arial"/>
          <w:sz w:val="18"/>
          <w:szCs w:val="18"/>
          <w:color w:val="auto"/>
        </w:rPr>
        <w:t>Holders of record of our common stock at the close of business on April 5, 2023 are entitled to vote at the 2023 annual meeting of shareholders. On February 28, 2023, there were 4,059,294,340 shares of common stock outstanding and entitled to vote. Each common share entitles the holder to one vote.</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How We Solicit Proxies</w:t>
      </w:r>
    </w:p>
    <w:p>
      <w:pPr>
        <w:spacing w:after="0" w:line="104" w:lineRule="exact"/>
        <w:rPr>
          <w:sz w:val="20"/>
          <w:szCs w:val="20"/>
          <w:color w:val="auto"/>
        </w:rPr>
      </w:pPr>
    </w:p>
    <w:p>
      <w:pPr>
        <w:ind w:left="760" w:right="80"/>
        <w:spacing w:after="0" w:line="244" w:lineRule="auto"/>
        <w:rPr>
          <w:sz w:val="20"/>
          <w:szCs w:val="20"/>
          <w:color w:val="auto"/>
        </w:rPr>
      </w:pPr>
      <w:r>
        <w:rPr>
          <w:rFonts w:ascii="Arial" w:cs="Arial" w:eastAsia="Arial" w:hAnsi="Arial"/>
          <w:sz w:val="18"/>
          <w:szCs w:val="18"/>
          <w:color w:val="auto"/>
        </w:rPr>
        <w:t>We bear the cost of solicitation of proxies by the Company. In addition to this mailing, ExxonMobil directors, officers, and employees in the ordinary course of their employment, without special compensation other than reimbursement of expenses, may solicit proxies personally, electronically, by telephone, or with additional mailings. We are paying Innisfree a fee of $40,000 plus expenses to help with the solicitation. We also reimburse brokerage firms, banks, and other intermediaries for their expenses in sending these materials to you and getting your voting instructions.</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Shareholder Proposals and Director Nominations for Next Year</w:t>
      </w:r>
    </w:p>
    <w:p>
      <w:pPr>
        <w:spacing w:after="0" w:line="104" w:lineRule="exact"/>
        <w:rPr>
          <w:sz w:val="20"/>
          <w:szCs w:val="20"/>
          <w:color w:val="auto"/>
        </w:rPr>
      </w:pPr>
    </w:p>
    <w:p>
      <w:pPr>
        <w:ind w:left="760" w:right="60"/>
        <w:spacing w:after="0" w:line="244" w:lineRule="auto"/>
        <w:rPr>
          <w:sz w:val="20"/>
          <w:szCs w:val="20"/>
          <w:color w:val="auto"/>
        </w:rPr>
      </w:pPr>
      <w:r>
        <w:rPr>
          <w:rFonts w:ascii="Arial" w:cs="Arial" w:eastAsia="Arial" w:hAnsi="Arial"/>
          <w:sz w:val="18"/>
          <w:szCs w:val="18"/>
          <w:color w:val="auto"/>
        </w:rPr>
        <w:t>Any shareholder proposal for the annual meeting in 2024 must be sent to the Secretary at the address of ExxonMobil’s principal executive office or email address listed under Contact Information on page 7. The deadline for receipt of a proposal to be considered for inclusion in the 2024 proxy statement is 5:00 p.m. Central Time, on December 15, 2023. The deadline for notice of a proposal for which a shareholder will conduct his or her own solicitation is February 28, 2024. Upon request, the Secretary will provide instructions for submitting proposals.</w:t>
      </w:r>
    </w:p>
    <w:p>
      <w:pPr>
        <w:spacing w:after="0" w:line="176" w:lineRule="exact"/>
        <w:rPr>
          <w:sz w:val="20"/>
          <w:szCs w:val="20"/>
          <w:color w:val="auto"/>
        </w:rPr>
      </w:pPr>
    </w:p>
    <w:p>
      <w:pPr>
        <w:ind w:left="760" w:right="60"/>
        <w:spacing w:after="0" w:line="245" w:lineRule="auto"/>
        <w:rPr>
          <w:sz w:val="20"/>
          <w:szCs w:val="20"/>
          <w:color w:val="auto"/>
        </w:rPr>
      </w:pPr>
      <w:r>
        <w:rPr>
          <w:rFonts w:ascii="Arial" w:cs="Arial" w:eastAsia="Arial" w:hAnsi="Arial"/>
          <w:sz w:val="18"/>
          <w:szCs w:val="18"/>
          <w:color w:val="auto"/>
        </w:rPr>
        <w:t>Submissions of nominees for director under the proxy access provisions of our by-laws for the 2024 annual meeting must be submitted in compliance with those by-laws no later than December 15, 2023, and no earlier than November 15,</w:t>
      </w:r>
    </w:p>
    <w:p>
      <w:pPr>
        <w:ind w:left="760" w:right="220"/>
        <w:spacing w:after="0" w:line="250" w:lineRule="auto"/>
        <w:rPr>
          <w:sz w:val="20"/>
          <w:szCs w:val="20"/>
          <w:color w:val="auto"/>
        </w:rPr>
      </w:pPr>
      <w:r>
        <w:rPr>
          <w:rFonts w:ascii="Arial" w:cs="Arial" w:eastAsia="Arial" w:hAnsi="Arial"/>
          <w:sz w:val="18"/>
          <w:szCs w:val="18"/>
          <w:color w:val="auto"/>
        </w:rPr>
        <w:t>2023. Notice of a director nomination other than under proxy access must be submitted in compliance with the advance notice provisions of our by-laws no later than February 1, 2024, and no earlier than January 2, 2024.</w:t>
      </w:r>
    </w:p>
    <w:p>
      <w:pPr>
        <w:spacing w:after="0" w:line="172" w:lineRule="exact"/>
        <w:rPr>
          <w:sz w:val="20"/>
          <w:szCs w:val="20"/>
          <w:color w:val="auto"/>
        </w:rPr>
      </w:pPr>
    </w:p>
    <w:p>
      <w:pPr>
        <w:ind w:left="760" w:right="300"/>
        <w:spacing w:after="0" w:line="271" w:lineRule="auto"/>
        <w:rPr>
          <w:sz w:val="20"/>
          <w:szCs w:val="20"/>
          <w:color w:val="auto"/>
        </w:rPr>
      </w:pPr>
      <w:r>
        <w:rPr>
          <w:rFonts w:ascii="Arial" w:cs="Arial" w:eastAsia="Arial" w:hAnsi="Arial"/>
          <w:sz w:val="18"/>
          <w:szCs w:val="18"/>
          <w:color w:val="auto"/>
        </w:rPr>
        <w:t xml:space="preserve">For the 2023 annual meeting of shareholders, the ExxonMobil proxy card will be </w:t>
      </w:r>
      <w:r>
        <w:rPr>
          <w:rFonts w:ascii="Arial" w:cs="Arial" w:eastAsia="Arial" w:hAnsi="Arial"/>
          <w:sz w:val="18"/>
          <w:szCs w:val="18"/>
          <w:b w:val="1"/>
          <w:bCs w:val="1"/>
          <w:color w:val="auto"/>
        </w:rPr>
        <w:t>White</w:t>
      </w:r>
      <w:r>
        <w:rPr>
          <w:rFonts w:ascii="Arial" w:cs="Arial" w:eastAsia="Arial" w:hAnsi="Arial"/>
          <w:sz w:val="18"/>
          <w:szCs w:val="18"/>
          <w:color w:val="auto"/>
        </w:rPr>
        <w:t>. ExxonMobil intends to use the White proxy card for its annual meeting next year and for all future shareholder meetings.</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Duplicate Annual Reports</w:t>
      </w:r>
    </w:p>
    <w:p>
      <w:pPr>
        <w:spacing w:after="0" w:line="104" w:lineRule="exact"/>
        <w:rPr>
          <w:sz w:val="20"/>
          <w:szCs w:val="20"/>
          <w:color w:val="auto"/>
        </w:rPr>
      </w:pPr>
    </w:p>
    <w:p>
      <w:pPr>
        <w:ind w:left="760"/>
        <w:spacing w:after="0" w:line="244" w:lineRule="auto"/>
        <w:rPr>
          <w:sz w:val="20"/>
          <w:szCs w:val="20"/>
          <w:color w:val="auto"/>
        </w:rPr>
      </w:pPr>
      <w:r>
        <w:rPr>
          <w:rFonts w:ascii="Arial" w:cs="Arial" w:eastAsia="Arial" w:hAnsi="Arial"/>
          <w:sz w:val="18"/>
          <w:szCs w:val="18"/>
          <w:color w:val="auto"/>
        </w:rPr>
        <w:t>Registered Shareholders with multiple accounts may authorize ExxonMobil to discontinue mailing annual reports for an account by calling ExxonMobil Shareholder Services at the toll-free telephone number listed on page 7 at any time during the year. Beneficial holders should contact their banks, brokerage firms, or other holders of record to discontinue duplicate mailings. At least one account must continue to receive an annual report. Eliminating these duplicate mailings will not affect receipt of future proxy statements and proxy cards.</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Shareholders With the Same Address</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If you share an address with one or more ExxonMobil shareholders, you may elect to “household” your proxy mailing. This means you will receive only one set of proxy materials at that address unless one or more shareholders at that address specifically elects to receive separate mailings. Shareholders who participate in householding will continue to receive separate proxy cards. Householding will not affect dividend check mailings. We will promptly send separate proxy materials to a shareholder at a shared address on request. Shareholders with a shared address may also request us to send separate proxy materials in the future, or to send a single copy in the future, if we are currently sending multiple copies to the same address.</w:t>
      </w:r>
    </w:p>
    <w:p>
      <w:pPr>
        <w:spacing w:after="0" w:line="116" w:lineRule="exact"/>
        <w:rPr>
          <w:sz w:val="20"/>
          <w:szCs w:val="20"/>
          <w:color w:val="auto"/>
        </w:rPr>
      </w:pPr>
    </w:p>
    <w:tbl>
      <w:tblPr>
        <w:tblLayout w:type="fixed"/>
        <w:tblInd w:w="6660" w:type="dxa"/>
        <w:tblCellMar>
          <w:top w:w="0" w:type="dxa"/>
          <w:left w:w="0" w:type="dxa"/>
          <w:bottom w:w="0" w:type="dxa"/>
          <w:right w:w="0" w:type="dxa"/>
        </w:tblCellMar>
      </w:tblPr>
      <w:tr>
        <w:trPr>
          <w:trHeight w:val="240"/>
        </w:trPr>
        <w:tc>
          <w:tcPr>
            <w:tcW w:w="2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200" w:type="dxa"/>
            <w:vAlign w:val="bottom"/>
          </w:tcPr>
          <w:p>
            <w:pPr>
              <w:jc w:val="right"/>
              <w:spacing w:after="0"/>
              <w:rPr>
                <w:sz w:val="20"/>
                <w:szCs w:val="20"/>
                <w:color w:val="auto"/>
              </w:rPr>
            </w:pPr>
            <w:r>
              <w:rPr>
                <w:rFonts w:ascii="Arial" w:cs="Arial" w:eastAsia="Arial" w:hAnsi="Arial"/>
                <w:sz w:val="18"/>
                <w:szCs w:val="18"/>
                <w:color w:val="auto"/>
              </w:rPr>
              <w:t>107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-139065</wp:posOffset>
            </wp:positionV>
            <wp:extent cx="737235" cy="14541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460"/>
          </w:cols>
          <w:pgMar w:left="320" w:top="482" w:right="11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760"/>
        <w:spacing w:after="0" w:line="253" w:lineRule="auto"/>
        <w:rPr>
          <w:sz w:val="20"/>
          <w:szCs w:val="20"/>
          <w:color w:val="auto"/>
        </w:rPr>
      </w:pPr>
      <w:r>
        <w:rPr>
          <w:rFonts w:ascii="Arial" w:cs="Arial" w:eastAsia="Arial" w:hAnsi="Arial"/>
          <w:sz w:val="18"/>
          <w:szCs w:val="18"/>
          <w:color w:val="auto"/>
        </w:rPr>
        <w:t>Requests related to householding should be made by calling ExxonMobil Shareholder Services at the telephone number listed on page 7. Beneficial shareholders should request information about householding from their banks, brokers, or other holders of record.</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SEC Form 10-K</w:t>
      </w:r>
    </w:p>
    <w:p>
      <w:pPr>
        <w:spacing w:after="0" w:line="104" w:lineRule="exact"/>
        <w:rPr>
          <w:sz w:val="20"/>
          <w:szCs w:val="20"/>
          <w:color w:val="auto"/>
        </w:rPr>
      </w:pPr>
    </w:p>
    <w:p>
      <w:pPr>
        <w:ind w:left="760" w:right="80"/>
        <w:spacing w:after="0" w:line="253" w:lineRule="auto"/>
        <w:rPr>
          <w:sz w:val="20"/>
          <w:szCs w:val="20"/>
          <w:color w:val="auto"/>
        </w:rPr>
      </w:pPr>
      <w:r>
        <w:rPr>
          <w:rFonts w:ascii="Arial" w:cs="Arial" w:eastAsia="Arial" w:hAnsi="Arial"/>
          <w:sz w:val="18"/>
          <w:szCs w:val="18"/>
          <w:color w:val="auto"/>
        </w:rPr>
        <w:t xml:space="preserve">Shareholders may obtain a copy of the Corporation’s </w:t>
      </w:r>
      <w:r>
        <w:rPr>
          <w:rFonts w:ascii="Arial" w:cs="Arial" w:eastAsia="Arial" w:hAnsi="Arial"/>
          <w:sz w:val="18"/>
          <w:szCs w:val="18"/>
          <w:i w:val="1"/>
          <w:iCs w:val="1"/>
          <w:color w:val="auto"/>
        </w:rPr>
        <w:t>Annual Report on Form 10-K</w:t>
      </w:r>
      <w:r>
        <w:rPr>
          <w:rFonts w:ascii="Arial" w:cs="Arial" w:eastAsia="Arial" w:hAnsi="Arial"/>
          <w:sz w:val="18"/>
          <w:szCs w:val="18"/>
          <w:color w:val="auto"/>
        </w:rPr>
        <w:t xml:space="preserve"> to the Securities and Exchange Commission without charge by writing to the Secretary at the address listed under Contact Information on page 7, or by visiting ExxonMobil’s website at </w:t>
      </w:r>
      <w:r>
        <w:rPr>
          <w:rFonts w:ascii="Arial" w:cs="Arial" w:eastAsia="Arial" w:hAnsi="Arial"/>
          <w:sz w:val="18"/>
          <w:szCs w:val="18"/>
          <w:i w:val="1"/>
          <w:iCs w:val="1"/>
          <w:color w:val="auto"/>
        </w:rPr>
        <w:t>exxonmobil.com/secfilings.</w:t>
      </w:r>
    </w:p>
    <w:p>
      <w:pPr>
        <w:spacing w:after="0" w:line="81" w:lineRule="exact"/>
        <w:rPr>
          <w:sz w:val="20"/>
          <w:szCs w:val="20"/>
          <w:color w:val="auto"/>
        </w:rPr>
      </w:pPr>
    </w:p>
    <w:p>
      <w:pPr>
        <w:ind w:left="780"/>
        <w:spacing w:after="0"/>
        <w:tabs>
          <w:tab w:leader="none" w:pos="1580" w:val="left"/>
        </w:tabs>
        <w:rPr>
          <w:sz w:val="20"/>
          <w:szCs w:val="20"/>
          <w:color w:val="auto"/>
        </w:rPr>
      </w:pPr>
      <w:r>
        <w:rPr>
          <w:rFonts w:ascii="Arial" w:cs="Arial" w:eastAsia="Arial" w:hAnsi="Arial"/>
          <w:sz w:val="18"/>
          <w:szCs w:val="18"/>
          <w:color w:val="auto"/>
        </w:rPr>
        <w:t>108</w:t>
      </w:r>
      <w:r>
        <w:rPr>
          <w:sz w:val="20"/>
          <w:szCs w:val="20"/>
          <w:color w:val="auto"/>
        </w:rPr>
        <w:tab/>
      </w:r>
      <w:r>
        <w:rPr>
          <w:sz w:val="1"/>
          <w:szCs w:val="1"/>
          <w:color w:val="auto"/>
        </w:rPr>
        <w:drawing>
          <wp:inline distT="0" distB="0" distL="0" distR="0">
            <wp:extent cx="737235" cy="145415"/>
            <wp:effectExtent l="0" t="0" r="0" b="0"/>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2023 Proxy Statement</w:t>
      </w:r>
    </w:p>
    <w:p>
      <w:pPr>
        <w:sectPr>
          <w:pgSz w:w="11900" w:h="16838" w:orient="portrait"/>
          <w:cols w:equalWidth="0" w:num="1">
            <w:col w:w="10320"/>
          </w:cols>
          <w:pgMar w:left="320" w:top="482" w:right="12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8"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2B4C9B"/>
        </w:rPr>
        <w:t>EXHIBIT A: Forward-Looking Statements and Frequently Used Terms</w:t>
      </w:r>
    </w:p>
    <w:p>
      <w:pPr>
        <w:spacing w:after="0" w:line="128" w:lineRule="exact"/>
        <w:rPr>
          <w:sz w:val="20"/>
          <w:szCs w:val="20"/>
          <w:color w:val="auto"/>
        </w:rPr>
      </w:pPr>
    </w:p>
    <w:p>
      <w:pPr>
        <w:ind w:left="760" w:right="360"/>
        <w:spacing w:after="0" w:line="301" w:lineRule="auto"/>
        <w:rPr>
          <w:sz w:val="20"/>
          <w:szCs w:val="20"/>
          <w:color w:val="auto"/>
        </w:rPr>
      </w:pPr>
      <w:r>
        <w:rPr>
          <w:rFonts w:ascii="Arial" w:cs="Arial" w:eastAsia="Arial" w:hAnsi="Arial"/>
          <w:sz w:val="17"/>
          <w:szCs w:val="17"/>
          <w:color w:val="auto"/>
        </w:rPr>
        <w:t>Set forth below is important information concerning forward-looking statements, as well as definitions and additional information for certain key business and financial performance measures, made or referenced in this proxy statement.</w:t>
      </w:r>
    </w:p>
    <w:p>
      <w:pPr>
        <w:spacing w:after="0" w:line="131" w:lineRule="exact"/>
        <w:rPr>
          <w:sz w:val="20"/>
          <w:szCs w:val="20"/>
          <w:color w:val="auto"/>
        </w:rPr>
      </w:pPr>
    </w:p>
    <w:p>
      <w:pPr>
        <w:ind w:left="760" w:right="20"/>
        <w:spacing w:after="0" w:line="244" w:lineRule="auto"/>
        <w:rPr>
          <w:sz w:val="20"/>
          <w:szCs w:val="20"/>
          <w:color w:val="auto"/>
        </w:rPr>
      </w:pPr>
      <w:r>
        <w:rPr>
          <w:rFonts w:ascii="Arial" w:cs="Arial" w:eastAsia="Arial" w:hAnsi="Arial"/>
          <w:sz w:val="18"/>
          <w:szCs w:val="18"/>
          <w:color w:val="auto"/>
        </w:rPr>
        <w:t>Statements regarding potential future earnings and cash flow assume a Brent crude price of $60/bbl and a Henry Hub gas price of $ 3/mmbtu, in each case adjusted for inflation after 2022; Energy, Chemical, and Specialty Products margins at historical averages for the 10-year period 2010-2019, and before-tax Corporate and Financing expenses between $2.3 and $2.5 billion annually. These price assumptions are not intended to reflect management’s forecasts for future prices or prices we use for internal planning purposes. The 2019 baseline excludes identified items.</w:t>
      </w:r>
    </w:p>
    <w:p>
      <w:pPr>
        <w:spacing w:after="0" w:line="176" w:lineRule="exact"/>
        <w:rPr>
          <w:sz w:val="20"/>
          <w:szCs w:val="20"/>
          <w:color w:val="auto"/>
        </w:rPr>
      </w:pPr>
    </w:p>
    <w:p>
      <w:pPr>
        <w:ind w:left="760" w:right="40"/>
        <w:spacing w:after="0" w:line="236" w:lineRule="auto"/>
        <w:rPr>
          <w:sz w:val="20"/>
          <w:szCs w:val="20"/>
          <w:color w:val="auto"/>
        </w:rPr>
      </w:pPr>
      <w:r>
        <w:rPr>
          <w:rFonts w:ascii="Arial" w:cs="Arial" w:eastAsia="Arial" w:hAnsi="Arial"/>
          <w:sz w:val="18"/>
          <w:szCs w:val="18"/>
          <w:color w:val="auto"/>
        </w:rPr>
        <w:t>Statements of future events or conditions, including outlooks, projections, ambitions, plans and objectives are forward-looking statements. Actual future results, including financial and operating performance; total capital expenditures and mix, including allocations of capital to low carbon solutions; cost reductions and efficiency gains; ambitions to achieve net-zero operated Scope 1 and Scope 2 emissions by 2050, to reach net-zero operated Scope 1 and 2 emissions in our unconventional Permian Basin operated assets by 2030, to eliminate routine flaring in-line with World Bank Zero Routine Flaring, and to reach near-zero methane emissions from operated assets, within evolving growth, start-up, divestment, and technological efforts; timing and outcome of projects to capture and store CO</w:t>
      </w:r>
      <w:r>
        <w:rPr>
          <w:rFonts w:ascii="Arial" w:cs="Arial" w:eastAsia="Arial" w:hAnsi="Arial"/>
          <w:sz w:val="13"/>
          <w:szCs w:val="13"/>
          <w:color w:val="auto"/>
        </w:rPr>
        <w:t>2</w:t>
      </w:r>
      <w:r>
        <w:rPr>
          <w:rFonts w:ascii="Arial" w:cs="Arial" w:eastAsia="Arial" w:hAnsi="Arial"/>
          <w:sz w:val="18"/>
          <w:szCs w:val="18"/>
          <w:color w:val="auto"/>
        </w:rPr>
        <w:t>, produce hydrogen or biofuels, and increase plastics recycling; cash flow, dividends and shareholder returns, including the timing and amounts of share repurchases; future debt levels; and other business and project plans, timing, costs, capacities and returns could differ materially due to a number of factors. These include global or regional changes in the supply and demand for oil, natural gas, petrochemicals, and feedstocks and other market factors, economic conditions or seasonal fluctuations that impact prices and differentials for our products; laws and government policies supporting lower carbon investment opportunities or limiting the attractiveness of future investments; actions of competitors and commercial counterparties; the outcome of commercial negotiations, including final agreed terms and conditions and satisfaction of conditions precedent; the ability to access debt markets; the impacts of COVID-19 or other public health crises, including the effects of government responses on people and economies; reservoir performance; the level and outcome of, and allocation of capital to, exploration projects; timely completion of development and other construction projects; final management approval of future projects and any changes in the scope, terms, or costs of such projects as approved; changes in law, taxes, or regulation including environmental regulations, trade sanctions, and timely granting of governmental permits, as well as expropriations or seizures; war, civil unrest, and other political or security disturbances; capacity, insurance or shipping limitations; the capture of efficiencies within and between business lines and the ability to maintain near-term cost reductions as ongoing efficiencies; unforeseen technical or operating difficulties and unplanned maintenance; the development and competitiveness of, and market demand for, alternative energy and low-carbon technologies; the results of research programs and the ability to bring new technologies to commercial scale on a cost-competitive basis; and other factors discussed under Item 1A. Risk Factors in ExxonMobil’s 2022 Annual Report on Form 10-K.</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including future rule-making. The reference to any scenario in this report, including any potential net-zero scenarios, does not imply ExxonMobil views any particular scenario as likely to occur. In addition, energy demand scenarios require assumptions on a variety of parameters. As such, the outcome of any given scenario using an energy demand model comes with a high degree of uncertainty. Third-party scenarios discussed in this report reflect the modeling assumptions and outputs of their respective authors, not ExxonMobil, and their use by ExxonMobil is not an endorsement by ExxonMobil of their underlying assumptions, likelihood or probability.</w:t>
      </w:r>
    </w:p>
    <w:p>
      <w:pPr>
        <w:spacing w:after="0" w:line="111" w:lineRule="exact"/>
        <w:rPr>
          <w:sz w:val="20"/>
          <w:szCs w:val="20"/>
          <w:color w:val="auto"/>
        </w:rPr>
      </w:pPr>
    </w:p>
    <w:tbl>
      <w:tblPr>
        <w:tblLayout w:type="fixed"/>
        <w:tblInd w:w="6660" w:type="dxa"/>
        <w:tblCellMar>
          <w:top w:w="0" w:type="dxa"/>
          <w:left w:w="0" w:type="dxa"/>
          <w:bottom w:w="0" w:type="dxa"/>
          <w:right w:w="0" w:type="dxa"/>
        </w:tblCellMar>
      </w:tblPr>
      <w:tr>
        <w:trPr>
          <w:trHeight w:val="240"/>
        </w:trPr>
        <w:tc>
          <w:tcPr>
            <w:tcW w:w="2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200" w:type="dxa"/>
            <w:vAlign w:val="bottom"/>
          </w:tcPr>
          <w:p>
            <w:pPr>
              <w:jc w:val="right"/>
              <w:spacing w:after="0"/>
              <w:rPr>
                <w:sz w:val="20"/>
                <w:szCs w:val="20"/>
                <w:color w:val="auto"/>
              </w:rPr>
            </w:pPr>
            <w:r>
              <w:rPr>
                <w:rFonts w:ascii="Arial" w:cs="Arial" w:eastAsia="Arial" w:hAnsi="Arial"/>
                <w:sz w:val="18"/>
                <w:szCs w:val="18"/>
                <w:color w:val="auto"/>
              </w:rPr>
              <w:t>109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-139065</wp:posOffset>
            </wp:positionV>
            <wp:extent cx="737235" cy="14605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480"/>
          </w:cols>
          <w:pgMar w:left="320" w:top="482" w:right="10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Cash Flow From Operations and Asset Sales </w:t>
      </w:r>
      <w:r>
        <w:rPr>
          <w:rFonts w:ascii="Arial" w:cs="Arial" w:eastAsia="Arial" w:hAnsi="Arial"/>
          <w:sz w:val="18"/>
          <w:szCs w:val="18"/>
          <w:color w:val="auto"/>
        </w:rPr>
        <w:t>(Non-GAAP)</w:t>
      </w:r>
    </w:p>
    <w:p>
      <w:pPr>
        <w:spacing w:after="0" w:line="104" w:lineRule="exact"/>
        <w:rPr>
          <w:sz w:val="20"/>
          <w:szCs w:val="20"/>
          <w:color w:val="auto"/>
        </w:rPr>
      </w:pPr>
    </w:p>
    <w:p>
      <w:pPr>
        <w:ind w:left="760" w:right="160"/>
        <w:spacing w:after="0" w:line="239" w:lineRule="auto"/>
        <w:rPr>
          <w:sz w:val="20"/>
          <w:szCs w:val="20"/>
          <w:color w:val="auto"/>
        </w:rPr>
      </w:pPr>
      <w:r>
        <w:rPr>
          <w:rFonts w:ascii="Arial" w:cs="Arial" w:eastAsia="Arial" w:hAnsi="Arial"/>
          <w:sz w:val="18"/>
          <w:szCs w:val="18"/>
          <w:color w:val="auto"/>
        </w:rPr>
        <w:t>Cash flow from operations and asset sales is the sum of the net cash provided by operating activities and proceeds associated with sales of subsidiaries, property, plant and equipment, and sales and returns of investments from the Consolidated Statement of Cash Flows. This cash flow reflects the total sources of cash both from operating the Corporation’s assets and from the divesting of assets. The Corporation employs a long-standing and regular disciplined review process to ensure that assets are contributing to the Corporation’s strategic objectives. Assets are divested when they are no longer meeting these objectives or are worth considerably more to others. Because of the regular nature of this activity, we believe it is useful for investors to consider proceeds associated with asset sales together with cash provided by operating activities when evaluating cash available for investment in the business and financing activities, including shareholder distributions.</w:t>
      </w:r>
    </w:p>
    <w:p>
      <w:pPr>
        <w:spacing w:after="0" w:line="229" w:lineRule="exact"/>
        <w:rPr>
          <w:sz w:val="20"/>
          <w:szCs w:val="20"/>
          <w:color w:val="auto"/>
        </w:rPr>
      </w:pPr>
    </w:p>
    <w:tbl>
      <w:tblPr>
        <w:tblLayout w:type="fixed"/>
        <w:tblInd w:w="760" w:type="dxa"/>
        <w:tblCellMar>
          <w:top w:w="0" w:type="dxa"/>
          <w:left w:w="0" w:type="dxa"/>
          <w:bottom w:w="0" w:type="dxa"/>
          <w:right w:w="0" w:type="dxa"/>
        </w:tblCellMar>
      </w:tblPr>
      <w:tr>
        <w:trPr>
          <w:trHeight w:val="209"/>
        </w:trPr>
        <w:tc>
          <w:tcPr>
            <w:tcW w:w="7120" w:type="dxa"/>
            <w:vAlign w:val="bottom"/>
            <w:shd w:val="clear" w:color="auto" w:fill="000000"/>
          </w:tcPr>
          <w:p>
            <w:pPr>
              <w:ind w:left="20"/>
              <w:spacing w:after="0"/>
              <w:rPr>
                <w:sz w:val="20"/>
                <w:szCs w:val="20"/>
                <w:color w:val="auto"/>
              </w:rPr>
            </w:pPr>
            <w:r>
              <w:rPr>
                <w:rFonts w:ascii="Arial" w:cs="Arial" w:eastAsia="Arial" w:hAnsi="Arial"/>
                <w:sz w:val="16"/>
                <w:szCs w:val="16"/>
                <w:b w:val="1"/>
                <w:bCs w:val="1"/>
                <w:color w:val="FFFFFF"/>
              </w:rPr>
              <w:t>Cash Flow From Operations and Asset Sales</w:t>
            </w:r>
          </w:p>
        </w:tc>
        <w:tc>
          <w:tcPr>
            <w:tcW w:w="680" w:type="dxa"/>
            <w:vAlign w:val="bottom"/>
            <w:vMerge w:val="restart"/>
            <w:shd w:val="clear" w:color="auto" w:fill="000000"/>
          </w:tcPr>
          <w:p>
            <w:pPr>
              <w:jc w:val="right"/>
              <w:ind w:right="66"/>
              <w:spacing w:after="0"/>
              <w:rPr>
                <w:sz w:val="20"/>
                <w:szCs w:val="20"/>
                <w:color w:val="auto"/>
              </w:rPr>
            </w:pPr>
            <w:r>
              <w:rPr>
                <w:rFonts w:ascii="Arial" w:cs="Arial" w:eastAsia="Arial" w:hAnsi="Arial"/>
                <w:sz w:val="16"/>
                <w:szCs w:val="16"/>
                <w:b w:val="1"/>
                <w:bCs w:val="1"/>
                <w:color w:val="FFFFFF"/>
              </w:rPr>
              <w:t>2022</w:t>
            </w:r>
          </w:p>
        </w:tc>
        <w:tc>
          <w:tcPr>
            <w:tcW w:w="1060" w:type="dxa"/>
            <w:vAlign w:val="bottom"/>
            <w:vMerge w:val="restart"/>
            <w:shd w:val="clear" w:color="auto" w:fill="000000"/>
          </w:tcPr>
          <w:p>
            <w:pPr>
              <w:jc w:val="right"/>
              <w:ind w:right="326"/>
              <w:spacing w:after="0"/>
              <w:rPr>
                <w:sz w:val="20"/>
                <w:szCs w:val="20"/>
                <w:color w:val="auto"/>
              </w:rPr>
            </w:pPr>
            <w:r>
              <w:rPr>
                <w:rFonts w:ascii="Arial" w:cs="Arial" w:eastAsia="Arial" w:hAnsi="Arial"/>
                <w:sz w:val="16"/>
                <w:szCs w:val="16"/>
                <w:b w:val="1"/>
                <w:bCs w:val="1"/>
                <w:color w:val="FFFFFF"/>
              </w:rPr>
              <w:t>2021</w:t>
            </w:r>
          </w:p>
        </w:tc>
        <w:tc>
          <w:tcPr>
            <w:tcW w:w="860" w:type="dxa"/>
            <w:vAlign w:val="bottom"/>
            <w:vMerge w:val="restart"/>
            <w:shd w:val="clear" w:color="auto" w:fill="000000"/>
          </w:tcPr>
          <w:p>
            <w:pPr>
              <w:jc w:val="right"/>
              <w:ind w:right="26"/>
              <w:spacing w:after="0"/>
              <w:rPr>
                <w:sz w:val="20"/>
                <w:szCs w:val="20"/>
                <w:color w:val="auto"/>
              </w:rPr>
            </w:pPr>
            <w:r>
              <w:rPr>
                <w:rFonts w:ascii="Arial" w:cs="Arial" w:eastAsia="Arial" w:hAnsi="Arial"/>
                <w:sz w:val="16"/>
                <w:szCs w:val="16"/>
                <w:b w:val="1"/>
                <w:bCs w:val="1"/>
                <w:color w:val="FFFFFF"/>
              </w:rPr>
              <w:t>2020</w:t>
            </w:r>
          </w:p>
        </w:tc>
        <w:tc>
          <w:tcPr>
            <w:tcW w:w="0" w:type="dxa"/>
            <w:vAlign w:val="bottom"/>
          </w:tcPr>
          <w:p>
            <w:pPr>
              <w:spacing w:after="0"/>
              <w:rPr>
                <w:sz w:val="1"/>
                <w:szCs w:val="1"/>
                <w:color w:val="auto"/>
              </w:rPr>
            </w:pPr>
          </w:p>
        </w:tc>
      </w:tr>
      <w:tr>
        <w:trPr>
          <w:trHeight w:val="121"/>
        </w:trPr>
        <w:tc>
          <w:tcPr>
            <w:tcW w:w="7120" w:type="dxa"/>
            <w:vAlign w:val="bottom"/>
            <w:vMerge w:val="restart"/>
            <w:shd w:val="clear" w:color="auto" w:fill="000000"/>
          </w:tcPr>
          <w:p>
            <w:pPr>
              <w:ind w:left="20"/>
              <w:spacing w:after="0"/>
              <w:rPr>
                <w:sz w:val="20"/>
                <w:szCs w:val="20"/>
                <w:color w:val="auto"/>
              </w:rPr>
            </w:pPr>
            <w:r>
              <w:rPr>
                <w:rFonts w:ascii="Arial" w:cs="Arial" w:eastAsia="Arial" w:hAnsi="Arial"/>
                <w:sz w:val="14"/>
                <w:szCs w:val="14"/>
                <w:i w:val="1"/>
                <w:iCs w:val="1"/>
                <w:color w:val="FFFFFF"/>
              </w:rPr>
              <w:t>(millions of dollars)</w:t>
            </w:r>
          </w:p>
        </w:tc>
        <w:tc>
          <w:tcPr>
            <w:tcW w:w="680" w:type="dxa"/>
            <w:vAlign w:val="bottom"/>
            <w:vMerge w:val="continue"/>
            <w:shd w:val="clear" w:color="auto" w:fill="000000"/>
          </w:tcPr>
          <w:p>
            <w:pPr>
              <w:spacing w:after="0"/>
              <w:rPr>
                <w:sz w:val="10"/>
                <w:szCs w:val="10"/>
                <w:color w:val="auto"/>
              </w:rPr>
            </w:pPr>
          </w:p>
        </w:tc>
        <w:tc>
          <w:tcPr>
            <w:tcW w:w="1060" w:type="dxa"/>
            <w:vAlign w:val="bottom"/>
            <w:vMerge w:val="continue"/>
            <w:shd w:val="clear" w:color="auto" w:fill="000000"/>
          </w:tcPr>
          <w:p>
            <w:pPr>
              <w:spacing w:after="0"/>
              <w:rPr>
                <w:sz w:val="10"/>
                <w:szCs w:val="10"/>
                <w:color w:val="auto"/>
              </w:rPr>
            </w:pPr>
          </w:p>
        </w:tc>
        <w:tc>
          <w:tcPr>
            <w:tcW w:w="860" w:type="dxa"/>
            <w:vAlign w:val="bottom"/>
            <w:vMerge w:val="continue"/>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7120" w:type="dxa"/>
            <w:vAlign w:val="bottom"/>
            <w:vMerge w:val="continue"/>
            <w:shd w:val="clear" w:color="auto" w:fill="000000"/>
          </w:tcPr>
          <w:p>
            <w:pPr>
              <w:spacing w:after="0"/>
              <w:rPr>
                <w:sz w:val="6"/>
                <w:szCs w:val="6"/>
                <w:color w:val="auto"/>
              </w:rPr>
            </w:pPr>
          </w:p>
        </w:tc>
        <w:tc>
          <w:tcPr>
            <w:tcW w:w="680" w:type="dxa"/>
            <w:vAlign w:val="bottom"/>
            <w:shd w:val="clear" w:color="auto" w:fill="000000"/>
          </w:tcPr>
          <w:p>
            <w:pPr>
              <w:spacing w:after="0"/>
              <w:rPr>
                <w:sz w:val="6"/>
                <w:szCs w:val="6"/>
                <w:color w:val="auto"/>
              </w:rPr>
            </w:pPr>
          </w:p>
        </w:tc>
        <w:tc>
          <w:tcPr>
            <w:tcW w:w="1060" w:type="dxa"/>
            <w:vAlign w:val="bottom"/>
            <w:shd w:val="clear" w:color="auto" w:fill="000000"/>
          </w:tcPr>
          <w:p>
            <w:pPr>
              <w:spacing w:after="0"/>
              <w:rPr>
                <w:sz w:val="6"/>
                <w:szCs w:val="6"/>
                <w:color w:val="auto"/>
              </w:rPr>
            </w:pPr>
          </w:p>
        </w:tc>
        <w:tc>
          <w:tcPr>
            <w:tcW w:w="86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712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680" w:type="dxa"/>
            <w:vAlign w:val="bottom"/>
            <w:shd w:val="clear" w:color="auto" w:fill="F2F2F2"/>
          </w:tcPr>
          <w:p>
            <w:pPr>
              <w:jc w:val="right"/>
              <w:ind w:right="6"/>
              <w:spacing w:after="0"/>
              <w:rPr>
                <w:sz w:val="20"/>
                <w:szCs w:val="20"/>
                <w:color w:val="auto"/>
              </w:rPr>
            </w:pPr>
            <w:r>
              <w:rPr>
                <w:rFonts w:ascii="Arial" w:cs="Arial" w:eastAsia="Arial" w:hAnsi="Arial"/>
                <w:sz w:val="14"/>
                <w:szCs w:val="14"/>
                <w:color w:val="auto"/>
              </w:rPr>
              <w:t>76,797</w:t>
            </w:r>
          </w:p>
        </w:tc>
        <w:tc>
          <w:tcPr>
            <w:tcW w:w="1060" w:type="dxa"/>
            <w:vAlign w:val="bottom"/>
          </w:tcPr>
          <w:p>
            <w:pPr>
              <w:jc w:val="right"/>
              <w:ind w:right="286"/>
              <w:spacing w:after="0"/>
              <w:rPr>
                <w:sz w:val="20"/>
                <w:szCs w:val="20"/>
                <w:color w:val="auto"/>
              </w:rPr>
            </w:pPr>
            <w:r>
              <w:rPr>
                <w:rFonts w:ascii="Arial" w:cs="Arial" w:eastAsia="Arial" w:hAnsi="Arial"/>
                <w:sz w:val="14"/>
                <w:szCs w:val="14"/>
                <w:color w:val="auto"/>
              </w:rPr>
              <w:t>48,129</w:t>
            </w:r>
          </w:p>
        </w:tc>
        <w:tc>
          <w:tcPr>
            <w:tcW w:w="860" w:type="dxa"/>
            <w:vAlign w:val="bottom"/>
          </w:tcPr>
          <w:p>
            <w:pPr>
              <w:jc w:val="right"/>
              <w:spacing w:after="0"/>
              <w:rPr>
                <w:sz w:val="20"/>
                <w:szCs w:val="20"/>
                <w:color w:val="auto"/>
              </w:rPr>
            </w:pPr>
            <w:r>
              <w:rPr>
                <w:rFonts w:ascii="Arial" w:cs="Arial" w:eastAsia="Arial" w:hAnsi="Arial"/>
                <w:sz w:val="14"/>
                <w:szCs w:val="14"/>
                <w:color w:val="auto"/>
              </w:rPr>
              <w:t>14,668</w:t>
            </w:r>
          </w:p>
        </w:tc>
        <w:tc>
          <w:tcPr>
            <w:tcW w:w="0" w:type="dxa"/>
            <w:vAlign w:val="bottom"/>
          </w:tcPr>
          <w:p>
            <w:pPr>
              <w:spacing w:after="0"/>
              <w:rPr>
                <w:sz w:val="1"/>
                <w:szCs w:val="1"/>
                <w:color w:val="auto"/>
              </w:rPr>
            </w:pPr>
          </w:p>
        </w:tc>
      </w:tr>
      <w:tr>
        <w:trPr>
          <w:trHeight w:val="153"/>
        </w:trPr>
        <w:tc>
          <w:tcPr>
            <w:tcW w:w="7120" w:type="dxa"/>
            <w:vAlign w:val="bottom"/>
          </w:tcPr>
          <w:p>
            <w:pPr>
              <w:ind w:left="20"/>
              <w:spacing w:after="0" w:line="153" w:lineRule="exact"/>
              <w:rPr>
                <w:sz w:val="20"/>
                <w:szCs w:val="20"/>
                <w:color w:val="auto"/>
              </w:rPr>
            </w:pPr>
            <w:r>
              <w:rPr>
                <w:rFonts w:ascii="Arial" w:cs="Arial" w:eastAsia="Arial" w:hAnsi="Arial"/>
                <w:sz w:val="14"/>
                <w:szCs w:val="14"/>
                <w:color w:val="auto"/>
              </w:rPr>
              <w:t>Proceeds associated with sales of subsidiaries, property, plant and equipment, and sales and returns of</w:t>
            </w:r>
          </w:p>
        </w:tc>
        <w:tc>
          <w:tcPr>
            <w:tcW w:w="680" w:type="dxa"/>
            <w:vAlign w:val="bottom"/>
            <w:shd w:val="clear" w:color="auto" w:fill="F2F2F2"/>
          </w:tcPr>
          <w:p>
            <w:pPr>
              <w:spacing w:after="0"/>
              <w:rPr>
                <w:sz w:val="13"/>
                <w:szCs w:val="13"/>
                <w:color w:val="auto"/>
              </w:rPr>
            </w:pPr>
          </w:p>
        </w:tc>
        <w:tc>
          <w:tcPr>
            <w:tcW w:w="10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investments</w:t>
            </w:r>
          </w:p>
        </w:tc>
        <w:tc>
          <w:tcPr>
            <w:tcW w:w="680" w:type="dxa"/>
            <w:vAlign w:val="bottom"/>
            <w:tcBorders>
              <w:bottom w:val="single" w:sz="8" w:color="auto"/>
            </w:tcBorders>
            <w:shd w:val="clear" w:color="auto" w:fill="F2F2F2"/>
          </w:tcPr>
          <w:p>
            <w:pPr>
              <w:jc w:val="right"/>
              <w:ind w:right="6"/>
              <w:spacing w:after="0"/>
              <w:rPr>
                <w:sz w:val="20"/>
                <w:szCs w:val="20"/>
                <w:color w:val="auto"/>
              </w:rPr>
            </w:pPr>
            <w:r>
              <w:rPr>
                <w:rFonts w:ascii="Arial" w:cs="Arial" w:eastAsia="Arial" w:hAnsi="Arial"/>
                <w:sz w:val="14"/>
                <w:szCs w:val="14"/>
                <w:color w:val="auto"/>
              </w:rPr>
              <w:t>5,247</w:t>
            </w:r>
          </w:p>
        </w:tc>
        <w:tc>
          <w:tcPr>
            <w:tcW w:w="1060" w:type="dxa"/>
            <w:vAlign w:val="bottom"/>
            <w:tcBorders>
              <w:bottom w:val="single" w:sz="8" w:color="auto"/>
            </w:tcBorders>
          </w:tcPr>
          <w:p>
            <w:pPr>
              <w:jc w:val="right"/>
              <w:ind w:right="286"/>
              <w:spacing w:after="0"/>
              <w:rPr>
                <w:sz w:val="20"/>
                <w:szCs w:val="20"/>
                <w:color w:val="auto"/>
              </w:rPr>
            </w:pPr>
            <w:r>
              <w:rPr>
                <w:rFonts w:ascii="Arial" w:cs="Arial" w:eastAsia="Arial" w:hAnsi="Arial"/>
                <w:sz w:val="14"/>
                <w:szCs w:val="14"/>
                <w:color w:val="auto"/>
              </w:rPr>
              <w:t>3,176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999</w:t>
            </w:r>
          </w:p>
        </w:tc>
        <w:tc>
          <w:tcPr>
            <w:tcW w:w="0" w:type="dxa"/>
            <w:vAlign w:val="bottom"/>
          </w:tcPr>
          <w:p>
            <w:pPr>
              <w:spacing w:after="0"/>
              <w:rPr>
                <w:sz w:val="1"/>
                <w:szCs w:val="1"/>
                <w:color w:val="auto"/>
              </w:rPr>
            </w:pPr>
          </w:p>
        </w:tc>
      </w:tr>
      <w:tr>
        <w:trPr>
          <w:trHeight w:val="187"/>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Cash flow from operations and asset sales </w:t>
            </w:r>
            <w:r>
              <w:rPr>
                <w:rFonts w:ascii="Arial" w:cs="Arial" w:eastAsia="Arial" w:hAnsi="Arial"/>
                <w:sz w:val="14"/>
                <w:szCs w:val="14"/>
                <w:color w:val="auto"/>
              </w:rPr>
              <w:t>(Non-GAAP)</w:t>
            </w:r>
          </w:p>
        </w:tc>
        <w:tc>
          <w:tcPr>
            <w:tcW w:w="680" w:type="dxa"/>
            <w:vAlign w:val="bottom"/>
            <w:tcBorders>
              <w:bottom w:val="single" w:sz="8" w:color="auto"/>
            </w:tcBorders>
            <w:shd w:val="clear" w:color="auto" w:fill="F2F2F2"/>
          </w:tcPr>
          <w:p>
            <w:pPr>
              <w:jc w:val="right"/>
              <w:ind w:right="6"/>
              <w:spacing w:after="0"/>
              <w:rPr>
                <w:sz w:val="20"/>
                <w:szCs w:val="20"/>
                <w:color w:val="auto"/>
              </w:rPr>
            </w:pPr>
            <w:r>
              <w:rPr>
                <w:rFonts w:ascii="Arial" w:cs="Arial" w:eastAsia="Arial" w:hAnsi="Arial"/>
                <w:sz w:val="14"/>
                <w:szCs w:val="14"/>
                <w:b w:val="1"/>
                <w:bCs w:val="1"/>
                <w:color w:val="auto"/>
                <w:shd w:val="clear" w:color="auto" w:fill="F2F2F2"/>
              </w:rPr>
              <w:t>82,044</w:t>
            </w:r>
          </w:p>
        </w:tc>
        <w:tc>
          <w:tcPr>
            <w:tcW w:w="1060" w:type="dxa"/>
            <w:vAlign w:val="bottom"/>
            <w:tcBorders>
              <w:bottom w:val="single" w:sz="8" w:color="auto"/>
            </w:tcBorders>
          </w:tcPr>
          <w:p>
            <w:pPr>
              <w:jc w:val="right"/>
              <w:ind w:right="286"/>
              <w:spacing w:after="0"/>
              <w:rPr>
                <w:sz w:val="20"/>
                <w:szCs w:val="20"/>
                <w:color w:val="auto"/>
              </w:rPr>
            </w:pPr>
            <w:r>
              <w:rPr>
                <w:rFonts w:ascii="Arial" w:cs="Arial" w:eastAsia="Arial" w:hAnsi="Arial"/>
                <w:sz w:val="14"/>
                <w:szCs w:val="14"/>
                <w:b w:val="1"/>
                <w:bCs w:val="1"/>
                <w:color w:val="auto"/>
              </w:rPr>
              <w:t>51,305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15,667</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Capital Employed </w:t>
      </w:r>
      <w:r>
        <w:rPr>
          <w:rFonts w:ascii="Arial" w:cs="Arial" w:eastAsia="Arial" w:hAnsi="Arial"/>
          <w:sz w:val="18"/>
          <w:szCs w:val="18"/>
          <w:color w:val="auto"/>
        </w:rPr>
        <w:t>(Non-GAAP)</w:t>
      </w:r>
    </w:p>
    <w:p>
      <w:pPr>
        <w:spacing w:after="0" w:line="104" w:lineRule="exact"/>
        <w:rPr>
          <w:sz w:val="20"/>
          <w:szCs w:val="20"/>
          <w:color w:val="auto"/>
        </w:rPr>
      </w:pPr>
    </w:p>
    <w:p>
      <w:pPr>
        <w:ind w:left="760" w:right="40"/>
        <w:spacing w:after="0" w:line="242" w:lineRule="auto"/>
        <w:rPr>
          <w:sz w:val="20"/>
          <w:szCs w:val="20"/>
          <w:color w:val="auto"/>
        </w:rPr>
      </w:pPr>
      <w:r>
        <w:rPr>
          <w:rFonts w:ascii="Arial" w:cs="Arial" w:eastAsia="Arial" w:hAnsi="Arial"/>
          <w:sz w:val="18"/>
          <w:szCs w:val="18"/>
          <w:color w:val="auto"/>
        </w:rPr>
        <w:t>Capital employed is a measure of net investment. When viewed from the perspective of how the capital is used by the businesses, it includes ExxonMobil’s net share of property, plant and equipment and other assets less liabilities, excluding both short-term and long-term debt. When viewed from the perspective of the sources of capital employed in total for the Corporation, it includes ExxonMobil’s share of total debt and equity. Both of these views include ExxonMobil’s share of amounts applicable to equity companies, which the Corporation believes should be included to provide a more comprehensive measure of capital employed.</w:t>
      </w:r>
    </w:p>
    <w:p>
      <w:pPr>
        <w:spacing w:after="0" w:line="225" w:lineRule="exact"/>
        <w:rPr>
          <w:sz w:val="20"/>
          <w:szCs w:val="20"/>
          <w:color w:val="auto"/>
        </w:rPr>
      </w:pPr>
    </w:p>
    <w:tbl>
      <w:tblPr>
        <w:tblLayout w:type="fixed"/>
        <w:tblInd w:w="760" w:type="dxa"/>
        <w:tblCellMar>
          <w:top w:w="0" w:type="dxa"/>
          <w:left w:w="0" w:type="dxa"/>
          <w:bottom w:w="0" w:type="dxa"/>
          <w:right w:w="0" w:type="dxa"/>
        </w:tblCellMar>
      </w:tblPr>
      <w:tr>
        <w:trPr>
          <w:trHeight w:val="209"/>
        </w:trPr>
        <w:tc>
          <w:tcPr>
            <w:tcW w:w="1940" w:type="dxa"/>
            <w:vAlign w:val="bottom"/>
            <w:shd w:val="clear" w:color="auto" w:fill="000000"/>
          </w:tcPr>
          <w:p>
            <w:pPr>
              <w:ind w:left="20"/>
              <w:spacing w:after="0"/>
              <w:rPr>
                <w:sz w:val="20"/>
                <w:szCs w:val="20"/>
                <w:color w:val="auto"/>
              </w:rPr>
            </w:pPr>
            <w:r>
              <w:rPr>
                <w:rFonts w:ascii="Arial" w:cs="Arial" w:eastAsia="Arial" w:hAnsi="Arial"/>
                <w:sz w:val="16"/>
                <w:szCs w:val="16"/>
                <w:b w:val="1"/>
                <w:bCs w:val="1"/>
                <w:color w:val="FFFFFF"/>
              </w:rPr>
              <w:t>Capital Employed</w:t>
            </w:r>
          </w:p>
        </w:tc>
        <w:tc>
          <w:tcPr>
            <w:tcW w:w="4420" w:type="dxa"/>
            <w:vAlign w:val="bottom"/>
            <w:shd w:val="clear" w:color="auto" w:fill="000000"/>
          </w:tcPr>
          <w:p>
            <w:pPr>
              <w:spacing w:after="0"/>
              <w:rPr>
                <w:sz w:val="18"/>
                <w:szCs w:val="18"/>
                <w:color w:val="auto"/>
              </w:rPr>
            </w:pPr>
          </w:p>
        </w:tc>
        <w:tc>
          <w:tcPr>
            <w:tcW w:w="700" w:type="dxa"/>
            <w:vAlign w:val="bottom"/>
            <w:vMerge w:val="restart"/>
            <w:shd w:val="clear" w:color="auto" w:fill="000000"/>
          </w:tcPr>
          <w:p>
            <w:pPr>
              <w:jc w:val="right"/>
              <w:ind w:right="27"/>
              <w:spacing w:after="0"/>
              <w:rPr>
                <w:sz w:val="20"/>
                <w:szCs w:val="20"/>
                <w:color w:val="auto"/>
              </w:rPr>
            </w:pPr>
            <w:r>
              <w:rPr>
                <w:rFonts w:ascii="Arial" w:cs="Arial" w:eastAsia="Arial" w:hAnsi="Arial"/>
                <w:sz w:val="16"/>
                <w:szCs w:val="16"/>
                <w:b w:val="1"/>
                <w:bCs w:val="1"/>
                <w:color w:val="FFFFFF"/>
              </w:rPr>
              <w:t>2022</w:t>
            </w:r>
          </w:p>
        </w:tc>
        <w:tc>
          <w:tcPr>
            <w:tcW w:w="80" w:type="dxa"/>
            <w:vAlign w:val="bottom"/>
            <w:shd w:val="clear" w:color="auto" w:fill="000000"/>
          </w:tcPr>
          <w:p>
            <w:pPr>
              <w:spacing w:after="0"/>
              <w:rPr>
                <w:sz w:val="18"/>
                <w:szCs w:val="18"/>
                <w:color w:val="auto"/>
              </w:rPr>
            </w:pPr>
          </w:p>
        </w:tc>
        <w:tc>
          <w:tcPr>
            <w:tcW w:w="1440" w:type="dxa"/>
            <w:vAlign w:val="bottom"/>
            <w:vMerge w:val="restart"/>
            <w:shd w:val="clear" w:color="auto" w:fill="000000"/>
          </w:tcPr>
          <w:p>
            <w:pPr>
              <w:jc w:val="right"/>
              <w:ind w:right="567"/>
              <w:spacing w:after="0"/>
              <w:rPr>
                <w:sz w:val="20"/>
                <w:szCs w:val="20"/>
                <w:color w:val="auto"/>
              </w:rPr>
            </w:pPr>
            <w:r>
              <w:rPr>
                <w:rFonts w:ascii="Arial" w:cs="Arial" w:eastAsia="Arial" w:hAnsi="Arial"/>
                <w:sz w:val="16"/>
                <w:szCs w:val="16"/>
                <w:b w:val="1"/>
                <w:bCs w:val="1"/>
                <w:color w:val="FFFFFF"/>
              </w:rPr>
              <w:t>2021</w:t>
            </w:r>
          </w:p>
        </w:tc>
        <w:tc>
          <w:tcPr>
            <w:tcW w:w="1140" w:type="dxa"/>
            <w:vAlign w:val="bottom"/>
            <w:vMerge w:val="restart"/>
            <w:shd w:val="clear" w:color="auto" w:fill="000000"/>
          </w:tcPr>
          <w:p>
            <w:pPr>
              <w:jc w:val="right"/>
              <w:ind w:right="67"/>
              <w:spacing w:after="0"/>
              <w:rPr>
                <w:sz w:val="20"/>
                <w:szCs w:val="20"/>
                <w:color w:val="auto"/>
              </w:rPr>
            </w:pPr>
            <w:r>
              <w:rPr>
                <w:rFonts w:ascii="Arial" w:cs="Arial" w:eastAsia="Arial" w:hAnsi="Arial"/>
                <w:sz w:val="16"/>
                <w:szCs w:val="16"/>
                <w:b w:val="1"/>
                <w:bCs w:val="1"/>
                <w:color w:val="FFFFFF"/>
              </w:rPr>
              <w:t>2020</w:t>
            </w:r>
          </w:p>
        </w:tc>
        <w:tc>
          <w:tcPr>
            <w:tcW w:w="0" w:type="dxa"/>
            <w:vAlign w:val="bottom"/>
          </w:tcPr>
          <w:p>
            <w:pPr>
              <w:spacing w:after="0"/>
              <w:rPr>
                <w:sz w:val="1"/>
                <w:szCs w:val="1"/>
                <w:color w:val="auto"/>
              </w:rPr>
            </w:pPr>
          </w:p>
        </w:tc>
      </w:tr>
      <w:tr>
        <w:trPr>
          <w:trHeight w:val="121"/>
        </w:trPr>
        <w:tc>
          <w:tcPr>
            <w:tcW w:w="1940" w:type="dxa"/>
            <w:vAlign w:val="bottom"/>
            <w:vMerge w:val="restart"/>
            <w:shd w:val="clear" w:color="auto" w:fill="000000"/>
          </w:tcPr>
          <w:p>
            <w:pPr>
              <w:ind w:left="20"/>
              <w:spacing w:after="0"/>
              <w:rPr>
                <w:sz w:val="20"/>
                <w:szCs w:val="20"/>
                <w:color w:val="auto"/>
              </w:rPr>
            </w:pPr>
            <w:r>
              <w:rPr>
                <w:rFonts w:ascii="Arial" w:cs="Arial" w:eastAsia="Arial" w:hAnsi="Arial"/>
                <w:sz w:val="14"/>
                <w:szCs w:val="14"/>
                <w:i w:val="1"/>
                <w:iCs w:val="1"/>
                <w:color w:val="FFFFFF"/>
              </w:rPr>
              <w:t>(millions of dollars)</w:t>
            </w:r>
          </w:p>
        </w:tc>
        <w:tc>
          <w:tcPr>
            <w:tcW w:w="4420" w:type="dxa"/>
            <w:vAlign w:val="bottom"/>
            <w:shd w:val="clear" w:color="auto" w:fill="000000"/>
          </w:tcPr>
          <w:p>
            <w:pPr>
              <w:spacing w:after="0"/>
              <w:rPr>
                <w:sz w:val="10"/>
                <w:szCs w:val="10"/>
                <w:color w:val="auto"/>
              </w:rPr>
            </w:pPr>
          </w:p>
        </w:tc>
        <w:tc>
          <w:tcPr>
            <w:tcW w:w="700" w:type="dxa"/>
            <w:vAlign w:val="bottom"/>
            <w:vMerge w:val="continue"/>
            <w:shd w:val="clear" w:color="auto" w:fill="000000"/>
          </w:tcPr>
          <w:p>
            <w:pPr>
              <w:spacing w:after="0"/>
              <w:rPr>
                <w:sz w:val="10"/>
                <w:szCs w:val="10"/>
                <w:color w:val="auto"/>
              </w:rPr>
            </w:pPr>
          </w:p>
        </w:tc>
        <w:tc>
          <w:tcPr>
            <w:tcW w:w="80" w:type="dxa"/>
            <w:vAlign w:val="bottom"/>
            <w:shd w:val="clear" w:color="auto" w:fill="000000"/>
          </w:tcPr>
          <w:p>
            <w:pPr>
              <w:spacing w:after="0"/>
              <w:rPr>
                <w:sz w:val="10"/>
                <w:szCs w:val="10"/>
                <w:color w:val="auto"/>
              </w:rPr>
            </w:pPr>
          </w:p>
        </w:tc>
        <w:tc>
          <w:tcPr>
            <w:tcW w:w="1440" w:type="dxa"/>
            <w:vAlign w:val="bottom"/>
            <w:vMerge w:val="continue"/>
            <w:shd w:val="clear" w:color="auto" w:fill="000000"/>
          </w:tcPr>
          <w:p>
            <w:pPr>
              <w:spacing w:after="0"/>
              <w:rPr>
                <w:sz w:val="10"/>
                <w:szCs w:val="10"/>
                <w:color w:val="auto"/>
              </w:rPr>
            </w:pPr>
          </w:p>
        </w:tc>
        <w:tc>
          <w:tcPr>
            <w:tcW w:w="1140" w:type="dxa"/>
            <w:vAlign w:val="bottom"/>
            <w:vMerge w:val="continue"/>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940" w:type="dxa"/>
            <w:vAlign w:val="bottom"/>
            <w:vMerge w:val="continue"/>
            <w:shd w:val="clear" w:color="auto" w:fill="000000"/>
          </w:tcPr>
          <w:p>
            <w:pPr>
              <w:spacing w:after="0"/>
              <w:rPr>
                <w:sz w:val="6"/>
                <w:szCs w:val="6"/>
                <w:color w:val="auto"/>
              </w:rPr>
            </w:pPr>
          </w:p>
        </w:tc>
        <w:tc>
          <w:tcPr>
            <w:tcW w:w="4420" w:type="dxa"/>
            <w:vAlign w:val="bottom"/>
            <w:shd w:val="clear" w:color="auto" w:fill="000000"/>
          </w:tcPr>
          <w:p>
            <w:pPr>
              <w:spacing w:after="0"/>
              <w:rPr>
                <w:sz w:val="6"/>
                <w:szCs w:val="6"/>
                <w:color w:val="auto"/>
              </w:rPr>
            </w:pPr>
          </w:p>
        </w:tc>
        <w:tc>
          <w:tcPr>
            <w:tcW w:w="70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1440" w:type="dxa"/>
            <w:vAlign w:val="bottom"/>
            <w:shd w:val="clear" w:color="auto" w:fill="000000"/>
          </w:tcPr>
          <w:p>
            <w:pPr>
              <w:spacing w:after="0"/>
              <w:rPr>
                <w:sz w:val="6"/>
                <w:szCs w:val="6"/>
                <w:color w:val="auto"/>
              </w:rPr>
            </w:pPr>
          </w:p>
        </w:tc>
        <w:tc>
          <w:tcPr>
            <w:tcW w:w="11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6360" w:type="dxa"/>
            <w:vAlign w:val="bottom"/>
            <w:gridSpan w:val="2"/>
          </w:tcPr>
          <w:p>
            <w:pPr>
              <w:ind w:left="20"/>
              <w:spacing w:after="0"/>
              <w:rPr>
                <w:sz w:val="20"/>
                <w:szCs w:val="20"/>
                <w:color w:val="auto"/>
              </w:rPr>
            </w:pPr>
            <w:r>
              <w:rPr>
                <w:rFonts w:ascii="Arial" w:cs="Arial" w:eastAsia="Arial" w:hAnsi="Arial"/>
                <w:sz w:val="14"/>
                <w:szCs w:val="14"/>
                <w:b w:val="1"/>
                <w:bCs w:val="1"/>
                <w:color w:val="auto"/>
              </w:rPr>
              <w:t>Business uses: asset and liability perspective</w:t>
            </w:r>
          </w:p>
        </w:tc>
        <w:tc>
          <w:tcPr>
            <w:tcW w:w="700" w:type="dxa"/>
            <w:vAlign w:val="bottom"/>
            <w:shd w:val="clear" w:color="auto" w:fill="F2F2F2"/>
          </w:tcPr>
          <w:p>
            <w:pPr>
              <w:spacing w:after="0"/>
              <w:rPr>
                <w:sz w:val="14"/>
                <w:szCs w:val="14"/>
                <w:color w:val="auto"/>
              </w:rPr>
            </w:pPr>
          </w:p>
        </w:tc>
        <w:tc>
          <w:tcPr>
            <w:tcW w:w="80" w:type="dxa"/>
            <w:vAlign w:val="bottom"/>
            <w:shd w:val="clear" w:color="auto" w:fill="F2F2F2"/>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4420" w:type="dxa"/>
            <w:vAlign w:val="bottom"/>
          </w:tcPr>
          <w:p>
            <w:pPr>
              <w:spacing w:after="0"/>
              <w:rPr>
                <w:sz w:val="14"/>
                <w:szCs w:val="14"/>
                <w:color w:val="auto"/>
              </w:rPr>
            </w:pPr>
          </w:p>
        </w:tc>
        <w:tc>
          <w:tcPr>
            <w:tcW w:w="780" w:type="dxa"/>
            <w:vAlign w:val="bottom"/>
            <w:gridSpan w:val="2"/>
            <w:shd w:val="clear" w:color="auto" w:fill="F2F2F2"/>
          </w:tcPr>
          <w:p>
            <w:pPr>
              <w:jc w:val="right"/>
              <w:ind w:right="80"/>
              <w:spacing w:after="0"/>
              <w:rPr>
                <w:sz w:val="20"/>
                <w:szCs w:val="20"/>
                <w:color w:val="auto"/>
              </w:rPr>
            </w:pPr>
            <w:r>
              <w:rPr>
                <w:rFonts w:ascii="Arial" w:cs="Arial" w:eastAsia="Arial" w:hAnsi="Arial"/>
                <w:sz w:val="14"/>
                <w:szCs w:val="14"/>
                <w:color w:val="auto"/>
                <w:shd w:val="clear" w:color="auto" w:fill="F2F2F2"/>
              </w:rPr>
              <w:t>369,067</w:t>
            </w:r>
          </w:p>
        </w:tc>
        <w:tc>
          <w:tcPr>
            <w:tcW w:w="1440" w:type="dxa"/>
            <w:vAlign w:val="bottom"/>
          </w:tcPr>
          <w:p>
            <w:pPr>
              <w:jc w:val="right"/>
              <w:ind w:right="487"/>
              <w:spacing w:after="0"/>
              <w:rPr>
                <w:sz w:val="20"/>
                <w:szCs w:val="20"/>
                <w:color w:val="auto"/>
              </w:rPr>
            </w:pPr>
            <w:r>
              <w:rPr>
                <w:rFonts w:ascii="Arial" w:cs="Arial" w:eastAsia="Arial" w:hAnsi="Arial"/>
                <w:sz w:val="14"/>
                <w:szCs w:val="14"/>
                <w:color w:val="auto"/>
              </w:rPr>
              <w:t>338,923</w:t>
            </w:r>
          </w:p>
        </w:tc>
        <w:tc>
          <w:tcPr>
            <w:tcW w:w="1140" w:type="dxa"/>
            <w:vAlign w:val="bottom"/>
          </w:tcPr>
          <w:p>
            <w:pPr>
              <w:jc w:val="right"/>
              <w:spacing w:after="0"/>
              <w:rPr>
                <w:sz w:val="20"/>
                <w:szCs w:val="20"/>
                <w:color w:val="auto"/>
              </w:rPr>
            </w:pPr>
            <w:r>
              <w:rPr>
                <w:rFonts w:ascii="Arial" w:cs="Arial" w:eastAsia="Arial" w:hAnsi="Arial"/>
                <w:sz w:val="14"/>
                <w:szCs w:val="14"/>
                <w:color w:val="auto"/>
              </w:rPr>
              <w:t>332,750</w:t>
            </w:r>
          </w:p>
        </w:tc>
        <w:tc>
          <w:tcPr>
            <w:tcW w:w="0" w:type="dxa"/>
            <w:vAlign w:val="bottom"/>
          </w:tcPr>
          <w:p>
            <w:pPr>
              <w:spacing w:after="0"/>
              <w:rPr>
                <w:sz w:val="1"/>
                <w:szCs w:val="1"/>
                <w:color w:val="auto"/>
              </w:rPr>
            </w:pPr>
          </w:p>
        </w:tc>
      </w:tr>
      <w:tr>
        <w:trPr>
          <w:trHeight w:val="162"/>
        </w:trPr>
        <w:tc>
          <w:tcPr>
            <w:tcW w:w="6360" w:type="dxa"/>
            <w:vAlign w:val="bottom"/>
            <w:gridSpan w:val="2"/>
          </w:tcPr>
          <w:p>
            <w:pPr>
              <w:ind w:left="20"/>
              <w:spacing w:after="0"/>
              <w:rPr>
                <w:sz w:val="20"/>
                <w:szCs w:val="20"/>
                <w:color w:val="auto"/>
              </w:rPr>
            </w:pPr>
            <w:r>
              <w:rPr>
                <w:rFonts w:ascii="Arial" w:cs="Arial" w:eastAsia="Arial" w:hAnsi="Arial"/>
                <w:sz w:val="14"/>
                <w:szCs w:val="14"/>
                <w:color w:val="auto"/>
              </w:rPr>
              <w:t>Less liabilities and noncontrolling interests share of assets and liabilities</w:t>
            </w:r>
          </w:p>
        </w:tc>
        <w:tc>
          <w:tcPr>
            <w:tcW w:w="700" w:type="dxa"/>
            <w:vAlign w:val="bottom"/>
            <w:shd w:val="clear" w:color="auto" w:fill="F2F2F2"/>
          </w:tcPr>
          <w:p>
            <w:pPr>
              <w:spacing w:after="0"/>
              <w:rPr>
                <w:sz w:val="14"/>
                <w:szCs w:val="14"/>
                <w:color w:val="auto"/>
              </w:rPr>
            </w:pPr>
          </w:p>
        </w:tc>
        <w:tc>
          <w:tcPr>
            <w:tcW w:w="80" w:type="dxa"/>
            <w:vAlign w:val="bottom"/>
            <w:shd w:val="clear" w:color="auto" w:fill="F2F2F2"/>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360" w:type="dxa"/>
            <w:vAlign w:val="bottom"/>
            <w:gridSpan w:val="2"/>
          </w:tcPr>
          <w:p>
            <w:pPr>
              <w:ind w:left="300"/>
              <w:spacing w:after="0" w:line="153" w:lineRule="exact"/>
              <w:rPr>
                <w:sz w:val="20"/>
                <w:szCs w:val="20"/>
                <w:color w:val="auto"/>
              </w:rPr>
            </w:pPr>
            <w:r>
              <w:rPr>
                <w:rFonts w:ascii="Arial" w:cs="Arial" w:eastAsia="Arial" w:hAnsi="Arial"/>
                <w:sz w:val="14"/>
                <w:szCs w:val="14"/>
                <w:color w:val="auto"/>
              </w:rPr>
              <w:t>Total current liabilities excluding notes and loans payable</w:t>
            </w:r>
          </w:p>
        </w:tc>
        <w:tc>
          <w:tcPr>
            <w:tcW w:w="700" w:type="dxa"/>
            <w:vAlign w:val="bottom"/>
            <w:shd w:val="clear" w:color="auto" w:fill="F2F2F2"/>
          </w:tcPr>
          <w:p>
            <w:pPr>
              <w:jc w:val="right"/>
              <w:spacing w:after="0" w:line="153" w:lineRule="exact"/>
              <w:rPr>
                <w:sz w:val="20"/>
                <w:szCs w:val="20"/>
                <w:color w:val="auto"/>
              </w:rPr>
            </w:pPr>
            <w:r>
              <w:rPr>
                <w:rFonts w:ascii="Arial" w:cs="Arial" w:eastAsia="Arial" w:hAnsi="Arial"/>
                <w:sz w:val="14"/>
                <w:szCs w:val="14"/>
                <w:color w:val="auto"/>
              </w:rPr>
              <w:t>(68,411)</w:t>
            </w:r>
          </w:p>
        </w:tc>
        <w:tc>
          <w:tcPr>
            <w:tcW w:w="80" w:type="dxa"/>
            <w:vAlign w:val="bottom"/>
            <w:shd w:val="clear" w:color="auto" w:fill="F2F2F2"/>
          </w:tcPr>
          <w:p>
            <w:pPr>
              <w:spacing w:after="0"/>
              <w:rPr>
                <w:sz w:val="13"/>
                <w:szCs w:val="13"/>
                <w:color w:val="auto"/>
              </w:rPr>
            </w:pPr>
          </w:p>
        </w:tc>
        <w:tc>
          <w:tcPr>
            <w:tcW w:w="1440" w:type="dxa"/>
            <w:vAlign w:val="bottom"/>
          </w:tcPr>
          <w:p>
            <w:pPr>
              <w:jc w:val="right"/>
              <w:ind w:right="487"/>
              <w:spacing w:after="0" w:line="153" w:lineRule="exact"/>
              <w:rPr>
                <w:sz w:val="20"/>
                <w:szCs w:val="20"/>
                <w:color w:val="auto"/>
              </w:rPr>
            </w:pPr>
            <w:r>
              <w:rPr>
                <w:rFonts w:ascii="Arial" w:cs="Arial" w:eastAsia="Arial" w:hAnsi="Arial"/>
                <w:sz w:val="14"/>
                <w:szCs w:val="14"/>
                <w:color w:val="auto"/>
              </w:rPr>
              <w:t>(52,367)</w:t>
            </w:r>
          </w:p>
        </w:tc>
        <w:tc>
          <w:tcPr>
            <w:tcW w:w="1140" w:type="dxa"/>
            <w:vAlign w:val="bottom"/>
          </w:tcPr>
          <w:p>
            <w:pPr>
              <w:jc w:val="right"/>
              <w:spacing w:after="0" w:line="153" w:lineRule="exact"/>
              <w:rPr>
                <w:sz w:val="20"/>
                <w:szCs w:val="20"/>
                <w:color w:val="auto"/>
              </w:rPr>
            </w:pPr>
            <w:r>
              <w:rPr>
                <w:rFonts w:ascii="Arial" w:cs="Arial" w:eastAsia="Arial" w:hAnsi="Arial"/>
                <w:sz w:val="14"/>
                <w:szCs w:val="14"/>
                <w:color w:val="auto"/>
              </w:rPr>
              <w:t>(35,905)</w:t>
            </w:r>
          </w:p>
        </w:tc>
        <w:tc>
          <w:tcPr>
            <w:tcW w:w="0" w:type="dxa"/>
            <w:vAlign w:val="bottom"/>
          </w:tcPr>
          <w:p>
            <w:pPr>
              <w:spacing w:after="0"/>
              <w:rPr>
                <w:sz w:val="1"/>
                <w:szCs w:val="1"/>
                <w:color w:val="auto"/>
              </w:rPr>
            </w:pPr>
          </w:p>
        </w:tc>
      </w:tr>
      <w:tr>
        <w:trPr>
          <w:trHeight w:val="162"/>
        </w:trPr>
        <w:tc>
          <w:tcPr>
            <w:tcW w:w="6360" w:type="dxa"/>
            <w:vAlign w:val="bottom"/>
            <w:gridSpan w:val="2"/>
          </w:tcPr>
          <w:p>
            <w:pPr>
              <w:ind w:left="300"/>
              <w:spacing w:after="0"/>
              <w:rPr>
                <w:sz w:val="20"/>
                <w:szCs w:val="20"/>
                <w:color w:val="auto"/>
              </w:rPr>
            </w:pPr>
            <w:r>
              <w:rPr>
                <w:rFonts w:ascii="Arial" w:cs="Arial" w:eastAsia="Arial" w:hAnsi="Arial"/>
                <w:sz w:val="14"/>
                <w:szCs w:val="14"/>
                <w:color w:val="auto"/>
              </w:rPr>
              <w:t>Total long-term liabilities excluding long-term debt</w:t>
            </w:r>
          </w:p>
        </w:tc>
        <w:tc>
          <w:tcPr>
            <w:tcW w:w="7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(56,990)</w:t>
            </w:r>
          </w:p>
        </w:tc>
        <w:tc>
          <w:tcPr>
            <w:tcW w:w="80" w:type="dxa"/>
            <w:vAlign w:val="bottom"/>
            <w:shd w:val="clear" w:color="auto" w:fill="F2F2F2"/>
          </w:tcPr>
          <w:p>
            <w:pPr>
              <w:spacing w:after="0"/>
              <w:rPr>
                <w:sz w:val="14"/>
                <w:szCs w:val="14"/>
                <w:color w:val="auto"/>
              </w:rPr>
            </w:pPr>
          </w:p>
        </w:tc>
        <w:tc>
          <w:tcPr>
            <w:tcW w:w="1440" w:type="dxa"/>
            <w:vAlign w:val="bottom"/>
          </w:tcPr>
          <w:p>
            <w:pPr>
              <w:jc w:val="right"/>
              <w:ind w:right="487"/>
              <w:spacing w:after="0"/>
              <w:rPr>
                <w:sz w:val="20"/>
                <w:szCs w:val="20"/>
                <w:color w:val="auto"/>
              </w:rPr>
            </w:pPr>
            <w:r>
              <w:rPr>
                <w:rFonts w:ascii="Arial" w:cs="Arial" w:eastAsia="Arial" w:hAnsi="Arial"/>
                <w:sz w:val="14"/>
                <w:szCs w:val="14"/>
                <w:color w:val="auto"/>
              </w:rPr>
              <w:t>(63,169)</w:t>
            </w:r>
          </w:p>
        </w:tc>
        <w:tc>
          <w:tcPr>
            <w:tcW w:w="1140" w:type="dxa"/>
            <w:vAlign w:val="bottom"/>
          </w:tcPr>
          <w:p>
            <w:pPr>
              <w:jc w:val="right"/>
              <w:spacing w:after="0"/>
              <w:rPr>
                <w:sz w:val="20"/>
                <w:szCs w:val="20"/>
                <w:color w:val="auto"/>
              </w:rPr>
            </w:pPr>
            <w:r>
              <w:rPr>
                <w:rFonts w:ascii="Arial" w:cs="Arial" w:eastAsia="Arial" w:hAnsi="Arial"/>
                <w:sz w:val="14"/>
                <w:szCs w:val="14"/>
                <w:color w:val="auto"/>
              </w:rPr>
              <w:t>(65,075)</w:t>
            </w:r>
          </w:p>
        </w:tc>
        <w:tc>
          <w:tcPr>
            <w:tcW w:w="0" w:type="dxa"/>
            <w:vAlign w:val="bottom"/>
          </w:tcPr>
          <w:p>
            <w:pPr>
              <w:spacing w:after="0"/>
              <w:rPr>
                <w:sz w:val="1"/>
                <w:szCs w:val="1"/>
                <w:color w:val="auto"/>
              </w:rPr>
            </w:pPr>
          </w:p>
        </w:tc>
      </w:tr>
      <w:tr>
        <w:trPr>
          <w:trHeight w:val="162"/>
        </w:trPr>
        <w:tc>
          <w:tcPr>
            <w:tcW w:w="6360" w:type="dxa"/>
            <w:vAlign w:val="bottom"/>
            <w:gridSpan w:val="2"/>
          </w:tcPr>
          <w:p>
            <w:pPr>
              <w:ind w:left="300"/>
              <w:spacing w:after="0"/>
              <w:rPr>
                <w:sz w:val="20"/>
                <w:szCs w:val="20"/>
                <w:color w:val="auto"/>
              </w:rPr>
            </w:pPr>
            <w:r>
              <w:rPr>
                <w:rFonts w:ascii="Arial" w:cs="Arial" w:eastAsia="Arial" w:hAnsi="Arial"/>
                <w:sz w:val="14"/>
                <w:szCs w:val="14"/>
                <w:color w:val="auto"/>
              </w:rPr>
              <w:t>Noncontrolling interests share of assets and liabilities</w:t>
            </w:r>
          </w:p>
        </w:tc>
        <w:tc>
          <w:tcPr>
            <w:tcW w:w="7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(9,205)</w:t>
            </w:r>
          </w:p>
        </w:tc>
        <w:tc>
          <w:tcPr>
            <w:tcW w:w="80" w:type="dxa"/>
            <w:vAlign w:val="bottom"/>
            <w:shd w:val="clear" w:color="auto" w:fill="F2F2F2"/>
          </w:tcPr>
          <w:p>
            <w:pPr>
              <w:spacing w:after="0"/>
              <w:rPr>
                <w:sz w:val="14"/>
                <w:szCs w:val="14"/>
                <w:color w:val="auto"/>
              </w:rPr>
            </w:pPr>
          </w:p>
        </w:tc>
        <w:tc>
          <w:tcPr>
            <w:tcW w:w="1440" w:type="dxa"/>
            <w:vAlign w:val="bottom"/>
          </w:tcPr>
          <w:p>
            <w:pPr>
              <w:jc w:val="right"/>
              <w:ind w:right="487"/>
              <w:spacing w:after="0"/>
              <w:rPr>
                <w:sz w:val="20"/>
                <w:szCs w:val="20"/>
                <w:color w:val="auto"/>
              </w:rPr>
            </w:pPr>
            <w:r>
              <w:rPr>
                <w:rFonts w:ascii="Arial" w:cs="Arial" w:eastAsia="Arial" w:hAnsi="Arial"/>
                <w:sz w:val="14"/>
                <w:szCs w:val="14"/>
                <w:color w:val="auto"/>
              </w:rPr>
              <w:t>(8,746)</w:t>
            </w:r>
          </w:p>
        </w:tc>
        <w:tc>
          <w:tcPr>
            <w:tcW w:w="1140" w:type="dxa"/>
            <w:vAlign w:val="bottom"/>
          </w:tcPr>
          <w:p>
            <w:pPr>
              <w:jc w:val="right"/>
              <w:spacing w:after="0"/>
              <w:rPr>
                <w:sz w:val="20"/>
                <w:szCs w:val="20"/>
                <w:color w:val="auto"/>
              </w:rPr>
            </w:pPr>
            <w:r>
              <w:rPr>
                <w:rFonts w:ascii="Arial" w:cs="Arial" w:eastAsia="Arial" w:hAnsi="Arial"/>
                <w:sz w:val="14"/>
                <w:szCs w:val="14"/>
                <w:color w:val="auto"/>
              </w:rPr>
              <w:t>(8,773)</w:t>
            </w:r>
          </w:p>
        </w:tc>
        <w:tc>
          <w:tcPr>
            <w:tcW w:w="0" w:type="dxa"/>
            <w:vAlign w:val="bottom"/>
          </w:tcPr>
          <w:p>
            <w:pPr>
              <w:spacing w:after="0"/>
              <w:rPr>
                <w:sz w:val="1"/>
                <w:szCs w:val="1"/>
                <w:color w:val="auto"/>
              </w:rPr>
            </w:pPr>
          </w:p>
        </w:tc>
      </w:tr>
      <w:tr>
        <w:trPr>
          <w:trHeight w:val="171"/>
        </w:trPr>
        <w:tc>
          <w:tcPr>
            <w:tcW w:w="6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Add ExxonMobil share of debt-financed equity company net assets</w:t>
            </w:r>
          </w:p>
        </w:tc>
        <w:tc>
          <w:tcPr>
            <w:tcW w:w="70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4"/>
                <w:szCs w:val="14"/>
                <w:color w:val="auto"/>
              </w:rPr>
              <w:t>3,705</w:t>
            </w:r>
          </w:p>
        </w:tc>
        <w:tc>
          <w:tcPr>
            <w:tcW w:w="80" w:type="dxa"/>
            <w:vAlign w:val="bottom"/>
            <w:tcBorders>
              <w:bottom w:val="single" w:sz="8" w:color="auto"/>
            </w:tcBorders>
            <w:shd w:val="clear" w:color="auto" w:fill="F2F2F2"/>
          </w:tcPr>
          <w:p>
            <w:pPr>
              <w:spacing w:after="0"/>
              <w:rPr>
                <w:sz w:val="14"/>
                <w:szCs w:val="14"/>
                <w:color w:val="auto"/>
              </w:rPr>
            </w:pPr>
          </w:p>
        </w:tc>
        <w:tc>
          <w:tcPr>
            <w:tcW w:w="1440" w:type="dxa"/>
            <w:vAlign w:val="bottom"/>
            <w:tcBorders>
              <w:bottom w:val="single" w:sz="8" w:color="auto"/>
            </w:tcBorders>
          </w:tcPr>
          <w:p>
            <w:pPr>
              <w:jc w:val="right"/>
              <w:ind w:right="487"/>
              <w:spacing w:after="0"/>
              <w:rPr>
                <w:sz w:val="20"/>
                <w:szCs w:val="20"/>
                <w:color w:val="auto"/>
              </w:rPr>
            </w:pPr>
            <w:r>
              <w:rPr>
                <w:rFonts w:ascii="Arial" w:cs="Arial" w:eastAsia="Arial" w:hAnsi="Arial"/>
                <w:sz w:val="14"/>
                <w:szCs w:val="14"/>
                <w:color w:val="auto"/>
              </w:rPr>
              <w:t>4,001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4,140</w:t>
            </w:r>
          </w:p>
        </w:tc>
        <w:tc>
          <w:tcPr>
            <w:tcW w:w="0" w:type="dxa"/>
            <w:vAlign w:val="bottom"/>
          </w:tcPr>
          <w:p>
            <w:pPr>
              <w:spacing w:after="0"/>
              <w:rPr>
                <w:sz w:val="1"/>
                <w:szCs w:val="1"/>
                <w:color w:val="auto"/>
              </w:rPr>
            </w:pPr>
          </w:p>
        </w:tc>
      </w:tr>
      <w:tr>
        <w:trPr>
          <w:trHeight w:val="183"/>
        </w:trPr>
        <w:tc>
          <w:tcPr>
            <w:tcW w:w="6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 xml:space="preserve">Total capital employed </w:t>
            </w:r>
            <w:r>
              <w:rPr>
                <w:rFonts w:ascii="Arial" w:cs="Arial" w:eastAsia="Arial" w:hAnsi="Arial"/>
                <w:sz w:val="14"/>
                <w:szCs w:val="14"/>
                <w:i w:val="1"/>
                <w:iCs w:val="1"/>
                <w:color w:val="auto"/>
              </w:rPr>
              <w:t>(Non-GAAP)</w:t>
            </w:r>
          </w:p>
        </w:tc>
        <w:tc>
          <w:tcPr>
            <w:tcW w:w="70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4"/>
                <w:szCs w:val="14"/>
                <w:b w:val="1"/>
                <w:bCs w:val="1"/>
                <w:color w:val="auto"/>
              </w:rPr>
              <w:t>238,166</w:t>
            </w:r>
          </w:p>
        </w:tc>
        <w:tc>
          <w:tcPr>
            <w:tcW w:w="80" w:type="dxa"/>
            <w:vAlign w:val="bottom"/>
            <w:tcBorders>
              <w:bottom w:val="single" w:sz="8" w:color="auto"/>
            </w:tcBorders>
            <w:shd w:val="clear" w:color="auto" w:fill="F2F2F2"/>
          </w:tcPr>
          <w:p>
            <w:pPr>
              <w:spacing w:after="0"/>
              <w:rPr>
                <w:sz w:val="15"/>
                <w:szCs w:val="15"/>
                <w:color w:val="auto"/>
              </w:rPr>
            </w:pPr>
          </w:p>
        </w:tc>
        <w:tc>
          <w:tcPr>
            <w:tcW w:w="1440" w:type="dxa"/>
            <w:vAlign w:val="bottom"/>
            <w:tcBorders>
              <w:bottom w:val="single" w:sz="8" w:color="auto"/>
            </w:tcBorders>
          </w:tcPr>
          <w:p>
            <w:pPr>
              <w:jc w:val="right"/>
              <w:ind w:right="487"/>
              <w:spacing w:after="0"/>
              <w:rPr>
                <w:sz w:val="20"/>
                <w:szCs w:val="20"/>
                <w:color w:val="auto"/>
              </w:rPr>
            </w:pPr>
            <w:r>
              <w:rPr>
                <w:rFonts w:ascii="Arial" w:cs="Arial" w:eastAsia="Arial" w:hAnsi="Arial"/>
                <w:sz w:val="14"/>
                <w:szCs w:val="14"/>
                <w:b w:val="1"/>
                <w:bCs w:val="1"/>
                <w:color w:val="auto"/>
              </w:rPr>
              <w:t>218,642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227,137</w:t>
            </w:r>
          </w:p>
        </w:tc>
        <w:tc>
          <w:tcPr>
            <w:tcW w:w="0" w:type="dxa"/>
            <w:vAlign w:val="bottom"/>
          </w:tcPr>
          <w:p>
            <w:pPr>
              <w:spacing w:after="0"/>
              <w:rPr>
                <w:sz w:val="1"/>
                <w:szCs w:val="1"/>
                <w:color w:val="auto"/>
              </w:rPr>
            </w:pPr>
          </w:p>
        </w:tc>
      </w:tr>
      <w:tr>
        <w:trPr>
          <w:trHeight w:val="250"/>
        </w:trPr>
        <w:tc>
          <w:tcPr>
            <w:tcW w:w="63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corporate sources: debt and equity perspective</w:t>
            </w:r>
          </w:p>
        </w:tc>
        <w:tc>
          <w:tcPr>
            <w:tcW w:w="700" w:type="dxa"/>
            <w:vAlign w:val="bottom"/>
            <w:shd w:val="clear" w:color="auto" w:fill="F2F2F2"/>
          </w:tcPr>
          <w:p>
            <w:pPr>
              <w:spacing w:after="0"/>
              <w:rPr>
                <w:sz w:val="21"/>
                <w:szCs w:val="21"/>
                <w:color w:val="auto"/>
              </w:rPr>
            </w:pPr>
          </w:p>
        </w:tc>
        <w:tc>
          <w:tcPr>
            <w:tcW w:w="80" w:type="dxa"/>
            <w:vAlign w:val="bottom"/>
            <w:shd w:val="clear" w:color="auto" w:fill="F2F2F2"/>
          </w:tcPr>
          <w:p>
            <w:pPr>
              <w:spacing w:after="0"/>
              <w:rPr>
                <w:sz w:val="21"/>
                <w:szCs w:val="21"/>
                <w:color w:val="auto"/>
              </w:rPr>
            </w:pPr>
          </w:p>
        </w:tc>
        <w:tc>
          <w:tcPr>
            <w:tcW w:w="1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20"/>
              <w:spacing w:after="0"/>
              <w:rPr>
                <w:sz w:val="20"/>
                <w:szCs w:val="20"/>
                <w:color w:val="auto"/>
              </w:rPr>
            </w:pPr>
            <w:r>
              <w:rPr>
                <w:rFonts w:ascii="Arial" w:cs="Arial" w:eastAsia="Arial" w:hAnsi="Arial"/>
                <w:sz w:val="14"/>
                <w:szCs w:val="14"/>
                <w:color w:val="auto"/>
              </w:rPr>
              <w:t>Notes and loans payable</w:t>
            </w:r>
          </w:p>
        </w:tc>
        <w:tc>
          <w:tcPr>
            <w:tcW w:w="4420" w:type="dxa"/>
            <w:vAlign w:val="bottom"/>
          </w:tcPr>
          <w:p>
            <w:pPr>
              <w:spacing w:after="0"/>
              <w:rPr>
                <w:sz w:val="14"/>
                <w:szCs w:val="14"/>
                <w:color w:val="auto"/>
              </w:rPr>
            </w:pPr>
          </w:p>
        </w:tc>
        <w:tc>
          <w:tcPr>
            <w:tcW w:w="780" w:type="dxa"/>
            <w:vAlign w:val="bottom"/>
            <w:gridSpan w:val="2"/>
            <w:shd w:val="clear" w:color="auto" w:fill="F2F2F2"/>
          </w:tcPr>
          <w:p>
            <w:pPr>
              <w:jc w:val="right"/>
              <w:ind w:right="80"/>
              <w:spacing w:after="0"/>
              <w:rPr>
                <w:sz w:val="20"/>
                <w:szCs w:val="20"/>
                <w:color w:val="auto"/>
              </w:rPr>
            </w:pPr>
            <w:r>
              <w:rPr>
                <w:rFonts w:ascii="Arial" w:cs="Arial" w:eastAsia="Arial" w:hAnsi="Arial"/>
                <w:sz w:val="14"/>
                <w:szCs w:val="14"/>
                <w:color w:val="auto"/>
              </w:rPr>
              <w:t>634</w:t>
            </w:r>
          </w:p>
        </w:tc>
        <w:tc>
          <w:tcPr>
            <w:tcW w:w="1440" w:type="dxa"/>
            <w:vAlign w:val="bottom"/>
          </w:tcPr>
          <w:p>
            <w:pPr>
              <w:jc w:val="right"/>
              <w:ind w:right="487"/>
              <w:spacing w:after="0"/>
              <w:rPr>
                <w:sz w:val="20"/>
                <w:szCs w:val="20"/>
                <w:color w:val="auto"/>
              </w:rPr>
            </w:pPr>
            <w:r>
              <w:rPr>
                <w:rFonts w:ascii="Arial" w:cs="Arial" w:eastAsia="Arial" w:hAnsi="Arial"/>
                <w:sz w:val="14"/>
                <w:szCs w:val="14"/>
                <w:color w:val="auto"/>
              </w:rPr>
              <w:t>4,276</w:t>
            </w:r>
          </w:p>
        </w:tc>
        <w:tc>
          <w:tcPr>
            <w:tcW w:w="1140" w:type="dxa"/>
            <w:vAlign w:val="bottom"/>
          </w:tcPr>
          <w:p>
            <w:pPr>
              <w:jc w:val="right"/>
              <w:spacing w:after="0"/>
              <w:rPr>
                <w:sz w:val="20"/>
                <w:szCs w:val="20"/>
                <w:color w:val="auto"/>
              </w:rPr>
            </w:pPr>
            <w:r>
              <w:rPr>
                <w:rFonts w:ascii="Arial" w:cs="Arial" w:eastAsia="Arial" w:hAnsi="Arial"/>
                <w:sz w:val="14"/>
                <w:szCs w:val="14"/>
                <w:color w:val="auto"/>
              </w:rPr>
              <w:t>20,458</w:t>
            </w:r>
          </w:p>
        </w:tc>
        <w:tc>
          <w:tcPr>
            <w:tcW w:w="0" w:type="dxa"/>
            <w:vAlign w:val="bottom"/>
          </w:tcPr>
          <w:p>
            <w:pPr>
              <w:spacing w:after="0"/>
              <w:rPr>
                <w:sz w:val="1"/>
                <w:szCs w:val="1"/>
                <w:color w:val="auto"/>
              </w:rPr>
            </w:pPr>
          </w:p>
        </w:tc>
      </w:tr>
      <w:tr>
        <w:trPr>
          <w:trHeight w:val="162"/>
        </w:trPr>
        <w:tc>
          <w:tcPr>
            <w:tcW w:w="194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4420" w:type="dxa"/>
            <w:vAlign w:val="bottom"/>
          </w:tcPr>
          <w:p>
            <w:pPr>
              <w:spacing w:after="0"/>
              <w:rPr>
                <w:sz w:val="14"/>
                <w:szCs w:val="14"/>
                <w:color w:val="auto"/>
              </w:rPr>
            </w:pPr>
          </w:p>
        </w:tc>
        <w:tc>
          <w:tcPr>
            <w:tcW w:w="7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40,559</w:t>
            </w:r>
          </w:p>
        </w:tc>
        <w:tc>
          <w:tcPr>
            <w:tcW w:w="80" w:type="dxa"/>
            <w:vAlign w:val="bottom"/>
            <w:shd w:val="clear" w:color="auto" w:fill="F2F2F2"/>
          </w:tcPr>
          <w:p>
            <w:pPr>
              <w:spacing w:after="0"/>
              <w:rPr>
                <w:sz w:val="14"/>
                <w:szCs w:val="14"/>
                <w:color w:val="auto"/>
              </w:rPr>
            </w:pPr>
          </w:p>
        </w:tc>
        <w:tc>
          <w:tcPr>
            <w:tcW w:w="1440" w:type="dxa"/>
            <w:vAlign w:val="bottom"/>
          </w:tcPr>
          <w:p>
            <w:pPr>
              <w:jc w:val="right"/>
              <w:ind w:right="487"/>
              <w:spacing w:after="0"/>
              <w:rPr>
                <w:sz w:val="20"/>
                <w:szCs w:val="20"/>
                <w:color w:val="auto"/>
              </w:rPr>
            </w:pPr>
            <w:r>
              <w:rPr>
                <w:rFonts w:ascii="Arial" w:cs="Arial" w:eastAsia="Arial" w:hAnsi="Arial"/>
                <w:sz w:val="14"/>
                <w:szCs w:val="14"/>
                <w:color w:val="auto"/>
              </w:rPr>
              <w:t>43,428</w:t>
            </w:r>
          </w:p>
        </w:tc>
        <w:tc>
          <w:tcPr>
            <w:tcW w:w="1140" w:type="dxa"/>
            <w:vAlign w:val="bottom"/>
          </w:tcPr>
          <w:p>
            <w:pPr>
              <w:jc w:val="right"/>
              <w:spacing w:after="0"/>
              <w:rPr>
                <w:sz w:val="20"/>
                <w:szCs w:val="20"/>
                <w:color w:val="auto"/>
              </w:rPr>
            </w:pPr>
            <w:r>
              <w:rPr>
                <w:rFonts w:ascii="Arial" w:cs="Arial" w:eastAsia="Arial" w:hAnsi="Arial"/>
                <w:sz w:val="14"/>
                <w:szCs w:val="14"/>
                <w:color w:val="auto"/>
              </w:rPr>
              <w:t>47,182</w:t>
            </w:r>
          </w:p>
        </w:tc>
        <w:tc>
          <w:tcPr>
            <w:tcW w:w="0" w:type="dxa"/>
            <w:vAlign w:val="bottom"/>
          </w:tcPr>
          <w:p>
            <w:pPr>
              <w:spacing w:after="0"/>
              <w:rPr>
                <w:sz w:val="1"/>
                <w:szCs w:val="1"/>
                <w:color w:val="auto"/>
              </w:rPr>
            </w:pPr>
          </w:p>
        </w:tc>
      </w:tr>
      <w:tr>
        <w:trPr>
          <w:trHeight w:val="153"/>
        </w:trPr>
        <w:tc>
          <w:tcPr>
            <w:tcW w:w="1940" w:type="dxa"/>
            <w:vAlign w:val="bottom"/>
          </w:tcPr>
          <w:p>
            <w:pPr>
              <w:ind w:left="20"/>
              <w:spacing w:after="0" w:line="153" w:lineRule="exact"/>
              <w:rPr>
                <w:sz w:val="20"/>
                <w:szCs w:val="20"/>
                <w:color w:val="auto"/>
              </w:rPr>
            </w:pPr>
            <w:r>
              <w:rPr>
                <w:rFonts w:ascii="Arial" w:cs="Arial" w:eastAsia="Arial" w:hAnsi="Arial"/>
                <w:sz w:val="14"/>
                <w:szCs w:val="14"/>
                <w:color w:val="auto"/>
              </w:rPr>
              <w:t>ExxonMobil share of equity</w:t>
            </w:r>
          </w:p>
        </w:tc>
        <w:tc>
          <w:tcPr>
            <w:tcW w:w="4420" w:type="dxa"/>
            <w:vAlign w:val="bottom"/>
          </w:tcPr>
          <w:p>
            <w:pPr>
              <w:spacing w:after="0"/>
              <w:rPr>
                <w:sz w:val="13"/>
                <w:szCs w:val="13"/>
                <w:color w:val="auto"/>
              </w:rPr>
            </w:pPr>
          </w:p>
        </w:tc>
        <w:tc>
          <w:tcPr>
            <w:tcW w:w="700" w:type="dxa"/>
            <w:vAlign w:val="bottom"/>
            <w:shd w:val="clear" w:color="auto" w:fill="F2F2F2"/>
          </w:tcPr>
          <w:p>
            <w:pPr>
              <w:jc w:val="right"/>
              <w:spacing w:after="0" w:line="153" w:lineRule="exact"/>
              <w:rPr>
                <w:sz w:val="20"/>
                <w:szCs w:val="20"/>
                <w:color w:val="auto"/>
              </w:rPr>
            </w:pPr>
            <w:r>
              <w:rPr>
                <w:rFonts w:ascii="Arial" w:cs="Arial" w:eastAsia="Arial" w:hAnsi="Arial"/>
                <w:sz w:val="14"/>
                <w:szCs w:val="14"/>
                <w:color w:val="auto"/>
              </w:rPr>
              <w:t>195,049</w:t>
            </w:r>
          </w:p>
        </w:tc>
        <w:tc>
          <w:tcPr>
            <w:tcW w:w="80" w:type="dxa"/>
            <w:vAlign w:val="bottom"/>
            <w:shd w:val="clear" w:color="auto" w:fill="F2F2F2"/>
          </w:tcPr>
          <w:p>
            <w:pPr>
              <w:spacing w:after="0"/>
              <w:rPr>
                <w:sz w:val="13"/>
                <w:szCs w:val="13"/>
                <w:color w:val="auto"/>
              </w:rPr>
            </w:pPr>
          </w:p>
        </w:tc>
        <w:tc>
          <w:tcPr>
            <w:tcW w:w="1440" w:type="dxa"/>
            <w:vAlign w:val="bottom"/>
          </w:tcPr>
          <w:p>
            <w:pPr>
              <w:jc w:val="right"/>
              <w:ind w:right="487"/>
              <w:spacing w:after="0" w:line="153" w:lineRule="exact"/>
              <w:rPr>
                <w:sz w:val="20"/>
                <w:szCs w:val="20"/>
                <w:color w:val="auto"/>
              </w:rPr>
            </w:pPr>
            <w:r>
              <w:rPr>
                <w:rFonts w:ascii="Arial" w:cs="Arial" w:eastAsia="Arial" w:hAnsi="Arial"/>
                <w:sz w:val="14"/>
                <w:szCs w:val="14"/>
                <w:color w:val="auto"/>
              </w:rPr>
              <w:t>168,577</w:t>
            </w:r>
          </w:p>
        </w:tc>
        <w:tc>
          <w:tcPr>
            <w:tcW w:w="1140" w:type="dxa"/>
            <w:vAlign w:val="bottom"/>
          </w:tcPr>
          <w:p>
            <w:pPr>
              <w:jc w:val="right"/>
              <w:spacing w:after="0" w:line="153" w:lineRule="exact"/>
              <w:rPr>
                <w:sz w:val="20"/>
                <w:szCs w:val="20"/>
                <w:color w:val="auto"/>
              </w:rPr>
            </w:pPr>
            <w:r>
              <w:rPr>
                <w:rFonts w:ascii="Arial" w:cs="Arial" w:eastAsia="Arial" w:hAnsi="Arial"/>
                <w:sz w:val="14"/>
                <w:szCs w:val="14"/>
                <w:color w:val="auto"/>
              </w:rPr>
              <w:t>157,150</w:t>
            </w:r>
          </w:p>
        </w:tc>
        <w:tc>
          <w:tcPr>
            <w:tcW w:w="0" w:type="dxa"/>
            <w:vAlign w:val="bottom"/>
          </w:tcPr>
          <w:p>
            <w:pPr>
              <w:spacing w:after="0"/>
              <w:rPr>
                <w:sz w:val="1"/>
                <w:szCs w:val="1"/>
                <w:color w:val="auto"/>
              </w:rPr>
            </w:pPr>
          </w:p>
        </w:tc>
      </w:tr>
      <w:tr>
        <w:trPr>
          <w:trHeight w:val="162"/>
        </w:trPr>
        <w:tc>
          <w:tcPr>
            <w:tcW w:w="6360" w:type="dxa"/>
            <w:vAlign w:val="bottom"/>
            <w:gridSpan w:val="2"/>
          </w:tcPr>
          <w:p>
            <w:pPr>
              <w:ind w:left="20"/>
              <w:spacing w:after="0"/>
              <w:rPr>
                <w:sz w:val="20"/>
                <w:szCs w:val="20"/>
                <w:color w:val="auto"/>
              </w:rPr>
            </w:pPr>
            <w:r>
              <w:rPr>
                <w:rFonts w:ascii="Arial" w:cs="Arial" w:eastAsia="Arial" w:hAnsi="Arial"/>
                <w:sz w:val="14"/>
                <w:szCs w:val="14"/>
                <w:color w:val="auto"/>
              </w:rPr>
              <w:t>Less noncontrolling interests share of total debt</w:t>
            </w:r>
          </w:p>
        </w:tc>
        <w:tc>
          <w:tcPr>
            <w:tcW w:w="7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(1,781)</w:t>
            </w:r>
          </w:p>
        </w:tc>
        <w:tc>
          <w:tcPr>
            <w:tcW w:w="80" w:type="dxa"/>
            <w:vAlign w:val="bottom"/>
            <w:shd w:val="clear" w:color="auto" w:fill="F2F2F2"/>
          </w:tcPr>
          <w:p>
            <w:pPr>
              <w:spacing w:after="0"/>
              <w:rPr>
                <w:sz w:val="14"/>
                <w:szCs w:val="14"/>
                <w:color w:val="auto"/>
              </w:rPr>
            </w:pPr>
          </w:p>
        </w:tc>
        <w:tc>
          <w:tcPr>
            <w:tcW w:w="1440" w:type="dxa"/>
            <w:vAlign w:val="bottom"/>
          </w:tcPr>
          <w:p>
            <w:pPr>
              <w:jc w:val="right"/>
              <w:ind w:right="487"/>
              <w:spacing w:after="0"/>
              <w:rPr>
                <w:sz w:val="20"/>
                <w:szCs w:val="20"/>
                <w:color w:val="auto"/>
              </w:rPr>
            </w:pPr>
            <w:r>
              <w:rPr>
                <w:rFonts w:ascii="Arial" w:cs="Arial" w:eastAsia="Arial" w:hAnsi="Arial"/>
                <w:sz w:val="14"/>
                <w:szCs w:val="14"/>
                <w:color w:val="auto"/>
              </w:rPr>
              <w:t>(1,640)</w:t>
            </w:r>
          </w:p>
        </w:tc>
        <w:tc>
          <w:tcPr>
            <w:tcW w:w="1140" w:type="dxa"/>
            <w:vAlign w:val="bottom"/>
          </w:tcPr>
          <w:p>
            <w:pPr>
              <w:jc w:val="right"/>
              <w:spacing w:after="0"/>
              <w:rPr>
                <w:sz w:val="20"/>
                <w:szCs w:val="20"/>
                <w:color w:val="auto"/>
              </w:rPr>
            </w:pPr>
            <w:r>
              <w:rPr>
                <w:rFonts w:ascii="Arial" w:cs="Arial" w:eastAsia="Arial" w:hAnsi="Arial"/>
                <w:sz w:val="14"/>
                <w:szCs w:val="14"/>
                <w:color w:val="auto"/>
              </w:rPr>
              <w:t>(1,793)</w:t>
            </w:r>
          </w:p>
        </w:tc>
        <w:tc>
          <w:tcPr>
            <w:tcW w:w="0" w:type="dxa"/>
            <w:vAlign w:val="bottom"/>
          </w:tcPr>
          <w:p>
            <w:pPr>
              <w:spacing w:after="0"/>
              <w:rPr>
                <w:sz w:val="1"/>
                <w:szCs w:val="1"/>
                <w:color w:val="auto"/>
              </w:rPr>
            </w:pPr>
          </w:p>
        </w:tc>
      </w:tr>
      <w:tr>
        <w:trPr>
          <w:trHeight w:val="194"/>
        </w:trPr>
        <w:tc>
          <w:tcPr>
            <w:tcW w:w="6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Add ExxonMobil share of equity company debt</w:t>
            </w:r>
          </w:p>
        </w:tc>
        <w:tc>
          <w:tcPr>
            <w:tcW w:w="70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4"/>
                <w:szCs w:val="14"/>
                <w:color w:val="auto"/>
              </w:rPr>
              <w:t>3,705</w:t>
            </w:r>
          </w:p>
        </w:tc>
        <w:tc>
          <w:tcPr>
            <w:tcW w:w="80" w:type="dxa"/>
            <w:vAlign w:val="bottom"/>
            <w:tcBorders>
              <w:bottom w:val="single" w:sz="8" w:color="auto"/>
            </w:tcBorders>
            <w:shd w:val="clear" w:color="auto" w:fill="F2F2F2"/>
          </w:tcPr>
          <w:p>
            <w:pPr>
              <w:spacing w:after="0"/>
              <w:rPr>
                <w:sz w:val="16"/>
                <w:szCs w:val="16"/>
                <w:color w:val="auto"/>
              </w:rPr>
            </w:pPr>
          </w:p>
        </w:tc>
        <w:tc>
          <w:tcPr>
            <w:tcW w:w="1440" w:type="dxa"/>
            <w:vAlign w:val="bottom"/>
            <w:tcBorders>
              <w:bottom w:val="single" w:sz="8" w:color="auto"/>
            </w:tcBorders>
          </w:tcPr>
          <w:p>
            <w:pPr>
              <w:jc w:val="right"/>
              <w:ind w:right="487"/>
              <w:spacing w:after="0"/>
              <w:rPr>
                <w:sz w:val="20"/>
                <w:szCs w:val="20"/>
                <w:color w:val="auto"/>
              </w:rPr>
            </w:pPr>
            <w:r>
              <w:rPr>
                <w:rFonts w:ascii="Arial" w:cs="Arial" w:eastAsia="Arial" w:hAnsi="Arial"/>
                <w:sz w:val="14"/>
                <w:szCs w:val="14"/>
                <w:color w:val="auto"/>
              </w:rPr>
              <w:t>4,001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4,140</w:t>
            </w:r>
          </w:p>
        </w:tc>
        <w:tc>
          <w:tcPr>
            <w:tcW w:w="0" w:type="dxa"/>
            <w:vAlign w:val="bottom"/>
          </w:tcPr>
          <w:p>
            <w:pPr>
              <w:spacing w:after="0"/>
              <w:rPr>
                <w:sz w:val="1"/>
                <w:szCs w:val="1"/>
                <w:color w:val="auto"/>
              </w:rPr>
            </w:pPr>
          </w:p>
        </w:tc>
      </w:tr>
      <w:tr>
        <w:trPr>
          <w:trHeight w:val="186"/>
        </w:trPr>
        <w:tc>
          <w:tcPr>
            <w:tcW w:w="6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 xml:space="preserve">Total capital employed </w:t>
            </w:r>
            <w:r>
              <w:rPr>
                <w:rFonts w:ascii="Arial" w:cs="Arial" w:eastAsia="Arial" w:hAnsi="Arial"/>
                <w:sz w:val="14"/>
                <w:szCs w:val="14"/>
                <w:i w:val="1"/>
                <w:iCs w:val="1"/>
                <w:color w:val="auto"/>
              </w:rPr>
              <w:t>(Non-GAAP)</w:t>
            </w:r>
          </w:p>
        </w:tc>
        <w:tc>
          <w:tcPr>
            <w:tcW w:w="70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4"/>
                <w:szCs w:val="14"/>
                <w:b w:val="1"/>
                <w:bCs w:val="1"/>
                <w:color w:val="auto"/>
              </w:rPr>
              <w:t>238,166</w:t>
            </w:r>
          </w:p>
        </w:tc>
        <w:tc>
          <w:tcPr>
            <w:tcW w:w="80" w:type="dxa"/>
            <w:vAlign w:val="bottom"/>
            <w:tcBorders>
              <w:bottom w:val="single" w:sz="8" w:color="auto"/>
            </w:tcBorders>
            <w:shd w:val="clear" w:color="auto" w:fill="F2F2F2"/>
          </w:tcPr>
          <w:p>
            <w:pPr>
              <w:spacing w:after="0"/>
              <w:rPr>
                <w:sz w:val="16"/>
                <w:szCs w:val="16"/>
                <w:color w:val="auto"/>
              </w:rPr>
            </w:pPr>
          </w:p>
        </w:tc>
        <w:tc>
          <w:tcPr>
            <w:tcW w:w="1440" w:type="dxa"/>
            <w:vAlign w:val="bottom"/>
            <w:tcBorders>
              <w:bottom w:val="single" w:sz="8" w:color="auto"/>
            </w:tcBorders>
          </w:tcPr>
          <w:p>
            <w:pPr>
              <w:jc w:val="right"/>
              <w:ind w:right="487"/>
              <w:spacing w:after="0"/>
              <w:rPr>
                <w:sz w:val="20"/>
                <w:szCs w:val="20"/>
                <w:color w:val="auto"/>
              </w:rPr>
            </w:pPr>
            <w:r>
              <w:rPr>
                <w:rFonts w:ascii="Arial" w:cs="Arial" w:eastAsia="Arial" w:hAnsi="Arial"/>
                <w:sz w:val="14"/>
                <w:szCs w:val="14"/>
                <w:b w:val="1"/>
                <w:bCs w:val="1"/>
                <w:color w:val="auto"/>
              </w:rPr>
              <w:t>218,642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227,137</w:t>
            </w:r>
          </w:p>
        </w:tc>
        <w:tc>
          <w:tcPr>
            <w:tcW w:w="0" w:type="dxa"/>
            <w:vAlign w:val="bottom"/>
          </w:tcPr>
          <w:p>
            <w:pPr>
              <w:spacing w:after="0"/>
              <w:rPr>
                <w:sz w:val="1"/>
                <w:szCs w:val="1"/>
                <w:color w:val="auto"/>
              </w:rPr>
            </w:pPr>
          </w:p>
        </w:tc>
      </w:tr>
      <w:tr>
        <w:trPr>
          <w:trHeight w:val="362"/>
        </w:trPr>
        <w:tc>
          <w:tcPr>
            <w:tcW w:w="1940" w:type="dxa"/>
            <w:vAlign w:val="bottom"/>
          </w:tcPr>
          <w:p>
            <w:pPr>
              <w:ind w:left="20"/>
              <w:spacing w:after="0"/>
              <w:rPr>
                <w:sz w:val="20"/>
                <w:szCs w:val="20"/>
                <w:color w:val="auto"/>
              </w:rPr>
            </w:pPr>
            <w:r>
              <w:rPr>
                <w:rFonts w:ascii="Arial" w:cs="Arial" w:eastAsia="Arial" w:hAnsi="Arial"/>
                <w:sz w:val="18"/>
                <w:szCs w:val="18"/>
                <w:color w:val="auto"/>
              </w:rPr>
              <w:t>110</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-139065</wp:posOffset>
            </wp:positionV>
            <wp:extent cx="737235" cy="14605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480"/>
          </w:cols>
          <w:pgMar w:left="320" w:top="482" w:right="10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Return on Average Capital Employed </w:t>
      </w:r>
      <w:r>
        <w:rPr>
          <w:rFonts w:ascii="Arial" w:cs="Arial" w:eastAsia="Arial" w:hAnsi="Arial"/>
          <w:sz w:val="18"/>
          <w:szCs w:val="18"/>
          <w:color w:val="auto"/>
        </w:rPr>
        <w:t>(Non-GAAP)</w:t>
      </w:r>
    </w:p>
    <w:p>
      <w:pPr>
        <w:spacing w:after="0" w:line="104" w:lineRule="exact"/>
        <w:rPr>
          <w:sz w:val="20"/>
          <w:szCs w:val="20"/>
          <w:color w:val="auto"/>
        </w:rPr>
      </w:pPr>
    </w:p>
    <w:p>
      <w:pPr>
        <w:ind w:left="760" w:right="40"/>
        <w:spacing w:after="0"/>
        <w:rPr>
          <w:sz w:val="20"/>
          <w:szCs w:val="20"/>
          <w:color w:val="auto"/>
        </w:rPr>
      </w:pPr>
      <w:r>
        <w:rPr>
          <w:rFonts w:ascii="Arial" w:cs="Arial" w:eastAsia="Arial" w:hAnsi="Arial"/>
          <w:sz w:val="18"/>
          <w:szCs w:val="18"/>
          <w:color w:val="auto"/>
        </w:rPr>
        <w:t>Return on average capital employed (ROCE) is a performance measure ratio. From the perspective of the business segments, ROCE is annual business segment earnings divided by average business segment capital employed (average of beginning and end-of-year amounts). These segment earnings include ExxonMobil’s share of segment earnings of equity companies, consistent with our capital employed definition, and exclude the cost of financing. The Corporation’s total ROCE is net income attributable to ExxonMobil excluding the after-tax cost of financing, divided by total corporate average capital employed. The Corporation has consistently applied its ROCE definition for many years and views it as one of the best measures of historical capital productivity in our capital-intensive, long-term industry. Additional measures, which are more cash flow based, are used to make investment decisions.</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209"/>
        </w:trPr>
        <w:tc>
          <w:tcPr>
            <w:tcW w:w="6380" w:type="dxa"/>
            <w:vAlign w:val="bottom"/>
            <w:shd w:val="clear" w:color="auto" w:fill="000000"/>
          </w:tcPr>
          <w:p>
            <w:pPr>
              <w:ind w:left="20"/>
              <w:spacing w:after="0"/>
              <w:rPr>
                <w:sz w:val="20"/>
                <w:szCs w:val="20"/>
                <w:color w:val="auto"/>
              </w:rPr>
            </w:pPr>
            <w:r>
              <w:rPr>
                <w:rFonts w:ascii="Arial" w:cs="Arial" w:eastAsia="Arial" w:hAnsi="Arial"/>
                <w:sz w:val="16"/>
                <w:szCs w:val="16"/>
                <w:b w:val="1"/>
                <w:bCs w:val="1"/>
                <w:color w:val="FFFFFF"/>
              </w:rPr>
              <w:t>Return on Average Capital Employed</w:t>
            </w:r>
          </w:p>
        </w:tc>
        <w:tc>
          <w:tcPr>
            <w:tcW w:w="680" w:type="dxa"/>
            <w:vAlign w:val="bottom"/>
            <w:vMerge w:val="restart"/>
            <w:shd w:val="clear" w:color="auto" w:fill="000000"/>
          </w:tcPr>
          <w:p>
            <w:pPr>
              <w:jc w:val="right"/>
              <w:ind w:right="7"/>
              <w:spacing w:after="0"/>
              <w:rPr>
                <w:sz w:val="20"/>
                <w:szCs w:val="20"/>
                <w:color w:val="auto"/>
              </w:rPr>
            </w:pPr>
            <w:r>
              <w:rPr>
                <w:rFonts w:ascii="Arial" w:cs="Arial" w:eastAsia="Arial" w:hAnsi="Arial"/>
                <w:sz w:val="16"/>
                <w:szCs w:val="16"/>
                <w:b w:val="1"/>
                <w:bCs w:val="1"/>
                <w:color w:val="FFFFFF"/>
              </w:rPr>
              <w:t>2022</w:t>
            </w:r>
          </w:p>
        </w:tc>
        <w:tc>
          <w:tcPr>
            <w:tcW w:w="100" w:type="dxa"/>
            <w:vAlign w:val="bottom"/>
            <w:shd w:val="clear" w:color="auto" w:fill="000000"/>
          </w:tcPr>
          <w:p>
            <w:pPr>
              <w:spacing w:after="0"/>
              <w:rPr>
                <w:sz w:val="18"/>
                <w:szCs w:val="18"/>
                <w:color w:val="auto"/>
              </w:rPr>
            </w:pPr>
          </w:p>
        </w:tc>
        <w:tc>
          <w:tcPr>
            <w:tcW w:w="1420" w:type="dxa"/>
            <w:vAlign w:val="bottom"/>
            <w:vMerge w:val="restart"/>
            <w:shd w:val="clear" w:color="auto" w:fill="000000"/>
          </w:tcPr>
          <w:p>
            <w:pPr>
              <w:jc w:val="right"/>
              <w:ind w:right="567"/>
              <w:spacing w:after="0"/>
              <w:rPr>
                <w:sz w:val="20"/>
                <w:szCs w:val="20"/>
                <w:color w:val="auto"/>
              </w:rPr>
            </w:pPr>
            <w:r>
              <w:rPr>
                <w:rFonts w:ascii="Arial" w:cs="Arial" w:eastAsia="Arial" w:hAnsi="Arial"/>
                <w:sz w:val="16"/>
                <w:szCs w:val="16"/>
                <w:b w:val="1"/>
                <w:bCs w:val="1"/>
                <w:color w:val="FFFFFF"/>
              </w:rPr>
              <w:t>2021</w:t>
            </w:r>
          </w:p>
        </w:tc>
        <w:tc>
          <w:tcPr>
            <w:tcW w:w="1140" w:type="dxa"/>
            <w:vAlign w:val="bottom"/>
            <w:vMerge w:val="restart"/>
            <w:shd w:val="clear" w:color="auto" w:fill="000000"/>
          </w:tcPr>
          <w:p>
            <w:pPr>
              <w:jc w:val="right"/>
              <w:ind w:right="67"/>
              <w:spacing w:after="0"/>
              <w:rPr>
                <w:sz w:val="20"/>
                <w:szCs w:val="20"/>
                <w:color w:val="auto"/>
              </w:rPr>
            </w:pPr>
            <w:r>
              <w:rPr>
                <w:rFonts w:ascii="Arial" w:cs="Arial" w:eastAsia="Arial" w:hAnsi="Arial"/>
                <w:sz w:val="16"/>
                <w:szCs w:val="16"/>
                <w:b w:val="1"/>
                <w:bCs w:val="1"/>
                <w:color w:val="FFFFFF"/>
              </w:rPr>
              <w:t>2020</w:t>
            </w:r>
          </w:p>
        </w:tc>
        <w:tc>
          <w:tcPr>
            <w:tcW w:w="0" w:type="dxa"/>
            <w:vAlign w:val="bottom"/>
          </w:tcPr>
          <w:p>
            <w:pPr>
              <w:spacing w:after="0"/>
              <w:rPr>
                <w:sz w:val="1"/>
                <w:szCs w:val="1"/>
                <w:color w:val="auto"/>
              </w:rPr>
            </w:pPr>
          </w:p>
        </w:tc>
      </w:tr>
      <w:tr>
        <w:trPr>
          <w:trHeight w:val="121"/>
        </w:trPr>
        <w:tc>
          <w:tcPr>
            <w:tcW w:w="6380" w:type="dxa"/>
            <w:vAlign w:val="bottom"/>
            <w:vMerge w:val="restart"/>
            <w:shd w:val="clear" w:color="auto" w:fill="000000"/>
          </w:tcPr>
          <w:p>
            <w:pPr>
              <w:ind w:left="20"/>
              <w:spacing w:after="0"/>
              <w:rPr>
                <w:sz w:val="20"/>
                <w:szCs w:val="20"/>
                <w:color w:val="auto"/>
              </w:rPr>
            </w:pPr>
            <w:r>
              <w:rPr>
                <w:rFonts w:ascii="Arial" w:cs="Arial" w:eastAsia="Arial" w:hAnsi="Arial"/>
                <w:sz w:val="14"/>
                <w:szCs w:val="14"/>
                <w:i w:val="1"/>
                <w:iCs w:val="1"/>
                <w:color w:val="FFFFFF"/>
              </w:rPr>
              <w:t>(millions of dollars)</w:t>
            </w:r>
          </w:p>
        </w:tc>
        <w:tc>
          <w:tcPr>
            <w:tcW w:w="680" w:type="dxa"/>
            <w:vAlign w:val="bottom"/>
            <w:vMerge w:val="continue"/>
            <w:shd w:val="clear" w:color="auto" w:fill="000000"/>
          </w:tcPr>
          <w:p>
            <w:pPr>
              <w:spacing w:after="0"/>
              <w:rPr>
                <w:sz w:val="10"/>
                <w:szCs w:val="10"/>
                <w:color w:val="auto"/>
              </w:rPr>
            </w:pPr>
          </w:p>
        </w:tc>
        <w:tc>
          <w:tcPr>
            <w:tcW w:w="100" w:type="dxa"/>
            <w:vAlign w:val="bottom"/>
            <w:shd w:val="clear" w:color="auto" w:fill="000000"/>
          </w:tcPr>
          <w:p>
            <w:pPr>
              <w:spacing w:after="0"/>
              <w:rPr>
                <w:sz w:val="10"/>
                <w:szCs w:val="10"/>
                <w:color w:val="auto"/>
              </w:rPr>
            </w:pPr>
          </w:p>
        </w:tc>
        <w:tc>
          <w:tcPr>
            <w:tcW w:w="1420" w:type="dxa"/>
            <w:vAlign w:val="bottom"/>
            <w:vMerge w:val="continue"/>
            <w:shd w:val="clear" w:color="auto" w:fill="000000"/>
          </w:tcPr>
          <w:p>
            <w:pPr>
              <w:spacing w:after="0"/>
              <w:rPr>
                <w:sz w:val="10"/>
                <w:szCs w:val="10"/>
                <w:color w:val="auto"/>
              </w:rPr>
            </w:pPr>
          </w:p>
        </w:tc>
        <w:tc>
          <w:tcPr>
            <w:tcW w:w="1140" w:type="dxa"/>
            <w:vAlign w:val="bottom"/>
            <w:vMerge w:val="continue"/>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6380" w:type="dxa"/>
            <w:vAlign w:val="bottom"/>
            <w:vMerge w:val="continue"/>
            <w:shd w:val="clear" w:color="auto" w:fill="000000"/>
          </w:tcPr>
          <w:p>
            <w:pPr>
              <w:spacing w:after="0"/>
              <w:rPr>
                <w:sz w:val="6"/>
                <w:szCs w:val="6"/>
                <w:color w:val="auto"/>
              </w:rPr>
            </w:pPr>
          </w:p>
        </w:tc>
        <w:tc>
          <w:tcPr>
            <w:tcW w:w="68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1420" w:type="dxa"/>
            <w:vAlign w:val="bottom"/>
            <w:shd w:val="clear" w:color="auto" w:fill="000000"/>
          </w:tcPr>
          <w:p>
            <w:pPr>
              <w:spacing w:after="0"/>
              <w:rPr>
                <w:sz w:val="6"/>
                <w:szCs w:val="6"/>
                <w:color w:val="auto"/>
              </w:rPr>
            </w:pPr>
          </w:p>
        </w:tc>
        <w:tc>
          <w:tcPr>
            <w:tcW w:w="11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0"/>
              <w:spacing w:after="0"/>
              <w:rPr>
                <w:sz w:val="20"/>
                <w:szCs w:val="20"/>
                <w:color w:val="auto"/>
              </w:rPr>
            </w:pPr>
            <w:r>
              <w:rPr>
                <w:rFonts w:ascii="Arial" w:cs="Arial" w:eastAsia="Arial" w:hAnsi="Arial"/>
                <w:sz w:val="14"/>
                <w:szCs w:val="14"/>
                <w:color w:val="auto"/>
              </w:rPr>
              <w:t>Net income (loss) attributable to ExxonMobil</w:t>
            </w:r>
          </w:p>
        </w:tc>
        <w:tc>
          <w:tcPr>
            <w:tcW w:w="780" w:type="dxa"/>
            <w:vAlign w:val="bottom"/>
            <w:gridSpan w:val="2"/>
            <w:shd w:val="clear" w:color="auto" w:fill="F2F2F2"/>
          </w:tcPr>
          <w:p>
            <w:pPr>
              <w:jc w:val="right"/>
              <w:ind w:right="100"/>
              <w:spacing w:after="0"/>
              <w:rPr>
                <w:sz w:val="20"/>
                <w:szCs w:val="20"/>
                <w:color w:val="auto"/>
              </w:rPr>
            </w:pPr>
            <w:r>
              <w:rPr>
                <w:rFonts w:ascii="Arial" w:cs="Arial" w:eastAsia="Arial" w:hAnsi="Arial"/>
                <w:sz w:val="14"/>
                <w:szCs w:val="14"/>
                <w:color w:val="auto"/>
              </w:rPr>
              <w:t>55,740</w:t>
            </w:r>
          </w:p>
        </w:tc>
        <w:tc>
          <w:tcPr>
            <w:tcW w:w="1420" w:type="dxa"/>
            <w:vAlign w:val="bottom"/>
          </w:tcPr>
          <w:p>
            <w:pPr>
              <w:jc w:val="right"/>
              <w:ind w:right="487"/>
              <w:spacing w:after="0"/>
              <w:rPr>
                <w:sz w:val="20"/>
                <w:szCs w:val="20"/>
                <w:color w:val="auto"/>
              </w:rPr>
            </w:pPr>
            <w:r>
              <w:rPr>
                <w:rFonts w:ascii="Arial" w:cs="Arial" w:eastAsia="Arial" w:hAnsi="Arial"/>
                <w:sz w:val="14"/>
                <w:szCs w:val="14"/>
                <w:color w:val="auto"/>
              </w:rPr>
              <w:t>23,040</w:t>
            </w:r>
          </w:p>
        </w:tc>
        <w:tc>
          <w:tcPr>
            <w:tcW w:w="1140" w:type="dxa"/>
            <w:vAlign w:val="bottom"/>
          </w:tcPr>
          <w:p>
            <w:pPr>
              <w:jc w:val="right"/>
              <w:spacing w:after="0"/>
              <w:rPr>
                <w:sz w:val="20"/>
                <w:szCs w:val="20"/>
                <w:color w:val="auto"/>
              </w:rPr>
            </w:pPr>
            <w:r>
              <w:rPr>
                <w:rFonts w:ascii="Arial" w:cs="Arial" w:eastAsia="Arial" w:hAnsi="Arial"/>
                <w:sz w:val="14"/>
                <w:szCs w:val="14"/>
                <w:color w:val="auto"/>
              </w:rPr>
              <w:t>(22,440)</w:t>
            </w:r>
          </w:p>
        </w:tc>
        <w:tc>
          <w:tcPr>
            <w:tcW w:w="0" w:type="dxa"/>
            <w:vAlign w:val="bottom"/>
          </w:tcPr>
          <w:p>
            <w:pPr>
              <w:spacing w:after="0"/>
              <w:rPr>
                <w:sz w:val="1"/>
                <w:szCs w:val="1"/>
                <w:color w:val="auto"/>
              </w:rPr>
            </w:pPr>
          </w:p>
        </w:tc>
      </w:tr>
      <w:tr>
        <w:trPr>
          <w:trHeight w:val="162"/>
        </w:trPr>
        <w:tc>
          <w:tcPr>
            <w:tcW w:w="6380" w:type="dxa"/>
            <w:vAlign w:val="bottom"/>
          </w:tcPr>
          <w:p>
            <w:pPr>
              <w:ind w:left="20"/>
              <w:spacing w:after="0"/>
              <w:rPr>
                <w:sz w:val="20"/>
                <w:szCs w:val="20"/>
                <w:color w:val="auto"/>
              </w:rPr>
            </w:pPr>
            <w:r>
              <w:rPr>
                <w:rFonts w:ascii="Arial" w:cs="Arial" w:eastAsia="Arial" w:hAnsi="Arial"/>
                <w:sz w:val="14"/>
                <w:szCs w:val="14"/>
                <w:color w:val="auto"/>
              </w:rPr>
              <w:t>Financing costs (after-tax)</w:t>
            </w:r>
          </w:p>
        </w:tc>
        <w:tc>
          <w:tcPr>
            <w:tcW w:w="68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300"/>
              <w:spacing w:after="0"/>
              <w:rPr>
                <w:sz w:val="20"/>
                <w:szCs w:val="20"/>
                <w:color w:val="auto"/>
              </w:rPr>
            </w:pPr>
            <w:r>
              <w:rPr>
                <w:rFonts w:ascii="Arial" w:cs="Arial" w:eastAsia="Arial" w:hAnsi="Arial"/>
                <w:sz w:val="14"/>
                <w:szCs w:val="14"/>
                <w:color w:val="auto"/>
              </w:rPr>
              <w:t>Gross third-party debt</w:t>
            </w:r>
          </w:p>
        </w:tc>
        <w:tc>
          <w:tcPr>
            <w:tcW w:w="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(1,213)</w:t>
            </w:r>
          </w:p>
        </w:tc>
        <w:tc>
          <w:tcPr>
            <w:tcW w:w="100" w:type="dxa"/>
            <w:vAlign w:val="bottom"/>
            <w:shd w:val="clear" w:color="auto" w:fill="F2F2F2"/>
          </w:tcPr>
          <w:p>
            <w:pPr>
              <w:spacing w:after="0"/>
              <w:rPr>
                <w:sz w:val="14"/>
                <w:szCs w:val="14"/>
                <w:color w:val="auto"/>
              </w:rPr>
            </w:pPr>
          </w:p>
        </w:tc>
        <w:tc>
          <w:tcPr>
            <w:tcW w:w="1420" w:type="dxa"/>
            <w:vAlign w:val="bottom"/>
          </w:tcPr>
          <w:p>
            <w:pPr>
              <w:jc w:val="right"/>
              <w:ind w:right="487"/>
              <w:spacing w:after="0"/>
              <w:rPr>
                <w:sz w:val="20"/>
                <w:szCs w:val="20"/>
                <w:color w:val="auto"/>
              </w:rPr>
            </w:pPr>
            <w:r>
              <w:rPr>
                <w:rFonts w:ascii="Arial" w:cs="Arial" w:eastAsia="Arial" w:hAnsi="Arial"/>
                <w:sz w:val="14"/>
                <w:szCs w:val="14"/>
                <w:color w:val="auto"/>
              </w:rPr>
              <w:t>(1,196)</w:t>
            </w:r>
          </w:p>
        </w:tc>
        <w:tc>
          <w:tcPr>
            <w:tcW w:w="1140" w:type="dxa"/>
            <w:vAlign w:val="bottom"/>
          </w:tcPr>
          <w:p>
            <w:pPr>
              <w:jc w:val="right"/>
              <w:spacing w:after="0"/>
              <w:rPr>
                <w:sz w:val="20"/>
                <w:szCs w:val="20"/>
                <w:color w:val="auto"/>
              </w:rPr>
            </w:pPr>
            <w:r>
              <w:rPr>
                <w:rFonts w:ascii="Arial" w:cs="Arial" w:eastAsia="Arial" w:hAnsi="Arial"/>
                <w:sz w:val="14"/>
                <w:szCs w:val="14"/>
                <w:color w:val="auto"/>
              </w:rPr>
              <w:t>(1,272)</w:t>
            </w:r>
          </w:p>
        </w:tc>
        <w:tc>
          <w:tcPr>
            <w:tcW w:w="0" w:type="dxa"/>
            <w:vAlign w:val="bottom"/>
          </w:tcPr>
          <w:p>
            <w:pPr>
              <w:spacing w:after="0"/>
              <w:rPr>
                <w:sz w:val="1"/>
                <w:szCs w:val="1"/>
                <w:color w:val="auto"/>
              </w:rPr>
            </w:pPr>
          </w:p>
        </w:tc>
      </w:tr>
      <w:tr>
        <w:trPr>
          <w:trHeight w:val="153"/>
        </w:trPr>
        <w:tc>
          <w:tcPr>
            <w:tcW w:w="6380" w:type="dxa"/>
            <w:vAlign w:val="bottom"/>
          </w:tcPr>
          <w:p>
            <w:pPr>
              <w:ind w:left="300"/>
              <w:spacing w:after="0" w:line="153" w:lineRule="exact"/>
              <w:rPr>
                <w:sz w:val="20"/>
                <w:szCs w:val="20"/>
                <w:color w:val="auto"/>
              </w:rPr>
            </w:pPr>
            <w:r>
              <w:rPr>
                <w:rFonts w:ascii="Arial" w:cs="Arial" w:eastAsia="Arial" w:hAnsi="Arial"/>
                <w:sz w:val="14"/>
                <w:szCs w:val="14"/>
                <w:color w:val="auto"/>
              </w:rPr>
              <w:t>ExxonMobil share of equity companies</w:t>
            </w:r>
          </w:p>
        </w:tc>
        <w:tc>
          <w:tcPr>
            <w:tcW w:w="680" w:type="dxa"/>
            <w:vAlign w:val="bottom"/>
            <w:shd w:val="clear" w:color="auto" w:fill="F2F2F2"/>
          </w:tcPr>
          <w:p>
            <w:pPr>
              <w:jc w:val="right"/>
              <w:spacing w:after="0" w:line="153" w:lineRule="exact"/>
              <w:rPr>
                <w:sz w:val="20"/>
                <w:szCs w:val="20"/>
                <w:color w:val="auto"/>
              </w:rPr>
            </w:pPr>
            <w:r>
              <w:rPr>
                <w:rFonts w:ascii="Arial" w:cs="Arial" w:eastAsia="Arial" w:hAnsi="Arial"/>
                <w:sz w:val="14"/>
                <w:szCs w:val="14"/>
                <w:color w:val="auto"/>
              </w:rPr>
              <w:t>(198)</w:t>
            </w:r>
          </w:p>
        </w:tc>
        <w:tc>
          <w:tcPr>
            <w:tcW w:w="100" w:type="dxa"/>
            <w:vAlign w:val="bottom"/>
            <w:shd w:val="clear" w:color="auto" w:fill="F2F2F2"/>
          </w:tcPr>
          <w:p>
            <w:pPr>
              <w:spacing w:after="0"/>
              <w:rPr>
                <w:sz w:val="13"/>
                <w:szCs w:val="13"/>
                <w:color w:val="auto"/>
              </w:rPr>
            </w:pPr>
          </w:p>
        </w:tc>
        <w:tc>
          <w:tcPr>
            <w:tcW w:w="1420" w:type="dxa"/>
            <w:vAlign w:val="bottom"/>
          </w:tcPr>
          <w:p>
            <w:pPr>
              <w:jc w:val="right"/>
              <w:ind w:right="487"/>
              <w:spacing w:after="0" w:line="153" w:lineRule="exact"/>
              <w:rPr>
                <w:sz w:val="20"/>
                <w:szCs w:val="20"/>
                <w:color w:val="auto"/>
              </w:rPr>
            </w:pPr>
            <w:r>
              <w:rPr>
                <w:rFonts w:ascii="Arial" w:cs="Arial" w:eastAsia="Arial" w:hAnsi="Arial"/>
                <w:sz w:val="14"/>
                <w:szCs w:val="14"/>
                <w:color w:val="auto"/>
              </w:rPr>
              <w:t>(170)</w:t>
            </w:r>
          </w:p>
        </w:tc>
        <w:tc>
          <w:tcPr>
            <w:tcW w:w="1140" w:type="dxa"/>
            <w:vAlign w:val="bottom"/>
          </w:tcPr>
          <w:p>
            <w:pPr>
              <w:jc w:val="right"/>
              <w:spacing w:after="0" w:line="153" w:lineRule="exact"/>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94"/>
        </w:trPr>
        <w:tc>
          <w:tcPr>
            <w:tcW w:w="638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All other financing costs – net</w:t>
            </w:r>
          </w:p>
        </w:tc>
        <w:tc>
          <w:tcPr>
            <w:tcW w:w="68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4"/>
                <w:szCs w:val="14"/>
                <w:color w:val="auto"/>
              </w:rPr>
              <w:t>276</w:t>
            </w:r>
          </w:p>
        </w:tc>
        <w:tc>
          <w:tcPr>
            <w:tcW w:w="100" w:type="dxa"/>
            <w:vAlign w:val="bottom"/>
            <w:tcBorders>
              <w:bottom w:val="single" w:sz="8" w:color="auto"/>
            </w:tcBorders>
            <w:shd w:val="clear" w:color="auto" w:fill="F2F2F2"/>
          </w:tcPr>
          <w:p>
            <w:pPr>
              <w:spacing w:after="0"/>
              <w:rPr>
                <w:sz w:val="16"/>
                <w:szCs w:val="16"/>
                <w:color w:val="auto"/>
              </w:rPr>
            </w:pPr>
          </w:p>
        </w:tc>
        <w:tc>
          <w:tcPr>
            <w:tcW w:w="1420" w:type="dxa"/>
            <w:vAlign w:val="bottom"/>
            <w:tcBorders>
              <w:bottom w:val="single" w:sz="8" w:color="auto"/>
            </w:tcBorders>
          </w:tcPr>
          <w:p>
            <w:pPr>
              <w:jc w:val="right"/>
              <w:ind w:right="487"/>
              <w:spacing w:after="0"/>
              <w:rPr>
                <w:sz w:val="20"/>
                <w:szCs w:val="20"/>
                <w:color w:val="auto"/>
              </w:rPr>
            </w:pPr>
            <w:r>
              <w:rPr>
                <w:rFonts w:ascii="Arial" w:cs="Arial" w:eastAsia="Arial" w:hAnsi="Arial"/>
                <w:sz w:val="14"/>
                <w:szCs w:val="14"/>
                <w:color w:val="auto"/>
              </w:rPr>
              <w:t>11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666</w:t>
            </w:r>
          </w:p>
        </w:tc>
        <w:tc>
          <w:tcPr>
            <w:tcW w:w="0" w:type="dxa"/>
            <w:vAlign w:val="bottom"/>
          </w:tcPr>
          <w:p>
            <w:pPr>
              <w:spacing w:after="0"/>
              <w:rPr>
                <w:sz w:val="1"/>
                <w:szCs w:val="1"/>
                <w:color w:val="auto"/>
              </w:rPr>
            </w:pPr>
          </w:p>
        </w:tc>
      </w:tr>
      <w:tr>
        <w:trPr>
          <w:trHeight w:val="187"/>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financing costs</w:t>
            </w:r>
          </w:p>
        </w:tc>
        <w:tc>
          <w:tcPr>
            <w:tcW w:w="68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4"/>
                <w:szCs w:val="14"/>
                <w:color w:val="auto"/>
              </w:rPr>
              <w:t>(1,135)</w:t>
            </w:r>
          </w:p>
        </w:tc>
        <w:tc>
          <w:tcPr>
            <w:tcW w:w="100" w:type="dxa"/>
            <w:vAlign w:val="bottom"/>
            <w:tcBorders>
              <w:bottom w:val="single" w:sz="8" w:color="auto"/>
            </w:tcBorders>
            <w:shd w:val="clear" w:color="auto" w:fill="F2F2F2"/>
          </w:tcPr>
          <w:p>
            <w:pPr>
              <w:spacing w:after="0"/>
              <w:rPr>
                <w:sz w:val="16"/>
                <w:szCs w:val="16"/>
                <w:color w:val="auto"/>
              </w:rPr>
            </w:pPr>
          </w:p>
        </w:tc>
        <w:tc>
          <w:tcPr>
            <w:tcW w:w="1420" w:type="dxa"/>
            <w:vAlign w:val="bottom"/>
            <w:tcBorders>
              <w:bottom w:val="single" w:sz="8" w:color="auto"/>
            </w:tcBorders>
          </w:tcPr>
          <w:p>
            <w:pPr>
              <w:jc w:val="right"/>
              <w:ind w:right="487"/>
              <w:spacing w:after="0"/>
              <w:rPr>
                <w:sz w:val="20"/>
                <w:szCs w:val="20"/>
                <w:color w:val="auto"/>
              </w:rPr>
            </w:pPr>
            <w:r>
              <w:rPr>
                <w:rFonts w:ascii="Arial" w:cs="Arial" w:eastAsia="Arial" w:hAnsi="Arial"/>
                <w:sz w:val="14"/>
                <w:szCs w:val="14"/>
                <w:color w:val="auto"/>
              </w:rPr>
              <w:t>(1,355)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(788)</w:t>
            </w:r>
          </w:p>
        </w:tc>
        <w:tc>
          <w:tcPr>
            <w:tcW w:w="0" w:type="dxa"/>
            <w:vAlign w:val="bottom"/>
          </w:tcPr>
          <w:p>
            <w:pPr>
              <w:spacing w:after="0"/>
              <w:rPr>
                <w:sz w:val="1"/>
                <w:szCs w:val="1"/>
                <w:color w:val="auto"/>
              </w:rPr>
            </w:pPr>
          </w:p>
        </w:tc>
      </w:tr>
      <w:tr>
        <w:trPr>
          <w:trHeight w:val="183"/>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 (loss) excluding financing costs</w:t>
            </w:r>
          </w:p>
        </w:tc>
        <w:tc>
          <w:tcPr>
            <w:tcW w:w="68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4"/>
                <w:szCs w:val="14"/>
                <w:b w:val="1"/>
                <w:bCs w:val="1"/>
                <w:color w:val="auto"/>
              </w:rPr>
              <w:t>56,875</w:t>
            </w:r>
          </w:p>
        </w:tc>
        <w:tc>
          <w:tcPr>
            <w:tcW w:w="100" w:type="dxa"/>
            <w:vAlign w:val="bottom"/>
            <w:tcBorders>
              <w:bottom w:val="single" w:sz="8" w:color="auto"/>
            </w:tcBorders>
            <w:shd w:val="clear" w:color="auto" w:fill="F2F2F2"/>
          </w:tcPr>
          <w:p>
            <w:pPr>
              <w:spacing w:after="0"/>
              <w:rPr>
                <w:sz w:val="15"/>
                <w:szCs w:val="15"/>
                <w:color w:val="auto"/>
              </w:rPr>
            </w:pPr>
          </w:p>
        </w:tc>
        <w:tc>
          <w:tcPr>
            <w:tcW w:w="1420" w:type="dxa"/>
            <w:vAlign w:val="bottom"/>
            <w:tcBorders>
              <w:bottom w:val="single" w:sz="8" w:color="auto"/>
            </w:tcBorders>
          </w:tcPr>
          <w:p>
            <w:pPr>
              <w:jc w:val="right"/>
              <w:ind w:right="487"/>
              <w:spacing w:after="0"/>
              <w:rPr>
                <w:sz w:val="20"/>
                <w:szCs w:val="20"/>
                <w:color w:val="auto"/>
              </w:rPr>
            </w:pPr>
            <w:r>
              <w:rPr>
                <w:rFonts w:ascii="Arial" w:cs="Arial" w:eastAsia="Arial" w:hAnsi="Arial"/>
                <w:sz w:val="14"/>
                <w:szCs w:val="14"/>
                <w:b w:val="1"/>
                <w:bCs w:val="1"/>
                <w:color w:val="auto"/>
              </w:rPr>
              <w:t>24,395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(21,652)</w:t>
            </w:r>
          </w:p>
        </w:tc>
        <w:tc>
          <w:tcPr>
            <w:tcW w:w="0" w:type="dxa"/>
            <w:vAlign w:val="bottom"/>
          </w:tcPr>
          <w:p>
            <w:pPr>
              <w:spacing w:after="0"/>
              <w:rPr>
                <w:sz w:val="1"/>
                <w:szCs w:val="1"/>
                <w:color w:val="auto"/>
              </w:rPr>
            </w:pPr>
          </w:p>
        </w:tc>
      </w:tr>
      <w:tr>
        <w:trPr>
          <w:trHeight w:val="277"/>
        </w:trPr>
        <w:tc>
          <w:tcPr>
            <w:tcW w:w="6380" w:type="dxa"/>
            <w:vAlign w:val="bottom"/>
          </w:tcPr>
          <w:p>
            <w:pPr>
              <w:ind w:left="20"/>
              <w:spacing w:after="0"/>
              <w:rPr>
                <w:sz w:val="20"/>
                <w:szCs w:val="20"/>
                <w:color w:val="auto"/>
              </w:rPr>
            </w:pPr>
            <w:r>
              <w:rPr>
                <w:rFonts w:ascii="Arial" w:cs="Arial" w:eastAsia="Arial" w:hAnsi="Arial"/>
                <w:sz w:val="14"/>
                <w:szCs w:val="14"/>
                <w:color w:val="auto"/>
              </w:rPr>
              <w:t>Average capital employed</w:t>
            </w:r>
          </w:p>
        </w:tc>
        <w:tc>
          <w:tcPr>
            <w:tcW w:w="780" w:type="dxa"/>
            <w:vAlign w:val="bottom"/>
            <w:gridSpan w:val="2"/>
            <w:shd w:val="clear" w:color="auto" w:fill="F2F2F2"/>
          </w:tcPr>
          <w:p>
            <w:pPr>
              <w:jc w:val="right"/>
              <w:ind w:right="100"/>
              <w:spacing w:after="0"/>
              <w:rPr>
                <w:sz w:val="20"/>
                <w:szCs w:val="20"/>
                <w:color w:val="auto"/>
              </w:rPr>
            </w:pPr>
            <w:r>
              <w:rPr>
                <w:rFonts w:ascii="Arial" w:cs="Arial" w:eastAsia="Arial" w:hAnsi="Arial"/>
                <w:sz w:val="14"/>
                <w:szCs w:val="14"/>
                <w:color w:val="auto"/>
              </w:rPr>
              <w:t>228,404</w:t>
            </w:r>
          </w:p>
        </w:tc>
        <w:tc>
          <w:tcPr>
            <w:tcW w:w="1420" w:type="dxa"/>
            <w:vAlign w:val="bottom"/>
          </w:tcPr>
          <w:p>
            <w:pPr>
              <w:jc w:val="right"/>
              <w:ind w:right="487"/>
              <w:spacing w:after="0"/>
              <w:rPr>
                <w:sz w:val="20"/>
                <w:szCs w:val="20"/>
                <w:color w:val="auto"/>
              </w:rPr>
            </w:pPr>
            <w:r>
              <w:rPr>
                <w:rFonts w:ascii="Arial" w:cs="Arial" w:eastAsia="Arial" w:hAnsi="Arial"/>
                <w:sz w:val="14"/>
                <w:szCs w:val="14"/>
                <w:color w:val="auto"/>
              </w:rPr>
              <w:t>222,890</w:t>
            </w:r>
          </w:p>
        </w:tc>
        <w:tc>
          <w:tcPr>
            <w:tcW w:w="1140" w:type="dxa"/>
            <w:vAlign w:val="bottom"/>
          </w:tcPr>
          <w:p>
            <w:pPr>
              <w:jc w:val="right"/>
              <w:spacing w:after="0"/>
              <w:rPr>
                <w:sz w:val="20"/>
                <w:szCs w:val="20"/>
                <w:color w:val="auto"/>
              </w:rPr>
            </w:pPr>
            <w:r>
              <w:rPr>
                <w:rFonts w:ascii="Arial" w:cs="Arial" w:eastAsia="Arial" w:hAnsi="Arial"/>
                <w:sz w:val="14"/>
                <w:szCs w:val="14"/>
                <w:color w:val="auto"/>
              </w:rPr>
              <w:t>234,031</w:t>
            </w:r>
          </w:p>
        </w:tc>
        <w:tc>
          <w:tcPr>
            <w:tcW w:w="0" w:type="dxa"/>
            <w:vAlign w:val="bottom"/>
          </w:tcPr>
          <w:p>
            <w:pPr>
              <w:spacing w:after="0"/>
              <w:rPr>
                <w:sz w:val="1"/>
                <w:szCs w:val="1"/>
                <w:color w:val="auto"/>
              </w:rPr>
            </w:pPr>
          </w:p>
        </w:tc>
      </w:tr>
      <w:tr>
        <w:trPr>
          <w:trHeight w:val="189"/>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Return on average capital employed – corporate total </w:t>
            </w:r>
            <w:r>
              <w:rPr>
                <w:rFonts w:ascii="Arial" w:cs="Arial" w:eastAsia="Arial" w:hAnsi="Arial"/>
                <w:sz w:val="14"/>
                <w:szCs w:val="14"/>
                <w:color w:val="auto"/>
              </w:rPr>
              <w:t>(Non-GAAP)</w:t>
            </w:r>
          </w:p>
        </w:tc>
        <w:tc>
          <w:tcPr>
            <w:tcW w:w="780" w:type="dxa"/>
            <w:vAlign w:val="bottom"/>
            <w:tcBorders>
              <w:bottom w:val="single" w:sz="8" w:color="auto"/>
            </w:tcBorders>
            <w:gridSpan w:val="2"/>
            <w:shd w:val="clear" w:color="auto" w:fill="F2F2F2"/>
          </w:tcPr>
          <w:p>
            <w:pPr>
              <w:jc w:val="right"/>
              <w:ind w:right="100"/>
              <w:spacing w:after="0"/>
              <w:rPr>
                <w:sz w:val="20"/>
                <w:szCs w:val="20"/>
                <w:color w:val="auto"/>
              </w:rPr>
            </w:pPr>
            <w:r>
              <w:rPr>
                <w:rFonts w:ascii="Arial" w:cs="Arial" w:eastAsia="Arial" w:hAnsi="Arial"/>
                <w:sz w:val="14"/>
                <w:szCs w:val="14"/>
                <w:b w:val="1"/>
                <w:bCs w:val="1"/>
                <w:color w:val="auto"/>
              </w:rPr>
              <w:t>24.9%</w:t>
            </w:r>
          </w:p>
        </w:tc>
        <w:tc>
          <w:tcPr>
            <w:tcW w:w="1420" w:type="dxa"/>
            <w:vAlign w:val="bottom"/>
            <w:tcBorders>
              <w:bottom w:val="single" w:sz="8" w:color="auto"/>
            </w:tcBorders>
          </w:tcPr>
          <w:p>
            <w:pPr>
              <w:jc w:val="right"/>
              <w:ind w:right="487"/>
              <w:spacing w:after="0"/>
              <w:rPr>
                <w:sz w:val="20"/>
                <w:szCs w:val="20"/>
                <w:color w:val="auto"/>
              </w:rPr>
            </w:pPr>
            <w:r>
              <w:rPr>
                <w:rFonts w:ascii="Arial" w:cs="Arial" w:eastAsia="Arial" w:hAnsi="Arial"/>
                <w:sz w:val="14"/>
                <w:szCs w:val="14"/>
                <w:b w:val="1"/>
                <w:bCs w:val="1"/>
                <w:color w:val="auto"/>
              </w:rPr>
              <w:t>10.9%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Structural Cost Savings</w:t>
      </w:r>
    </w:p>
    <w:p>
      <w:pPr>
        <w:spacing w:after="0" w:line="104" w:lineRule="exact"/>
        <w:rPr>
          <w:sz w:val="20"/>
          <w:szCs w:val="20"/>
          <w:color w:val="auto"/>
        </w:rPr>
      </w:pPr>
    </w:p>
    <w:p>
      <w:pPr>
        <w:ind w:left="760" w:right="20"/>
        <w:spacing w:after="0" w:line="239" w:lineRule="auto"/>
        <w:rPr>
          <w:sz w:val="20"/>
          <w:szCs w:val="20"/>
          <w:color w:val="auto"/>
        </w:rPr>
      </w:pPr>
      <w:r>
        <w:rPr>
          <w:rFonts w:ascii="Arial" w:cs="Arial" w:eastAsia="Arial" w:hAnsi="Arial"/>
          <w:sz w:val="18"/>
          <w:szCs w:val="18"/>
          <w:color w:val="auto"/>
        </w:rPr>
        <w:t>Structural cost savings describe decreases certain expenses as a result of operational efficiencies, workforce reductions, and other cost saving measures that are expected to be sustainable compared to 2019 levels. Relative to 2019, estimated cumulative annual structural cost savings totaled $7 billion. The total change between periods in expenses below will reflect both structural cost savings and other changes in spend, including market factors, such as inflation and foreign exchange impacts, as well as changes in activity levels and costs associated with new operations. Estimates of cumulative annual structural savings may be revised depending on whether cost reductions realized in prior periods are determined to be sustainable compared to 2019 levels. Structural cost savings are stewarded internally to support management’s oversight of spending over time. This measure is useful for investors to understand the Corporation’s efforts to optimize spending through disciplined expense management.</w:t>
      </w:r>
    </w:p>
    <w:p>
      <w:pPr>
        <w:spacing w:after="0" w:line="229" w:lineRule="exact"/>
        <w:rPr>
          <w:sz w:val="20"/>
          <w:szCs w:val="20"/>
          <w:color w:val="auto"/>
        </w:rPr>
      </w:pPr>
    </w:p>
    <w:tbl>
      <w:tblPr>
        <w:tblLayout w:type="fixed"/>
        <w:tblInd w:w="760" w:type="dxa"/>
        <w:tblCellMar>
          <w:top w:w="0" w:type="dxa"/>
          <w:left w:w="0" w:type="dxa"/>
          <w:bottom w:w="0" w:type="dxa"/>
          <w:right w:w="0" w:type="dxa"/>
        </w:tblCellMar>
      </w:tblPr>
      <w:tr>
        <w:trPr>
          <w:trHeight w:val="189"/>
        </w:trPr>
        <w:tc>
          <w:tcPr>
            <w:tcW w:w="4900" w:type="dxa"/>
            <w:vAlign w:val="bottom"/>
            <w:shd w:val="clear" w:color="auto" w:fill="000000"/>
          </w:tcPr>
          <w:p>
            <w:pPr>
              <w:spacing w:after="0"/>
              <w:rPr>
                <w:sz w:val="20"/>
                <w:szCs w:val="20"/>
                <w:color w:val="auto"/>
              </w:rPr>
            </w:pPr>
            <w:r>
              <w:rPr>
                <w:rFonts w:ascii="Arial" w:cs="Arial" w:eastAsia="Arial" w:hAnsi="Arial"/>
                <w:sz w:val="16"/>
                <w:szCs w:val="16"/>
                <w:b w:val="1"/>
                <w:bCs w:val="1"/>
                <w:color w:val="FFFFFF"/>
              </w:rPr>
              <w:t>CALCULATION OF STRUCTURAL COST SAVINGS</w:t>
            </w:r>
          </w:p>
        </w:tc>
        <w:tc>
          <w:tcPr>
            <w:tcW w:w="1480" w:type="dxa"/>
            <w:vAlign w:val="bottom"/>
            <w:vMerge w:val="restart"/>
            <w:shd w:val="clear" w:color="auto" w:fill="000000"/>
          </w:tcPr>
          <w:p>
            <w:pPr>
              <w:jc w:val="right"/>
              <w:spacing w:after="0"/>
              <w:rPr>
                <w:sz w:val="20"/>
                <w:szCs w:val="20"/>
                <w:color w:val="auto"/>
              </w:rPr>
            </w:pPr>
            <w:r>
              <w:rPr>
                <w:rFonts w:ascii="Arial" w:cs="Arial" w:eastAsia="Arial" w:hAnsi="Arial"/>
                <w:sz w:val="16"/>
                <w:szCs w:val="16"/>
                <w:b w:val="1"/>
                <w:bCs w:val="1"/>
                <w:color w:val="FFFFFF"/>
              </w:rPr>
              <w:t>2019</w:t>
            </w:r>
          </w:p>
        </w:tc>
        <w:tc>
          <w:tcPr>
            <w:tcW w:w="2640" w:type="dxa"/>
            <w:vAlign w:val="bottom"/>
            <w:shd w:val="clear" w:color="auto" w:fill="000000"/>
          </w:tcPr>
          <w:p>
            <w:pPr>
              <w:spacing w:after="0"/>
              <w:rPr>
                <w:sz w:val="16"/>
                <w:szCs w:val="16"/>
                <w:color w:val="auto"/>
              </w:rPr>
            </w:pPr>
          </w:p>
        </w:tc>
        <w:tc>
          <w:tcPr>
            <w:tcW w:w="600" w:type="dxa"/>
            <w:vAlign w:val="bottom"/>
            <w:vMerge w:val="restart"/>
            <w:shd w:val="clear" w:color="auto" w:fill="000000"/>
          </w:tcPr>
          <w:p>
            <w:pPr>
              <w:jc w:val="right"/>
              <w:spacing w:after="0"/>
              <w:rPr>
                <w:sz w:val="20"/>
                <w:szCs w:val="20"/>
                <w:color w:val="auto"/>
              </w:rPr>
            </w:pPr>
            <w:r>
              <w:rPr>
                <w:rFonts w:ascii="Arial" w:cs="Arial" w:eastAsia="Arial" w:hAnsi="Arial"/>
                <w:sz w:val="16"/>
                <w:szCs w:val="16"/>
                <w:b w:val="1"/>
                <w:bCs w:val="1"/>
                <w:color w:val="FFFFFF"/>
              </w:rPr>
              <w:t>2022</w:t>
            </w:r>
          </w:p>
        </w:tc>
        <w:tc>
          <w:tcPr>
            <w:tcW w:w="10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900" w:type="dxa"/>
            <w:vAlign w:val="bottom"/>
            <w:vMerge w:val="restart"/>
            <w:shd w:val="clear" w:color="auto" w:fill="000000"/>
          </w:tcPr>
          <w:p>
            <w:pPr>
              <w:ind w:left="20"/>
              <w:spacing w:after="0"/>
              <w:rPr>
                <w:sz w:val="20"/>
                <w:szCs w:val="20"/>
                <w:color w:val="auto"/>
              </w:rPr>
            </w:pPr>
            <w:r>
              <w:rPr>
                <w:rFonts w:ascii="Arial" w:cs="Arial" w:eastAsia="Arial" w:hAnsi="Arial"/>
                <w:sz w:val="14"/>
                <w:szCs w:val="14"/>
                <w:i w:val="1"/>
                <w:iCs w:val="1"/>
                <w:color w:val="FFFFFF"/>
              </w:rPr>
              <w:t>(Dollars in billions)</w:t>
            </w:r>
          </w:p>
        </w:tc>
        <w:tc>
          <w:tcPr>
            <w:tcW w:w="1480" w:type="dxa"/>
            <w:vAlign w:val="bottom"/>
            <w:vMerge w:val="continue"/>
            <w:shd w:val="clear" w:color="auto" w:fill="000000"/>
          </w:tcPr>
          <w:p>
            <w:pPr>
              <w:spacing w:after="0"/>
              <w:rPr>
                <w:sz w:val="11"/>
                <w:szCs w:val="11"/>
                <w:color w:val="auto"/>
              </w:rPr>
            </w:pPr>
          </w:p>
        </w:tc>
        <w:tc>
          <w:tcPr>
            <w:tcW w:w="2640" w:type="dxa"/>
            <w:vAlign w:val="bottom"/>
            <w:shd w:val="clear" w:color="auto" w:fill="000000"/>
          </w:tcPr>
          <w:p>
            <w:pPr>
              <w:spacing w:after="0"/>
              <w:rPr>
                <w:sz w:val="11"/>
                <w:szCs w:val="11"/>
                <w:color w:val="auto"/>
              </w:rPr>
            </w:pPr>
          </w:p>
        </w:tc>
        <w:tc>
          <w:tcPr>
            <w:tcW w:w="600" w:type="dxa"/>
            <w:vAlign w:val="bottom"/>
            <w:vMerge w:val="continue"/>
            <w:shd w:val="clear" w:color="auto" w:fill="000000"/>
          </w:tcPr>
          <w:p>
            <w:pPr>
              <w:spacing w:after="0"/>
              <w:rPr>
                <w:sz w:val="11"/>
                <w:szCs w:val="11"/>
                <w:color w:val="auto"/>
              </w:rPr>
            </w:pPr>
          </w:p>
        </w:tc>
        <w:tc>
          <w:tcPr>
            <w:tcW w:w="10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4900" w:type="dxa"/>
            <w:vAlign w:val="bottom"/>
            <w:tcBorders>
              <w:bottom w:val="single" w:sz="8" w:color="auto"/>
            </w:tcBorders>
            <w:vMerge w:val="continue"/>
            <w:shd w:val="clear" w:color="auto" w:fill="000000"/>
          </w:tcPr>
          <w:p>
            <w:pPr>
              <w:spacing w:after="0"/>
              <w:rPr>
                <w:sz w:val="5"/>
                <w:szCs w:val="5"/>
                <w:color w:val="auto"/>
              </w:rPr>
            </w:pPr>
          </w:p>
        </w:tc>
        <w:tc>
          <w:tcPr>
            <w:tcW w:w="1480" w:type="dxa"/>
            <w:vAlign w:val="bottom"/>
            <w:tcBorders>
              <w:bottom w:val="single" w:sz="8" w:color="auto"/>
            </w:tcBorders>
            <w:shd w:val="clear" w:color="auto" w:fill="000000"/>
          </w:tcPr>
          <w:p>
            <w:pPr>
              <w:spacing w:after="0"/>
              <w:rPr>
                <w:sz w:val="5"/>
                <w:szCs w:val="5"/>
                <w:color w:val="auto"/>
              </w:rPr>
            </w:pPr>
          </w:p>
        </w:tc>
        <w:tc>
          <w:tcPr>
            <w:tcW w:w="2640" w:type="dxa"/>
            <w:vAlign w:val="bottom"/>
            <w:tcBorders>
              <w:bottom w:val="single" w:sz="8" w:color="auto"/>
            </w:tcBorders>
            <w:shd w:val="clear" w:color="auto" w:fill="000000"/>
          </w:tcPr>
          <w:p>
            <w:pPr>
              <w:spacing w:after="0"/>
              <w:rPr>
                <w:sz w:val="5"/>
                <w:szCs w:val="5"/>
                <w:color w:val="auto"/>
              </w:rPr>
            </w:pPr>
          </w:p>
        </w:tc>
        <w:tc>
          <w:tcPr>
            <w:tcW w:w="600" w:type="dxa"/>
            <w:vAlign w:val="bottom"/>
            <w:tcBorders>
              <w:bottom w:val="single" w:sz="8" w:color="auto"/>
            </w:tcBorders>
            <w:shd w:val="clear" w:color="auto" w:fill="000000"/>
          </w:tcPr>
          <w:p>
            <w:pPr>
              <w:spacing w:after="0"/>
              <w:rPr>
                <w:sz w:val="5"/>
                <w:szCs w:val="5"/>
                <w:color w:val="auto"/>
              </w:rPr>
            </w:pPr>
          </w:p>
        </w:tc>
        <w:tc>
          <w:tcPr>
            <w:tcW w:w="100" w:type="dxa"/>
            <w:vAlign w:val="bottom"/>
            <w:tcBorders>
              <w:bottom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Components of operating costs</w:t>
            </w:r>
          </w:p>
        </w:tc>
        <w:tc>
          <w:tcPr>
            <w:tcW w:w="14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0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90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From ExxonMobil’s Consolidated Statement of Income</w:t>
            </w:r>
          </w:p>
        </w:tc>
        <w:tc>
          <w:tcPr>
            <w:tcW w:w="148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600" w:type="dxa"/>
            <w:vAlign w:val="bottom"/>
            <w:shd w:val="clear" w:color="auto" w:fill="F2F2F2"/>
          </w:tcPr>
          <w:p>
            <w:pPr>
              <w:spacing w:after="0"/>
              <w:rPr>
                <w:sz w:val="13"/>
                <w:szCs w:val="13"/>
                <w:color w:val="auto"/>
              </w:rPr>
            </w:pPr>
          </w:p>
        </w:tc>
        <w:tc>
          <w:tcPr>
            <w:tcW w:w="100" w:type="dxa"/>
            <w:vAlign w:val="bottom"/>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(U.S. GAAP)</w:t>
            </w:r>
          </w:p>
        </w:tc>
        <w:tc>
          <w:tcPr>
            <w:tcW w:w="14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600" w:type="dxa"/>
            <w:vAlign w:val="bottom"/>
            <w:shd w:val="clear" w:color="auto" w:fill="F2F2F2"/>
          </w:tcPr>
          <w:p>
            <w:pPr>
              <w:spacing w:after="0"/>
              <w:rPr>
                <w:sz w:val="16"/>
                <w:szCs w:val="16"/>
                <w:color w:val="auto"/>
              </w:rPr>
            </w:pPr>
          </w:p>
        </w:tc>
        <w:tc>
          <w:tcPr>
            <w:tcW w:w="10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900" w:type="dxa"/>
            <w:vAlign w:val="bottom"/>
          </w:tcPr>
          <w:p>
            <w:pPr>
              <w:ind w:left="20"/>
              <w:spacing w:after="0"/>
              <w:rPr>
                <w:sz w:val="20"/>
                <w:szCs w:val="20"/>
                <w:color w:val="auto"/>
              </w:rPr>
            </w:pPr>
            <w:r>
              <w:rPr>
                <w:rFonts w:ascii="Arial" w:cs="Arial" w:eastAsia="Arial" w:hAnsi="Arial"/>
                <w:sz w:val="14"/>
                <w:szCs w:val="14"/>
                <w:color w:val="auto"/>
              </w:rPr>
              <w:t>Production and manufacturing expenses</w:t>
            </w:r>
          </w:p>
        </w:tc>
        <w:tc>
          <w:tcPr>
            <w:tcW w:w="1480" w:type="dxa"/>
            <w:vAlign w:val="bottom"/>
          </w:tcPr>
          <w:p>
            <w:pPr>
              <w:jc w:val="right"/>
              <w:spacing w:after="0"/>
              <w:rPr>
                <w:sz w:val="20"/>
                <w:szCs w:val="20"/>
                <w:color w:val="auto"/>
              </w:rPr>
            </w:pPr>
            <w:r>
              <w:rPr>
                <w:rFonts w:ascii="Arial" w:cs="Arial" w:eastAsia="Arial" w:hAnsi="Arial"/>
                <w:sz w:val="14"/>
                <w:szCs w:val="14"/>
                <w:color w:val="auto"/>
              </w:rPr>
              <w:t>36.8</w:t>
            </w:r>
          </w:p>
        </w:tc>
        <w:tc>
          <w:tcPr>
            <w:tcW w:w="2640" w:type="dxa"/>
            <w:vAlign w:val="bottom"/>
          </w:tcPr>
          <w:p>
            <w:pPr>
              <w:spacing w:after="0"/>
              <w:rPr>
                <w:sz w:val="14"/>
                <w:szCs w:val="14"/>
                <w:color w:val="auto"/>
              </w:rPr>
            </w:pPr>
          </w:p>
        </w:tc>
        <w:tc>
          <w:tcPr>
            <w:tcW w:w="6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42.6</w:t>
            </w:r>
          </w:p>
        </w:tc>
        <w:tc>
          <w:tcPr>
            <w:tcW w:w="10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900" w:type="dxa"/>
            <w:vAlign w:val="bottom"/>
          </w:tcPr>
          <w:p>
            <w:pPr>
              <w:ind w:left="20"/>
              <w:spacing w:after="0" w:line="153" w:lineRule="exact"/>
              <w:rPr>
                <w:sz w:val="20"/>
                <w:szCs w:val="20"/>
                <w:color w:val="auto"/>
              </w:rPr>
            </w:pPr>
            <w:r>
              <w:rPr>
                <w:rFonts w:ascii="Arial" w:cs="Arial" w:eastAsia="Arial" w:hAnsi="Arial"/>
                <w:sz w:val="14"/>
                <w:szCs w:val="14"/>
                <w:color w:val="auto"/>
              </w:rPr>
              <w:t>Selling, general and administrative expenses</w:t>
            </w:r>
          </w:p>
        </w:tc>
        <w:tc>
          <w:tcPr>
            <w:tcW w:w="1480" w:type="dxa"/>
            <w:vAlign w:val="bottom"/>
          </w:tcPr>
          <w:p>
            <w:pPr>
              <w:jc w:val="right"/>
              <w:spacing w:after="0" w:line="153" w:lineRule="exact"/>
              <w:rPr>
                <w:sz w:val="20"/>
                <w:szCs w:val="20"/>
                <w:color w:val="auto"/>
              </w:rPr>
            </w:pPr>
            <w:r>
              <w:rPr>
                <w:rFonts w:ascii="Arial" w:cs="Arial" w:eastAsia="Arial" w:hAnsi="Arial"/>
                <w:sz w:val="14"/>
                <w:szCs w:val="14"/>
                <w:color w:val="auto"/>
              </w:rPr>
              <w:t>11.4</w:t>
            </w:r>
          </w:p>
        </w:tc>
        <w:tc>
          <w:tcPr>
            <w:tcW w:w="2640" w:type="dxa"/>
            <w:vAlign w:val="bottom"/>
          </w:tcPr>
          <w:p>
            <w:pPr>
              <w:spacing w:after="0"/>
              <w:rPr>
                <w:sz w:val="13"/>
                <w:szCs w:val="13"/>
                <w:color w:val="auto"/>
              </w:rPr>
            </w:pPr>
          </w:p>
        </w:tc>
        <w:tc>
          <w:tcPr>
            <w:tcW w:w="600" w:type="dxa"/>
            <w:vAlign w:val="bottom"/>
            <w:shd w:val="clear" w:color="auto" w:fill="F2F2F2"/>
          </w:tcPr>
          <w:p>
            <w:pPr>
              <w:jc w:val="right"/>
              <w:spacing w:after="0" w:line="153" w:lineRule="exact"/>
              <w:rPr>
                <w:sz w:val="20"/>
                <w:szCs w:val="20"/>
                <w:color w:val="auto"/>
              </w:rPr>
            </w:pPr>
            <w:r>
              <w:rPr>
                <w:rFonts w:ascii="Arial" w:cs="Arial" w:eastAsia="Arial" w:hAnsi="Arial"/>
                <w:sz w:val="14"/>
                <w:szCs w:val="14"/>
                <w:color w:val="auto"/>
              </w:rPr>
              <w:t>10.1</w:t>
            </w:r>
          </w:p>
        </w:tc>
        <w:tc>
          <w:tcPr>
            <w:tcW w:w="100" w:type="dxa"/>
            <w:vAlign w:val="bottom"/>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00" w:type="dxa"/>
            <w:vAlign w:val="bottom"/>
          </w:tcPr>
          <w:p>
            <w:pPr>
              <w:ind w:left="20"/>
              <w:spacing w:after="0"/>
              <w:rPr>
                <w:sz w:val="20"/>
                <w:szCs w:val="20"/>
                <w:color w:val="auto"/>
              </w:rPr>
            </w:pPr>
            <w:r>
              <w:rPr>
                <w:rFonts w:ascii="Arial" w:cs="Arial" w:eastAsia="Arial" w:hAnsi="Arial"/>
                <w:sz w:val="14"/>
                <w:szCs w:val="14"/>
                <w:color w:val="auto"/>
              </w:rPr>
              <w:t>Depreciation and depletion (includes impairments)</w:t>
            </w:r>
          </w:p>
        </w:tc>
        <w:tc>
          <w:tcPr>
            <w:tcW w:w="1480" w:type="dxa"/>
            <w:vAlign w:val="bottom"/>
          </w:tcPr>
          <w:p>
            <w:pPr>
              <w:jc w:val="right"/>
              <w:spacing w:after="0"/>
              <w:rPr>
                <w:sz w:val="20"/>
                <w:szCs w:val="20"/>
                <w:color w:val="auto"/>
              </w:rPr>
            </w:pPr>
            <w:r>
              <w:rPr>
                <w:rFonts w:ascii="Arial" w:cs="Arial" w:eastAsia="Arial" w:hAnsi="Arial"/>
                <w:sz w:val="14"/>
                <w:szCs w:val="14"/>
                <w:color w:val="auto"/>
              </w:rPr>
              <w:t>19.0</w:t>
            </w:r>
          </w:p>
        </w:tc>
        <w:tc>
          <w:tcPr>
            <w:tcW w:w="2640" w:type="dxa"/>
            <w:vAlign w:val="bottom"/>
          </w:tcPr>
          <w:p>
            <w:pPr>
              <w:spacing w:after="0"/>
              <w:rPr>
                <w:sz w:val="14"/>
                <w:szCs w:val="14"/>
                <w:color w:val="auto"/>
              </w:rPr>
            </w:pPr>
          </w:p>
        </w:tc>
        <w:tc>
          <w:tcPr>
            <w:tcW w:w="6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24.0</w:t>
            </w:r>
          </w:p>
        </w:tc>
        <w:tc>
          <w:tcPr>
            <w:tcW w:w="10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tcPr>
          <w:p>
            <w:pPr>
              <w:ind w:left="20"/>
              <w:spacing w:after="0"/>
              <w:rPr>
                <w:sz w:val="20"/>
                <w:szCs w:val="20"/>
                <w:color w:val="auto"/>
              </w:rPr>
            </w:pPr>
            <w:r>
              <w:rPr>
                <w:rFonts w:ascii="Arial" w:cs="Arial" w:eastAsia="Arial" w:hAnsi="Arial"/>
                <w:sz w:val="14"/>
                <w:szCs w:val="14"/>
                <w:color w:val="auto"/>
              </w:rPr>
              <w:t>Exploration expenses, including dry holes</w:t>
            </w:r>
          </w:p>
        </w:tc>
        <w:tc>
          <w:tcPr>
            <w:tcW w:w="1480" w:type="dxa"/>
            <w:vAlign w:val="bottom"/>
          </w:tcPr>
          <w:p>
            <w:pPr>
              <w:jc w:val="right"/>
              <w:spacing w:after="0"/>
              <w:rPr>
                <w:sz w:val="20"/>
                <w:szCs w:val="20"/>
                <w:color w:val="auto"/>
              </w:rPr>
            </w:pPr>
            <w:r>
              <w:rPr>
                <w:rFonts w:ascii="Arial" w:cs="Arial" w:eastAsia="Arial" w:hAnsi="Arial"/>
                <w:sz w:val="14"/>
                <w:szCs w:val="14"/>
                <w:color w:val="auto"/>
              </w:rPr>
              <w:t>1.3</w:t>
            </w:r>
          </w:p>
        </w:tc>
        <w:tc>
          <w:tcPr>
            <w:tcW w:w="2640" w:type="dxa"/>
            <w:vAlign w:val="bottom"/>
          </w:tcPr>
          <w:p>
            <w:pPr>
              <w:spacing w:after="0"/>
              <w:rPr>
                <w:sz w:val="14"/>
                <w:szCs w:val="14"/>
                <w:color w:val="auto"/>
              </w:rPr>
            </w:pPr>
          </w:p>
        </w:tc>
        <w:tc>
          <w:tcPr>
            <w:tcW w:w="6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900" w:type="dxa"/>
            <w:vAlign w:val="bottom"/>
          </w:tcPr>
          <w:p>
            <w:pPr>
              <w:ind w:left="20"/>
              <w:spacing w:after="0"/>
              <w:rPr>
                <w:sz w:val="20"/>
                <w:szCs w:val="20"/>
                <w:color w:val="auto"/>
              </w:rPr>
            </w:pPr>
            <w:r>
              <w:rPr>
                <w:rFonts w:ascii="Arial" w:cs="Arial" w:eastAsia="Arial" w:hAnsi="Arial"/>
                <w:sz w:val="14"/>
                <w:szCs w:val="14"/>
                <w:color w:val="auto"/>
              </w:rPr>
              <w:t>Non-service pension and postretirement benefit expense</w:t>
            </w:r>
          </w:p>
        </w:tc>
        <w:tc>
          <w:tcPr>
            <w:tcW w:w="1480" w:type="dxa"/>
            <w:vAlign w:val="bottom"/>
          </w:tcPr>
          <w:p>
            <w:pPr>
              <w:jc w:val="right"/>
              <w:spacing w:after="0"/>
              <w:rPr>
                <w:sz w:val="20"/>
                <w:szCs w:val="20"/>
                <w:color w:val="auto"/>
              </w:rPr>
            </w:pPr>
            <w:r>
              <w:rPr>
                <w:rFonts w:ascii="Arial" w:cs="Arial" w:eastAsia="Arial" w:hAnsi="Arial"/>
                <w:sz w:val="14"/>
                <w:szCs w:val="14"/>
                <w:color w:val="auto"/>
              </w:rPr>
              <w:t>1.2</w:t>
            </w:r>
          </w:p>
        </w:tc>
        <w:tc>
          <w:tcPr>
            <w:tcW w:w="2640" w:type="dxa"/>
            <w:vAlign w:val="bottom"/>
          </w:tcPr>
          <w:p>
            <w:pPr>
              <w:spacing w:after="0"/>
              <w:rPr>
                <w:sz w:val="19"/>
                <w:szCs w:val="19"/>
                <w:color w:val="auto"/>
              </w:rPr>
            </w:pPr>
          </w:p>
        </w:tc>
        <w:tc>
          <w:tcPr>
            <w:tcW w:w="6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F2F2F2"/>
            </w:tcBorders>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4900" w:type="dxa"/>
            <w:vAlign w:val="bottom"/>
            <w:tcBorders>
              <w:top w:val="single" w:sz="8" w:color="auto"/>
            </w:tcBorders>
          </w:tcPr>
          <w:p>
            <w:pPr>
              <w:ind w:left="20"/>
              <w:spacing w:after="0" w:line="147" w:lineRule="exact"/>
              <w:rPr>
                <w:sz w:val="20"/>
                <w:szCs w:val="20"/>
                <w:color w:val="auto"/>
              </w:rPr>
            </w:pPr>
            <w:r>
              <w:rPr>
                <w:rFonts w:ascii="Arial" w:cs="Arial" w:eastAsia="Arial" w:hAnsi="Arial"/>
                <w:sz w:val="14"/>
                <w:szCs w:val="14"/>
                <w:b w:val="1"/>
                <w:bCs w:val="1"/>
                <w:color w:val="auto"/>
              </w:rPr>
              <w:t>Subtotal</w:t>
            </w:r>
          </w:p>
        </w:tc>
        <w:tc>
          <w:tcPr>
            <w:tcW w:w="148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69.7</w:t>
            </w:r>
          </w:p>
        </w:tc>
        <w:tc>
          <w:tcPr>
            <w:tcW w:w="2640" w:type="dxa"/>
            <w:vAlign w:val="bottom"/>
          </w:tcPr>
          <w:p>
            <w:pPr>
              <w:spacing w:after="0"/>
              <w:rPr>
                <w:sz w:val="12"/>
                <w:szCs w:val="12"/>
                <w:color w:val="auto"/>
              </w:rPr>
            </w:pPr>
          </w:p>
        </w:tc>
        <w:tc>
          <w:tcPr>
            <w:tcW w:w="600" w:type="dxa"/>
            <w:vAlign w:val="bottom"/>
            <w:tcBorders>
              <w:top w:val="single" w:sz="8" w:color="auto"/>
            </w:tcBorders>
            <w:shd w:val="clear" w:color="auto" w:fill="F2F2F2"/>
          </w:tcPr>
          <w:p>
            <w:pPr>
              <w:jc w:val="right"/>
              <w:spacing w:after="0" w:line="147" w:lineRule="exact"/>
              <w:rPr>
                <w:sz w:val="20"/>
                <w:szCs w:val="20"/>
                <w:color w:val="auto"/>
              </w:rPr>
            </w:pPr>
            <w:r>
              <w:rPr>
                <w:rFonts w:ascii="Arial" w:cs="Arial" w:eastAsia="Arial" w:hAnsi="Arial"/>
                <w:sz w:val="14"/>
                <w:szCs w:val="14"/>
                <w:b w:val="1"/>
                <w:bCs w:val="1"/>
                <w:color w:val="auto"/>
              </w:rPr>
              <w:t>78.2</w:t>
            </w:r>
          </w:p>
        </w:tc>
        <w:tc>
          <w:tcPr>
            <w:tcW w:w="100" w:type="dxa"/>
            <w:vAlign w:val="bottom"/>
            <w:tcBorders>
              <w:top w:val="single" w:sz="8" w:color="auto"/>
            </w:tcBorders>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ExxonMobil’s share of equity company expenses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w:t>
            </w:r>
          </w:p>
        </w:tc>
        <w:tc>
          <w:tcPr>
            <w:tcW w:w="2640" w:type="dxa"/>
            <w:vAlign w:val="bottom"/>
          </w:tcPr>
          <w:p>
            <w:pPr>
              <w:spacing w:after="0"/>
              <w:rPr>
                <w:sz w:val="16"/>
                <w:szCs w:val="16"/>
                <w:color w:val="auto"/>
              </w:rPr>
            </w:pPr>
          </w:p>
        </w:tc>
        <w:tc>
          <w:tcPr>
            <w:tcW w:w="60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Borders>
              <w:bottom w:val="single" w:sz="8" w:color="auto"/>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operating costs (non-GAAP)</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78.8</w:t>
            </w:r>
          </w:p>
        </w:tc>
        <w:tc>
          <w:tcPr>
            <w:tcW w:w="2640" w:type="dxa"/>
            <w:vAlign w:val="bottom"/>
          </w:tcPr>
          <w:p>
            <w:pPr>
              <w:spacing w:after="0"/>
              <w:rPr>
                <w:sz w:val="18"/>
                <w:szCs w:val="18"/>
                <w:color w:val="auto"/>
              </w:rPr>
            </w:pPr>
          </w:p>
        </w:tc>
        <w:tc>
          <w:tcPr>
            <w:tcW w:w="60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4"/>
                <w:szCs w:val="14"/>
                <w:b w:val="1"/>
                <w:bCs w:val="1"/>
                <w:color w:val="auto"/>
              </w:rPr>
              <w:t>91.2</w:t>
            </w:r>
          </w:p>
        </w:tc>
        <w:tc>
          <w:tcPr>
            <w:tcW w:w="100" w:type="dxa"/>
            <w:vAlign w:val="bottom"/>
            <w:tcBorders>
              <w:bottom w:val="single" w:sz="8" w:color="auto"/>
            </w:tcBorders>
            <w:shd w:val="clear" w:color="auto" w:fill="F2F2F2"/>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6211570</wp:posOffset>
            </wp:positionH>
            <wp:positionV relativeFrom="paragraph">
              <wp:posOffset>-7620</wp:posOffset>
            </wp:positionV>
            <wp:extent cx="445770" cy="75438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445770" cy="754380"/>
                    </a:xfrm>
                    <a:prstGeom prst="rect">
                      <a:avLst/>
                    </a:prstGeom>
                    <a:noFill/>
                  </pic:spPr>
                </pic:pic>
              </a:graphicData>
            </a:graphic>
          </wp:anchor>
        </w:drawing>
      </w:r>
    </w:p>
    <w:p>
      <w:pPr>
        <w:sectPr>
          <w:pgSz w:w="11900" w:h="16838" w:orient="portrait"/>
          <w:cols w:equalWidth="0" w:num="1">
            <w:col w:w="10480"/>
          </w:cols>
          <w:pgMar w:left="320" w:top="482" w:right="1099" w:bottom="1440" w:gutter="0" w:footer="0" w:header="0"/>
        </w:sectPr>
      </w:pPr>
    </w:p>
    <w:p>
      <w:pPr>
        <w:spacing w:after="0" w:line="85"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4940" w:type="dxa"/>
            <w:vAlign w:val="bottom"/>
          </w:tcPr>
          <w:p>
            <w:pPr>
              <w:ind w:left="20"/>
              <w:spacing w:after="0"/>
              <w:rPr>
                <w:sz w:val="20"/>
                <w:szCs w:val="20"/>
                <w:color w:val="auto"/>
              </w:rPr>
            </w:pPr>
            <w:r>
              <w:rPr>
                <w:rFonts w:ascii="Arial" w:cs="Arial" w:eastAsia="Arial" w:hAnsi="Arial"/>
                <w:sz w:val="14"/>
                <w:szCs w:val="14"/>
                <w:color w:val="auto"/>
              </w:rPr>
              <w:t>Less:</w:t>
            </w:r>
          </w:p>
        </w:tc>
        <w:tc>
          <w:tcPr>
            <w:tcW w:w="1440" w:type="dxa"/>
            <w:vAlign w:val="bottom"/>
          </w:tcPr>
          <w:p>
            <w:pPr>
              <w:spacing w:after="0"/>
              <w:rPr>
                <w:sz w:val="14"/>
                <w:szCs w:val="14"/>
                <w:color w:val="auto"/>
              </w:rPr>
            </w:pPr>
          </w:p>
        </w:tc>
      </w:tr>
      <w:tr>
        <w:trPr>
          <w:trHeight w:val="162"/>
        </w:trPr>
        <w:tc>
          <w:tcPr>
            <w:tcW w:w="4940" w:type="dxa"/>
            <w:vAlign w:val="bottom"/>
          </w:tcPr>
          <w:p>
            <w:pPr>
              <w:ind w:left="20"/>
              <w:spacing w:after="0"/>
              <w:rPr>
                <w:sz w:val="20"/>
                <w:szCs w:val="20"/>
                <w:color w:val="auto"/>
              </w:rPr>
            </w:pPr>
            <w:r>
              <w:rPr>
                <w:rFonts w:ascii="Arial" w:cs="Arial" w:eastAsia="Arial" w:hAnsi="Arial"/>
                <w:sz w:val="14"/>
                <w:szCs w:val="14"/>
                <w:color w:val="auto"/>
              </w:rPr>
              <w:t>Depreciation and depletion (includes impairments)</w:t>
            </w:r>
          </w:p>
        </w:tc>
        <w:tc>
          <w:tcPr>
            <w:tcW w:w="1440" w:type="dxa"/>
            <w:vAlign w:val="bottom"/>
          </w:tcPr>
          <w:p>
            <w:pPr>
              <w:jc w:val="right"/>
              <w:spacing w:after="0"/>
              <w:rPr>
                <w:sz w:val="20"/>
                <w:szCs w:val="20"/>
                <w:color w:val="auto"/>
              </w:rPr>
            </w:pPr>
            <w:r>
              <w:rPr>
                <w:rFonts w:ascii="Arial" w:cs="Arial" w:eastAsia="Arial" w:hAnsi="Arial"/>
                <w:sz w:val="14"/>
                <w:szCs w:val="14"/>
                <w:color w:val="auto"/>
              </w:rPr>
              <w:t>19.0</w:t>
            </w:r>
          </w:p>
        </w:tc>
      </w:tr>
      <w:tr>
        <w:trPr>
          <w:trHeight w:val="162"/>
        </w:trPr>
        <w:tc>
          <w:tcPr>
            <w:tcW w:w="4940" w:type="dxa"/>
            <w:vAlign w:val="bottom"/>
          </w:tcPr>
          <w:p>
            <w:pPr>
              <w:ind w:left="20"/>
              <w:spacing w:after="0"/>
              <w:rPr>
                <w:sz w:val="20"/>
                <w:szCs w:val="20"/>
                <w:color w:val="auto"/>
              </w:rPr>
            </w:pPr>
            <w:r>
              <w:rPr>
                <w:rFonts w:ascii="Arial" w:cs="Arial" w:eastAsia="Arial" w:hAnsi="Arial"/>
                <w:sz w:val="14"/>
                <w:szCs w:val="14"/>
                <w:color w:val="auto"/>
              </w:rPr>
              <w:t>Non-service pension and postretirement benefit expense</w:t>
            </w:r>
          </w:p>
        </w:tc>
        <w:tc>
          <w:tcPr>
            <w:tcW w:w="144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62"/>
        </w:trPr>
        <w:tc>
          <w:tcPr>
            <w:tcW w:w="4940" w:type="dxa"/>
            <w:vAlign w:val="bottom"/>
          </w:tcPr>
          <w:p>
            <w:pPr>
              <w:ind w:left="20"/>
              <w:spacing w:after="0"/>
              <w:rPr>
                <w:sz w:val="20"/>
                <w:szCs w:val="20"/>
                <w:color w:val="auto"/>
              </w:rPr>
            </w:pPr>
            <w:r>
              <w:rPr>
                <w:rFonts w:ascii="Arial" w:cs="Arial" w:eastAsia="Arial" w:hAnsi="Arial"/>
                <w:sz w:val="14"/>
                <w:szCs w:val="14"/>
                <w:color w:val="auto"/>
              </w:rPr>
              <w:t>Other adjustments (includes equity company depreciation</w:t>
            </w:r>
          </w:p>
        </w:tc>
        <w:tc>
          <w:tcPr>
            <w:tcW w:w="1440" w:type="dxa"/>
            <w:vAlign w:val="bottom"/>
          </w:tcPr>
          <w:p>
            <w:pPr>
              <w:spacing w:after="0"/>
              <w:rPr>
                <w:sz w:val="14"/>
                <w:szCs w:val="14"/>
                <w:color w:val="auto"/>
              </w:rPr>
            </w:pPr>
          </w:p>
        </w:tc>
      </w:tr>
      <w:tr>
        <w:trPr>
          <w:trHeight w:val="208"/>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and depletion)</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r>
      <w:tr>
        <w:trPr>
          <w:trHeight w:val="207"/>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cash operating expenses (cash opex) (non-GAAP)</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55.0</w:t>
            </w:r>
          </w:p>
        </w:tc>
      </w:tr>
    </w:tbl>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24.0</w:t>
      </w:r>
    </w:p>
    <w:p>
      <w:pPr>
        <w:spacing w:after="0" w:line="15"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0.5</w:t>
      </w:r>
    </w:p>
    <w:p>
      <w:pPr>
        <w:spacing w:after="0" w:line="163"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3.5</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40640</wp:posOffset>
            </wp:positionV>
            <wp:extent cx="445770" cy="52260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445770" cy="522605"/>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9380" w:space="720"/>
            <w:col w:w="380"/>
          </w:cols>
          <w:pgMar w:left="320" w:top="482" w:right="1099" w:bottom="1440" w:gutter="0" w:footer="0" w:header="0"/>
          <w:type w:val="continuous"/>
        </w:sectPr>
      </w:pPr>
    </w:p>
    <w:tbl>
      <w:tblPr>
        <w:tblLayout w:type="fixed"/>
        <w:tblInd w:w="760" w:type="dxa"/>
        <w:tblCellMar>
          <w:top w:w="0" w:type="dxa"/>
          <w:left w:w="0" w:type="dxa"/>
          <w:bottom w:w="0" w:type="dxa"/>
          <w:right w:w="0" w:type="dxa"/>
        </w:tblCellMar>
      </w:tblPr>
      <w:tr>
        <w:trPr>
          <w:trHeight w:val="190"/>
        </w:trPr>
        <w:tc>
          <w:tcPr>
            <w:tcW w:w="3960" w:type="dxa"/>
            <w:vAlign w:val="bottom"/>
          </w:tcPr>
          <w:p>
            <w:pPr>
              <w:ind w:left="20"/>
              <w:spacing w:after="0"/>
              <w:rPr>
                <w:sz w:val="20"/>
                <w:szCs w:val="20"/>
                <w:color w:val="auto"/>
              </w:rPr>
            </w:pPr>
            <w:r>
              <w:rPr>
                <w:rFonts w:ascii="Arial" w:cs="Arial" w:eastAsia="Arial" w:hAnsi="Arial"/>
                <w:sz w:val="14"/>
                <w:szCs w:val="14"/>
                <w:color w:val="auto"/>
              </w:rPr>
              <w:t>Energy and production taxes</w:t>
            </w:r>
          </w:p>
        </w:tc>
        <w:tc>
          <w:tcPr>
            <w:tcW w:w="2420" w:type="dxa"/>
            <w:vAlign w:val="bottom"/>
          </w:tcPr>
          <w:p>
            <w:pPr>
              <w:jc w:val="right"/>
              <w:spacing w:after="0"/>
              <w:rPr>
                <w:sz w:val="20"/>
                <w:szCs w:val="20"/>
                <w:color w:val="auto"/>
              </w:rPr>
            </w:pPr>
            <w:r>
              <w:rPr>
                <w:rFonts w:ascii="Arial" w:cs="Arial" w:eastAsia="Arial" w:hAnsi="Arial"/>
                <w:sz w:val="14"/>
                <w:szCs w:val="14"/>
                <w:color w:val="auto"/>
              </w:rPr>
              <w:t>11.0</w:t>
            </w:r>
          </w:p>
        </w:tc>
        <w:tc>
          <w:tcPr>
            <w:tcW w:w="264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23.8</w:t>
            </w:r>
          </w:p>
        </w:tc>
      </w:tr>
      <w:tr>
        <w:trPr>
          <w:trHeight w:val="35"/>
        </w:trPr>
        <w:tc>
          <w:tcPr>
            <w:tcW w:w="396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264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bl>
    <w:p>
      <w:pPr>
        <w:spacing w:after="0" w:line="85" w:lineRule="exact"/>
        <w:rPr>
          <w:sz w:val="20"/>
          <w:szCs w:val="20"/>
          <w:color w:val="auto"/>
        </w:rPr>
      </w:pPr>
    </w:p>
    <w:tbl>
      <w:tblPr>
        <w:tblLayout w:type="fixed"/>
        <w:tblInd w:w="760" w:type="dxa"/>
        <w:tblCellMar>
          <w:top w:w="0" w:type="dxa"/>
          <w:left w:w="0" w:type="dxa"/>
          <w:bottom w:w="0" w:type="dxa"/>
          <w:right w:w="0" w:type="dxa"/>
        </w:tblCellMar>
      </w:tblPr>
      <w:tr>
        <w:trPr>
          <w:trHeight w:val="184"/>
        </w:trPr>
        <w:tc>
          <w:tcPr>
            <w:tcW w:w="5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8"/>
              </w:rPr>
              <w:t>Activity /</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Structural</w:t>
            </w:r>
          </w:p>
        </w:tc>
        <w:tc>
          <w:tcPr>
            <w:tcW w:w="200" w:type="dxa"/>
            <w:vAlign w:val="bottom"/>
            <w:shd w:val="clear" w:color="auto" w:fill="F2F2F2"/>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Total cash operating expenses (cash opex) excluding energy and production taxes</w:t>
            </w:r>
          </w:p>
        </w:tc>
        <w:tc>
          <w:tcPr>
            <w:tcW w:w="6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rPr>
              <w:t>Market</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8"/>
              </w:rPr>
              <w:t>Other</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Savings</w:t>
            </w:r>
          </w:p>
        </w:tc>
        <w:tc>
          <w:tcPr>
            <w:tcW w:w="200" w:type="dxa"/>
            <w:vAlign w:val="bottom"/>
            <w:shd w:val="clear" w:color="auto" w:fill="F2F2F2"/>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580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shd w:val="clear" w:color="auto" w:fill="F2F2F2"/>
          </w:tcPr>
          <w:p>
            <w:pPr>
              <w:spacing w:after="0"/>
              <w:rPr>
                <w:sz w:val="13"/>
                <w:szCs w:val="13"/>
                <w:color w:val="auto"/>
              </w:rPr>
            </w:pPr>
          </w:p>
        </w:tc>
        <w:tc>
          <w:tcPr>
            <w:tcW w:w="500" w:type="dxa"/>
            <w:vAlign w:val="bottom"/>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5800" w:type="dxa"/>
            <w:vAlign w:val="bottom"/>
          </w:tcPr>
          <w:p>
            <w:pPr>
              <w:ind w:left="20"/>
              <w:spacing w:after="0"/>
              <w:rPr>
                <w:sz w:val="20"/>
                <w:szCs w:val="20"/>
                <w:color w:val="auto"/>
              </w:rPr>
            </w:pPr>
            <w:r>
              <w:rPr>
                <w:rFonts w:ascii="Arial" w:cs="Arial" w:eastAsia="Arial" w:hAnsi="Arial"/>
                <w:sz w:val="14"/>
                <w:szCs w:val="14"/>
                <w:b w:val="1"/>
                <w:bCs w:val="1"/>
                <w:color w:val="auto"/>
              </w:rPr>
              <w:t>(non-GAAP)</w:t>
            </w:r>
          </w:p>
        </w:tc>
        <w:tc>
          <w:tcPr>
            <w:tcW w:w="640" w:type="dxa"/>
            <w:vAlign w:val="bottom"/>
          </w:tcPr>
          <w:p>
            <w:pPr>
              <w:jc w:val="right"/>
              <w:ind w:right="19"/>
              <w:spacing w:after="0"/>
              <w:rPr>
                <w:sz w:val="20"/>
                <w:szCs w:val="20"/>
                <w:color w:val="auto"/>
              </w:rPr>
            </w:pPr>
            <w:r>
              <w:rPr>
                <w:rFonts w:ascii="Arial" w:cs="Arial" w:eastAsia="Arial" w:hAnsi="Arial"/>
                <w:sz w:val="14"/>
                <w:szCs w:val="14"/>
                <w:b w:val="1"/>
                <w:bCs w:val="1"/>
                <w:color w:val="auto"/>
              </w:rPr>
              <w:t>44.0</w:t>
            </w:r>
          </w:p>
        </w:tc>
        <w:tc>
          <w:tcPr>
            <w:tcW w:w="720" w:type="dxa"/>
            <w:vAlign w:val="bottom"/>
          </w:tcPr>
          <w:p>
            <w:pPr>
              <w:jc w:val="right"/>
              <w:ind w:right="204"/>
              <w:spacing w:after="0"/>
              <w:rPr>
                <w:sz w:val="20"/>
                <w:szCs w:val="20"/>
                <w:color w:val="auto"/>
              </w:rPr>
            </w:pPr>
            <w:r>
              <w:rPr>
                <w:rFonts w:ascii="Arial" w:cs="Arial" w:eastAsia="Arial" w:hAnsi="Arial"/>
                <w:sz w:val="14"/>
                <w:szCs w:val="14"/>
                <w:b w:val="1"/>
                <w:bCs w:val="1"/>
                <w:color w:val="auto"/>
              </w:rPr>
              <w:t>+3</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-1</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6"/>
              </w:rPr>
              <w:t>-7</w:t>
            </w:r>
          </w:p>
        </w:tc>
        <w:tc>
          <w:tcPr>
            <w:tcW w:w="200" w:type="dxa"/>
            <w:vAlign w:val="bottom"/>
            <w:tcBorders>
              <w:bottom w:val="single" w:sz="8" w:color="F2F2F2"/>
            </w:tcBorders>
            <w:shd w:val="clear" w:color="auto" w:fill="F2F2F2"/>
          </w:tcPr>
          <w:p>
            <w:pPr>
              <w:spacing w:after="0"/>
              <w:rPr>
                <w:sz w:val="19"/>
                <w:szCs w:val="19"/>
                <w:color w:val="auto"/>
              </w:rPr>
            </w:pPr>
          </w:p>
        </w:tc>
        <w:tc>
          <w:tcPr>
            <w:tcW w:w="500" w:type="dxa"/>
            <w:vAlign w:val="bottom"/>
            <w:tcBorders>
              <w:bottom w:val="single" w:sz="8" w:color="F2F2F2"/>
            </w:tcBorders>
            <w:shd w:val="clear" w:color="auto" w:fill="F2F2F2"/>
          </w:tcPr>
          <w:p>
            <w:pPr>
              <w:ind w:left="120"/>
              <w:spacing w:after="0"/>
              <w:rPr>
                <w:sz w:val="20"/>
                <w:szCs w:val="20"/>
                <w:color w:val="auto"/>
              </w:rPr>
            </w:pPr>
            <w:r>
              <w:rPr>
                <w:rFonts w:ascii="Arial" w:cs="Arial" w:eastAsia="Arial" w:hAnsi="Arial"/>
                <w:sz w:val="14"/>
                <w:szCs w:val="14"/>
                <w:b w:val="1"/>
                <w:bCs w:val="1"/>
                <w:color w:val="auto"/>
              </w:rPr>
              <w:t>39.4</w:t>
            </w:r>
          </w:p>
        </w:tc>
        <w:tc>
          <w:tcPr>
            <w:tcW w:w="0" w:type="dxa"/>
            <w:vAlign w:val="bottom"/>
          </w:tcPr>
          <w:p>
            <w:pPr>
              <w:spacing w:after="0"/>
              <w:rPr>
                <w:sz w:val="1"/>
                <w:szCs w:val="1"/>
                <w:color w:val="auto"/>
              </w:rPr>
            </w:pPr>
          </w:p>
        </w:tc>
      </w:tr>
      <w:tr>
        <w:trPr>
          <w:trHeight w:val="362"/>
        </w:trPr>
        <w:tc>
          <w:tcPr>
            <w:tcW w:w="5800" w:type="dxa"/>
            <w:vAlign w:val="bottom"/>
            <w:tcBorders>
              <w:top w:val="single" w:sz="8" w:color="auto"/>
            </w:tcBorders>
          </w:tcPr>
          <w:p>
            <w:pPr>
              <w:spacing w:after="0"/>
              <w:rPr>
                <w:sz w:val="24"/>
                <w:szCs w:val="24"/>
                <w:color w:val="auto"/>
              </w:rPr>
            </w:pPr>
          </w:p>
        </w:tc>
        <w:tc>
          <w:tcPr>
            <w:tcW w:w="226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9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gridSpan w:val="2"/>
          </w:tcPr>
          <w:p>
            <w:pPr>
              <w:ind w:left="3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-139065</wp:posOffset>
            </wp:positionV>
            <wp:extent cx="737235" cy="14605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480"/>
          </w:cols>
          <w:pgMar w:left="320" w:top="482" w:right="109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Earnings (Loss) excluding Identified Items </w:t>
      </w:r>
      <w:r>
        <w:rPr>
          <w:rFonts w:ascii="Arial" w:cs="Arial" w:eastAsia="Arial" w:hAnsi="Arial"/>
          <w:sz w:val="18"/>
          <w:szCs w:val="18"/>
          <w:color w:val="auto"/>
        </w:rPr>
        <w:t>(Non-GAAP)</w:t>
      </w:r>
    </w:p>
    <w:p>
      <w:pPr>
        <w:spacing w:after="0" w:line="104" w:lineRule="exact"/>
        <w:rPr>
          <w:sz w:val="20"/>
          <w:szCs w:val="20"/>
          <w:color w:val="auto"/>
        </w:rPr>
      </w:pPr>
    </w:p>
    <w:p>
      <w:pPr>
        <w:ind w:left="760"/>
        <w:spacing w:after="0" w:line="239" w:lineRule="auto"/>
        <w:rPr>
          <w:sz w:val="20"/>
          <w:szCs w:val="20"/>
          <w:color w:val="auto"/>
        </w:rPr>
      </w:pPr>
      <w:r>
        <w:rPr>
          <w:rFonts w:ascii="Arial" w:cs="Arial" w:eastAsia="Arial" w:hAnsi="Arial"/>
          <w:sz w:val="18"/>
          <w:szCs w:val="18"/>
          <w:color w:val="auto"/>
        </w:rPr>
        <w:t>Earnings (loss) excluding Identified Items, are earnings (loss) excluding individually significant non-operational events with an absolute corporate total earnings impact of at least $250 million in a given quarter. The earnings (loss) impact of an Identified Item for an individual segment in a given quarter may be less than $250 million when the item impacts several segments or several periods. Management uses these figures to improve comparability of the underlying business across multiple periods by isolating and removing significant non-operational events from business results. The Corporation believes this view provides investors increased transparency into business results and trends, and provides investors with a view of the business as seen through the eyes of management. Earnings (loss) excluding Identified Items is not meant to be viewed in isolation or as a substitute for net income (loss) attributable to ExxonMobil as prepared in accordance with U.S. GAAP.</w:t>
      </w:r>
    </w:p>
    <w:p>
      <w:pPr>
        <w:spacing w:after="0" w:line="229" w:lineRule="exact"/>
        <w:rPr>
          <w:sz w:val="20"/>
          <w:szCs w:val="20"/>
          <w:color w:val="auto"/>
        </w:rPr>
      </w:pPr>
    </w:p>
    <w:tbl>
      <w:tblPr>
        <w:tblLayout w:type="fixed"/>
        <w:tblInd w:w="760" w:type="dxa"/>
        <w:tblCellMar>
          <w:top w:w="0" w:type="dxa"/>
          <w:left w:w="0" w:type="dxa"/>
          <w:bottom w:w="0" w:type="dxa"/>
          <w:right w:w="0" w:type="dxa"/>
        </w:tblCellMar>
      </w:tblPr>
      <w:tr>
        <w:trPr>
          <w:trHeight w:val="189"/>
        </w:trPr>
        <w:tc>
          <w:tcPr>
            <w:tcW w:w="2920" w:type="dxa"/>
            <w:vAlign w:val="bottom"/>
            <w:shd w:val="clear" w:color="auto" w:fill="000000"/>
          </w:tcPr>
          <w:p>
            <w:pPr>
              <w:ind w:left="20"/>
              <w:spacing w:after="0"/>
              <w:rPr>
                <w:sz w:val="20"/>
                <w:szCs w:val="20"/>
                <w:color w:val="auto"/>
              </w:rPr>
            </w:pPr>
            <w:r>
              <w:rPr>
                <w:rFonts w:ascii="Arial" w:cs="Arial" w:eastAsia="Arial" w:hAnsi="Arial"/>
                <w:sz w:val="16"/>
                <w:szCs w:val="16"/>
                <w:b w:val="1"/>
                <w:bCs w:val="1"/>
                <w:color w:val="FFFFFF"/>
              </w:rPr>
              <w:t>Upstream</w:t>
            </w:r>
          </w:p>
        </w:tc>
        <w:tc>
          <w:tcPr>
            <w:tcW w:w="140" w:type="dxa"/>
            <w:vAlign w:val="bottom"/>
            <w:shd w:val="clear" w:color="auto" w:fill="000000"/>
          </w:tcPr>
          <w:p>
            <w:pPr>
              <w:spacing w:after="0"/>
              <w:rPr>
                <w:sz w:val="16"/>
                <w:szCs w:val="16"/>
                <w:color w:val="auto"/>
              </w:rPr>
            </w:pPr>
          </w:p>
        </w:tc>
        <w:tc>
          <w:tcPr>
            <w:tcW w:w="460" w:type="dxa"/>
            <w:vAlign w:val="bottom"/>
            <w:shd w:val="clear" w:color="auto" w:fill="000000"/>
          </w:tcPr>
          <w:p>
            <w:pPr>
              <w:spacing w:after="0"/>
              <w:rPr>
                <w:sz w:val="16"/>
                <w:szCs w:val="16"/>
                <w:color w:val="auto"/>
              </w:rPr>
            </w:pPr>
          </w:p>
        </w:tc>
        <w:tc>
          <w:tcPr>
            <w:tcW w:w="40" w:type="dxa"/>
            <w:vAlign w:val="bottom"/>
            <w:shd w:val="clear" w:color="auto" w:fill="000000"/>
          </w:tcPr>
          <w:p>
            <w:pPr>
              <w:spacing w:after="0"/>
              <w:rPr>
                <w:sz w:val="16"/>
                <w:szCs w:val="16"/>
                <w:color w:val="auto"/>
              </w:rPr>
            </w:pPr>
          </w:p>
        </w:tc>
        <w:tc>
          <w:tcPr>
            <w:tcW w:w="840" w:type="dxa"/>
            <w:vAlign w:val="bottom"/>
            <w:gridSpan w:val="2"/>
            <w:shd w:val="clear" w:color="auto" w:fill="000000"/>
          </w:tcPr>
          <w:p>
            <w:pPr>
              <w:jc w:val="right"/>
              <w:ind w:right="87"/>
              <w:spacing w:after="0"/>
              <w:rPr>
                <w:sz w:val="20"/>
                <w:szCs w:val="20"/>
                <w:color w:val="auto"/>
              </w:rPr>
            </w:pPr>
            <w:r>
              <w:rPr>
                <w:rFonts w:ascii="Arial" w:cs="Arial" w:eastAsia="Arial" w:hAnsi="Arial"/>
                <w:sz w:val="16"/>
                <w:szCs w:val="16"/>
                <w:b w:val="1"/>
                <w:bCs w:val="1"/>
                <w:color w:val="FFFFFF"/>
              </w:rPr>
              <w:t>2022</w:t>
            </w:r>
          </w:p>
        </w:tc>
        <w:tc>
          <w:tcPr>
            <w:tcW w:w="60" w:type="dxa"/>
            <w:vAlign w:val="bottom"/>
            <w:shd w:val="clear" w:color="auto" w:fill="000000"/>
          </w:tcPr>
          <w:p>
            <w:pPr>
              <w:spacing w:after="0"/>
              <w:rPr>
                <w:sz w:val="16"/>
                <w:szCs w:val="16"/>
                <w:color w:val="auto"/>
              </w:rPr>
            </w:pPr>
          </w:p>
        </w:tc>
        <w:tc>
          <w:tcPr>
            <w:tcW w:w="680" w:type="dxa"/>
            <w:vAlign w:val="bottom"/>
            <w:shd w:val="clear" w:color="auto" w:fill="000000"/>
          </w:tcPr>
          <w:p>
            <w:pPr>
              <w:spacing w:after="0"/>
              <w:rPr>
                <w:sz w:val="16"/>
                <w:szCs w:val="16"/>
                <w:color w:val="auto"/>
              </w:rPr>
            </w:pPr>
          </w:p>
        </w:tc>
        <w:tc>
          <w:tcPr>
            <w:tcW w:w="700" w:type="dxa"/>
            <w:vAlign w:val="bottom"/>
            <w:shd w:val="clear" w:color="auto" w:fill="000000"/>
          </w:tcPr>
          <w:p>
            <w:pPr>
              <w:spacing w:after="0"/>
              <w:rPr>
                <w:sz w:val="16"/>
                <w:szCs w:val="16"/>
                <w:color w:val="auto"/>
              </w:rPr>
            </w:pPr>
          </w:p>
        </w:tc>
        <w:tc>
          <w:tcPr>
            <w:tcW w:w="880" w:type="dxa"/>
            <w:vAlign w:val="bottom"/>
            <w:shd w:val="clear" w:color="auto" w:fill="000000"/>
          </w:tcPr>
          <w:p>
            <w:pPr>
              <w:jc w:val="right"/>
              <w:ind w:right="186"/>
              <w:spacing w:after="0"/>
              <w:rPr>
                <w:sz w:val="20"/>
                <w:szCs w:val="20"/>
                <w:color w:val="auto"/>
              </w:rPr>
            </w:pPr>
            <w:r>
              <w:rPr>
                <w:rFonts w:ascii="Arial" w:cs="Arial" w:eastAsia="Arial" w:hAnsi="Arial"/>
                <w:sz w:val="16"/>
                <w:szCs w:val="16"/>
                <w:b w:val="1"/>
                <w:bCs w:val="1"/>
                <w:color w:val="FFFFFF"/>
              </w:rPr>
              <w:t>2021</w:t>
            </w:r>
          </w:p>
        </w:tc>
        <w:tc>
          <w:tcPr>
            <w:tcW w:w="660" w:type="dxa"/>
            <w:vAlign w:val="bottom"/>
            <w:shd w:val="clear" w:color="auto" w:fill="000000"/>
          </w:tcPr>
          <w:p>
            <w:pPr>
              <w:spacing w:after="0"/>
              <w:rPr>
                <w:sz w:val="16"/>
                <w:szCs w:val="16"/>
                <w:color w:val="auto"/>
              </w:rPr>
            </w:pPr>
          </w:p>
        </w:tc>
        <w:tc>
          <w:tcPr>
            <w:tcW w:w="740" w:type="dxa"/>
            <w:vAlign w:val="bottom"/>
            <w:shd w:val="clear" w:color="auto" w:fill="000000"/>
          </w:tcPr>
          <w:p>
            <w:pPr>
              <w:spacing w:after="0"/>
              <w:rPr>
                <w:sz w:val="16"/>
                <w:szCs w:val="16"/>
                <w:color w:val="auto"/>
              </w:rPr>
            </w:pPr>
          </w:p>
        </w:tc>
        <w:tc>
          <w:tcPr>
            <w:tcW w:w="880" w:type="dxa"/>
            <w:vAlign w:val="bottom"/>
            <w:shd w:val="clear" w:color="auto" w:fill="000000"/>
          </w:tcPr>
          <w:p>
            <w:pPr>
              <w:jc w:val="right"/>
              <w:ind w:right="186"/>
              <w:spacing w:after="0"/>
              <w:rPr>
                <w:sz w:val="20"/>
                <w:szCs w:val="20"/>
                <w:color w:val="auto"/>
              </w:rPr>
            </w:pPr>
            <w:r>
              <w:rPr>
                <w:rFonts w:ascii="Arial" w:cs="Arial" w:eastAsia="Arial" w:hAnsi="Arial"/>
                <w:sz w:val="16"/>
                <w:szCs w:val="16"/>
                <w:b w:val="1"/>
                <w:bCs w:val="1"/>
                <w:color w:val="FFFFFF"/>
              </w:rPr>
              <w:t>2020</w:t>
            </w:r>
          </w:p>
        </w:tc>
        <w:tc>
          <w:tcPr>
            <w:tcW w:w="7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shd w:val="clear" w:color="auto" w:fill="000000"/>
          </w:tcPr>
          <w:p>
            <w:pPr>
              <w:ind w:left="20"/>
              <w:spacing w:after="0"/>
              <w:rPr>
                <w:sz w:val="20"/>
                <w:szCs w:val="20"/>
                <w:color w:val="auto"/>
              </w:rPr>
            </w:pPr>
            <w:r>
              <w:rPr>
                <w:rFonts w:ascii="Arial" w:cs="Arial" w:eastAsia="Arial" w:hAnsi="Arial"/>
                <w:sz w:val="14"/>
                <w:szCs w:val="14"/>
                <w:i w:val="1"/>
                <w:iCs w:val="1"/>
                <w:color w:val="FFFFFF"/>
              </w:rPr>
              <w:t>(millions of dollars)</w:t>
            </w:r>
          </w:p>
        </w:tc>
        <w:tc>
          <w:tcPr>
            <w:tcW w:w="140" w:type="dxa"/>
            <w:vAlign w:val="bottom"/>
            <w:tcBorders>
              <w:bottom w:val="single" w:sz="8" w:color="auto"/>
            </w:tcBorders>
            <w:shd w:val="clear" w:color="auto" w:fill="000000"/>
          </w:tcPr>
          <w:p>
            <w:pPr>
              <w:spacing w:after="0"/>
              <w:rPr>
                <w:sz w:val="19"/>
                <w:szCs w:val="19"/>
                <w:color w:val="auto"/>
              </w:rPr>
            </w:pPr>
          </w:p>
        </w:tc>
        <w:tc>
          <w:tcPr>
            <w:tcW w:w="500" w:type="dxa"/>
            <w:vAlign w:val="bottom"/>
            <w:tcBorders>
              <w:bottom w:val="single" w:sz="8" w:color="auto"/>
            </w:tcBorders>
            <w:gridSpan w:val="2"/>
            <w:shd w:val="clear" w:color="auto" w:fill="000000"/>
          </w:tcPr>
          <w:p>
            <w:pPr>
              <w:ind w:left="80"/>
              <w:spacing w:after="0"/>
              <w:rPr>
                <w:sz w:val="20"/>
                <w:szCs w:val="20"/>
                <w:color w:val="auto"/>
              </w:rPr>
            </w:pPr>
            <w:r>
              <w:rPr>
                <w:rFonts w:ascii="Arial" w:cs="Arial" w:eastAsia="Arial" w:hAnsi="Arial"/>
                <w:sz w:val="16"/>
                <w:szCs w:val="16"/>
                <w:b w:val="1"/>
                <w:bCs w:val="1"/>
                <w:color w:val="FFFFFF"/>
              </w:rPr>
              <w:t>U.S.</w:t>
            </w:r>
          </w:p>
        </w:tc>
        <w:tc>
          <w:tcPr>
            <w:tcW w:w="160" w:type="dxa"/>
            <w:vAlign w:val="bottom"/>
            <w:tcBorders>
              <w:bottom w:val="single" w:sz="8" w:color="auto"/>
            </w:tcBorders>
            <w:shd w:val="clear" w:color="auto" w:fill="000000"/>
          </w:tcPr>
          <w:p>
            <w:pPr>
              <w:spacing w:after="0"/>
              <w:rPr>
                <w:sz w:val="19"/>
                <w:szCs w:val="19"/>
                <w:color w:val="auto"/>
              </w:rPr>
            </w:pPr>
          </w:p>
        </w:tc>
        <w:tc>
          <w:tcPr>
            <w:tcW w:w="740" w:type="dxa"/>
            <w:vAlign w:val="bottom"/>
            <w:tcBorders>
              <w:bottom w:val="single" w:sz="8" w:color="auto"/>
            </w:tcBorders>
            <w:gridSpan w:val="2"/>
            <w:shd w:val="clear" w:color="auto" w:fill="000000"/>
          </w:tcPr>
          <w:p>
            <w:pPr>
              <w:jc w:val="right"/>
              <w:ind w:right="60"/>
              <w:spacing w:after="0"/>
              <w:rPr>
                <w:sz w:val="20"/>
                <w:szCs w:val="20"/>
                <w:color w:val="auto"/>
              </w:rPr>
            </w:pPr>
            <w:r>
              <w:rPr>
                <w:rFonts w:ascii="Arial" w:cs="Arial" w:eastAsia="Arial" w:hAnsi="Arial"/>
                <w:sz w:val="16"/>
                <w:szCs w:val="16"/>
                <w:b w:val="1"/>
                <w:bCs w:val="1"/>
                <w:color w:val="FFFFFF"/>
                <w:w w:val="97"/>
              </w:rPr>
              <w:t>Non-U.S.</w:t>
            </w:r>
          </w:p>
        </w:tc>
        <w:tc>
          <w:tcPr>
            <w:tcW w:w="680" w:type="dxa"/>
            <w:vAlign w:val="bottom"/>
            <w:tcBorders>
              <w:bottom w:val="single" w:sz="8" w:color="auto"/>
            </w:tcBorders>
            <w:shd w:val="clear" w:color="auto" w:fill="000000"/>
          </w:tcPr>
          <w:p>
            <w:pPr>
              <w:jc w:val="right"/>
              <w:ind w:right="47"/>
              <w:spacing w:after="0"/>
              <w:rPr>
                <w:sz w:val="20"/>
                <w:szCs w:val="20"/>
                <w:color w:val="auto"/>
              </w:rPr>
            </w:pPr>
            <w:r>
              <w:rPr>
                <w:rFonts w:ascii="Arial" w:cs="Arial" w:eastAsia="Arial" w:hAnsi="Arial"/>
                <w:sz w:val="16"/>
                <w:szCs w:val="16"/>
                <w:b w:val="1"/>
                <w:bCs w:val="1"/>
                <w:color w:val="FFFFFF"/>
              </w:rPr>
              <w:t>Total</w:t>
            </w:r>
          </w:p>
        </w:tc>
        <w:tc>
          <w:tcPr>
            <w:tcW w:w="700" w:type="dxa"/>
            <w:vAlign w:val="bottom"/>
            <w:tcBorders>
              <w:bottom w:val="single" w:sz="8" w:color="auto"/>
            </w:tcBorders>
            <w:shd w:val="clear" w:color="auto" w:fill="000000"/>
          </w:tcPr>
          <w:p>
            <w:pPr>
              <w:jc w:val="right"/>
              <w:ind w:right="67"/>
              <w:spacing w:after="0"/>
              <w:rPr>
                <w:sz w:val="20"/>
                <w:szCs w:val="20"/>
                <w:color w:val="auto"/>
              </w:rPr>
            </w:pPr>
            <w:r>
              <w:rPr>
                <w:rFonts w:ascii="Arial" w:cs="Arial" w:eastAsia="Arial" w:hAnsi="Arial"/>
                <w:sz w:val="16"/>
                <w:szCs w:val="16"/>
                <w:b w:val="1"/>
                <w:bCs w:val="1"/>
                <w:color w:val="FFFFFF"/>
              </w:rPr>
              <w:t>U.S.</w:t>
            </w:r>
          </w:p>
        </w:tc>
        <w:tc>
          <w:tcPr>
            <w:tcW w:w="880" w:type="dxa"/>
            <w:vAlign w:val="bottom"/>
            <w:tcBorders>
              <w:bottom w:val="single" w:sz="8" w:color="auto"/>
            </w:tcBorders>
            <w:shd w:val="clear" w:color="auto" w:fill="000000"/>
          </w:tcPr>
          <w:p>
            <w:pPr>
              <w:jc w:val="right"/>
              <w:ind w:right="26"/>
              <w:spacing w:after="0"/>
              <w:rPr>
                <w:sz w:val="20"/>
                <w:szCs w:val="20"/>
                <w:color w:val="auto"/>
              </w:rPr>
            </w:pPr>
            <w:r>
              <w:rPr>
                <w:rFonts w:ascii="Arial" w:cs="Arial" w:eastAsia="Arial" w:hAnsi="Arial"/>
                <w:sz w:val="16"/>
                <w:szCs w:val="16"/>
                <w:b w:val="1"/>
                <w:bCs w:val="1"/>
                <w:color w:val="FFFFFF"/>
              </w:rPr>
              <w:t>Non-U.S.</w:t>
            </w:r>
          </w:p>
        </w:tc>
        <w:tc>
          <w:tcPr>
            <w:tcW w:w="660" w:type="dxa"/>
            <w:vAlign w:val="bottom"/>
            <w:tcBorders>
              <w:bottom w:val="single" w:sz="8" w:color="auto"/>
            </w:tcBorders>
            <w:shd w:val="clear" w:color="auto" w:fill="000000"/>
          </w:tcPr>
          <w:p>
            <w:pPr>
              <w:jc w:val="right"/>
              <w:ind w:right="67"/>
              <w:spacing w:after="0"/>
              <w:rPr>
                <w:sz w:val="20"/>
                <w:szCs w:val="20"/>
                <w:color w:val="auto"/>
              </w:rPr>
            </w:pPr>
            <w:r>
              <w:rPr>
                <w:rFonts w:ascii="Arial" w:cs="Arial" w:eastAsia="Arial" w:hAnsi="Arial"/>
                <w:sz w:val="16"/>
                <w:szCs w:val="16"/>
                <w:b w:val="1"/>
                <w:bCs w:val="1"/>
                <w:color w:val="FFFFFF"/>
              </w:rPr>
              <w:t>Total</w:t>
            </w:r>
          </w:p>
        </w:tc>
        <w:tc>
          <w:tcPr>
            <w:tcW w:w="740" w:type="dxa"/>
            <w:vAlign w:val="bottom"/>
            <w:tcBorders>
              <w:bottom w:val="single" w:sz="8" w:color="auto"/>
            </w:tcBorders>
            <w:shd w:val="clear" w:color="auto" w:fill="000000"/>
          </w:tcPr>
          <w:p>
            <w:pPr>
              <w:jc w:val="right"/>
              <w:ind w:right="147"/>
              <w:spacing w:after="0"/>
              <w:rPr>
                <w:sz w:val="20"/>
                <w:szCs w:val="20"/>
                <w:color w:val="auto"/>
              </w:rPr>
            </w:pPr>
            <w:r>
              <w:rPr>
                <w:rFonts w:ascii="Arial" w:cs="Arial" w:eastAsia="Arial" w:hAnsi="Arial"/>
                <w:sz w:val="16"/>
                <w:szCs w:val="16"/>
                <w:b w:val="1"/>
                <w:bCs w:val="1"/>
                <w:color w:val="FFFFFF"/>
              </w:rPr>
              <w:t>U.S.</w:t>
            </w:r>
          </w:p>
        </w:tc>
        <w:tc>
          <w:tcPr>
            <w:tcW w:w="880" w:type="dxa"/>
            <w:vAlign w:val="bottom"/>
            <w:tcBorders>
              <w:bottom w:val="single" w:sz="8" w:color="auto"/>
            </w:tcBorders>
            <w:shd w:val="clear" w:color="auto" w:fill="000000"/>
          </w:tcPr>
          <w:p>
            <w:pPr>
              <w:jc w:val="right"/>
              <w:ind w:right="26"/>
              <w:spacing w:after="0"/>
              <w:rPr>
                <w:sz w:val="20"/>
                <w:szCs w:val="20"/>
                <w:color w:val="auto"/>
              </w:rPr>
            </w:pPr>
            <w:r>
              <w:rPr>
                <w:rFonts w:ascii="Arial" w:cs="Arial" w:eastAsia="Arial" w:hAnsi="Arial"/>
                <w:sz w:val="16"/>
                <w:szCs w:val="16"/>
                <w:b w:val="1"/>
                <w:bCs w:val="1"/>
                <w:color w:val="FFFFFF"/>
              </w:rPr>
              <w:t>Non-U.S.</w:t>
            </w:r>
          </w:p>
        </w:tc>
        <w:tc>
          <w:tcPr>
            <w:tcW w:w="720" w:type="dxa"/>
            <w:vAlign w:val="bottom"/>
            <w:tcBorders>
              <w:bottom w:val="single" w:sz="8" w:color="auto"/>
            </w:tcBorders>
            <w:shd w:val="clear" w:color="auto" w:fill="000000"/>
          </w:tcPr>
          <w:p>
            <w:pPr>
              <w:jc w:val="right"/>
              <w:ind w:right="87"/>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162"/>
        </w:trPr>
        <w:tc>
          <w:tcPr>
            <w:tcW w:w="2920" w:type="dxa"/>
            <w:vAlign w:val="bottom"/>
          </w:tcPr>
          <w:p>
            <w:pPr>
              <w:ind w:left="20"/>
              <w:spacing w:after="0"/>
              <w:rPr>
                <w:sz w:val="20"/>
                <w:szCs w:val="20"/>
                <w:color w:val="auto"/>
              </w:rPr>
            </w:pPr>
            <w:r>
              <w:rPr>
                <w:rFonts w:ascii="Arial" w:cs="Arial" w:eastAsia="Arial" w:hAnsi="Arial"/>
                <w:sz w:val="14"/>
                <w:szCs w:val="14"/>
                <w:color w:val="auto"/>
              </w:rPr>
              <w:t>Earnings (loss) (U.S. GAAP)</w:t>
            </w:r>
          </w:p>
        </w:tc>
        <w:tc>
          <w:tcPr>
            <w:tcW w:w="640" w:type="dxa"/>
            <w:vAlign w:val="bottom"/>
            <w:gridSpan w:val="3"/>
            <w:shd w:val="clear" w:color="auto" w:fill="F2F2F2"/>
          </w:tcPr>
          <w:p>
            <w:pPr>
              <w:jc w:val="right"/>
              <w:ind w:right="40"/>
              <w:spacing w:after="0"/>
              <w:rPr>
                <w:sz w:val="20"/>
                <w:szCs w:val="20"/>
                <w:color w:val="auto"/>
              </w:rPr>
            </w:pPr>
            <w:r>
              <w:rPr>
                <w:rFonts w:ascii="Arial" w:cs="Arial" w:eastAsia="Arial" w:hAnsi="Arial"/>
                <w:sz w:val="14"/>
                <w:szCs w:val="14"/>
                <w:color w:val="auto"/>
              </w:rPr>
              <w:t>11,728</w:t>
            </w:r>
          </w:p>
        </w:tc>
        <w:tc>
          <w:tcPr>
            <w:tcW w:w="900" w:type="dxa"/>
            <w:vAlign w:val="bottom"/>
            <w:gridSpan w:val="3"/>
            <w:shd w:val="clear" w:color="auto" w:fill="F2F2F2"/>
          </w:tcPr>
          <w:p>
            <w:pPr>
              <w:jc w:val="right"/>
              <w:ind w:right="60"/>
              <w:spacing w:after="0"/>
              <w:rPr>
                <w:sz w:val="20"/>
                <w:szCs w:val="20"/>
                <w:color w:val="auto"/>
              </w:rPr>
            </w:pPr>
            <w:r>
              <w:rPr>
                <w:rFonts w:ascii="Arial" w:cs="Arial" w:eastAsia="Arial" w:hAnsi="Arial"/>
                <w:sz w:val="14"/>
                <w:szCs w:val="14"/>
                <w:color w:val="auto"/>
              </w:rPr>
              <w:t>24,751</w:t>
            </w:r>
          </w:p>
        </w:tc>
        <w:tc>
          <w:tcPr>
            <w:tcW w:w="680" w:type="dxa"/>
            <w:vAlign w:val="bottom"/>
            <w:shd w:val="clear" w:color="auto" w:fill="F2F2F2"/>
          </w:tcPr>
          <w:p>
            <w:pPr>
              <w:jc w:val="right"/>
              <w:ind w:right="7"/>
              <w:spacing w:after="0"/>
              <w:rPr>
                <w:sz w:val="20"/>
                <w:szCs w:val="20"/>
                <w:color w:val="auto"/>
              </w:rPr>
            </w:pPr>
            <w:r>
              <w:rPr>
                <w:rFonts w:ascii="Arial" w:cs="Arial" w:eastAsia="Arial" w:hAnsi="Arial"/>
                <w:sz w:val="14"/>
                <w:szCs w:val="14"/>
                <w:color w:val="auto"/>
              </w:rPr>
              <w:t>36,479</w:t>
            </w: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3,663</w:t>
            </w:r>
          </w:p>
        </w:tc>
        <w:tc>
          <w:tcPr>
            <w:tcW w:w="880" w:type="dxa"/>
            <w:vAlign w:val="bottom"/>
          </w:tcPr>
          <w:p>
            <w:pPr>
              <w:jc w:val="right"/>
              <w:ind w:right="26"/>
              <w:spacing w:after="0"/>
              <w:rPr>
                <w:sz w:val="20"/>
                <w:szCs w:val="20"/>
                <w:color w:val="auto"/>
              </w:rPr>
            </w:pPr>
            <w:r>
              <w:rPr>
                <w:rFonts w:ascii="Arial" w:cs="Arial" w:eastAsia="Arial" w:hAnsi="Arial"/>
                <w:sz w:val="14"/>
                <w:szCs w:val="14"/>
                <w:color w:val="auto"/>
              </w:rPr>
              <w:t>12,112</w:t>
            </w:r>
          </w:p>
        </w:tc>
        <w:tc>
          <w:tcPr>
            <w:tcW w:w="660" w:type="dxa"/>
            <w:vAlign w:val="bottom"/>
          </w:tcPr>
          <w:p>
            <w:pPr>
              <w:jc w:val="right"/>
              <w:ind w:right="47"/>
              <w:spacing w:after="0"/>
              <w:rPr>
                <w:sz w:val="20"/>
                <w:szCs w:val="20"/>
                <w:color w:val="auto"/>
              </w:rPr>
            </w:pPr>
            <w:r>
              <w:rPr>
                <w:rFonts w:ascii="Arial" w:cs="Arial" w:eastAsia="Arial" w:hAnsi="Arial"/>
                <w:sz w:val="14"/>
                <w:szCs w:val="14"/>
                <w:color w:val="auto"/>
              </w:rPr>
              <w:t>15,775</w:t>
            </w:r>
          </w:p>
        </w:tc>
        <w:tc>
          <w:tcPr>
            <w:tcW w:w="740" w:type="dxa"/>
            <w:vAlign w:val="bottom"/>
          </w:tcPr>
          <w:p>
            <w:pPr>
              <w:jc w:val="right"/>
              <w:ind w:right="47"/>
              <w:spacing w:after="0"/>
              <w:rPr>
                <w:sz w:val="20"/>
                <w:szCs w:val="20"/>
                <w:color w:val="auto"/>
              </w:rPr>
            </w:pPr>
            <w:r>
              <w:rPr>
                <w:rFonts w:ascii="Arial" w:cs="Arial" w:eastAsia="Arial" w:hAnsi="Arial"/>
                <w:sz w:val="14"/>
                <w:szCs w:val="14"/>
                <w:color w:val="auto"/>
              </w:rPr>
              <w:t>(19,385)</w:t>
            </w:r>
          </w:p>
        </w:tc>
        <w:tc>
          <w:tcPr>
            <w:tcW w:w="880" w:type="dxa"/>
            <w:vAlign w:val="bottom"/>
          </w:tcPr>
          <w:p>
            <w:pPr>
              <w:jc w:val="right"/>
              <w:ind w:right="26"/>
              <w:spacing w:after="0"/>
              <w:rPr>
                <w:sz w:val="20"/>
                <w:szCs w:val="20"/>
                <w:color w:val="auto"/>
              </w:rPr>
            </w:pPr>
            <w:r>
              <w:rPr>
                <w:rFonts w:ascii="Arial" w:cs="Arial" w:eastAsia="Arial" w:hAnsi="Arial"/>
                <w:sz w:val="14"/>
                <w:szCs w:val="14"/>
                <w:color w:val="auto"/>
              </w:rPr>
              <w:t>(645)</w:t>
            </w:r>
          </w:p>
        </w:tc>
        <w:tc>
          <w:tcPr>
            <w:tcW w:w="720" w:type="dxa"/>
            <w:vAlign w:val="bottom"/>
          </w:tcPr>
          <w:p>
            <w:pPr>
              <w:jc w:val="right"/>
              <w:ind w:right="7"/>
              <w:spacing w:after="0"/>
              <w:rPr>
                <w:sz w:val="20"/>
                <w:szCs w:val="20"/>
                <w:color w:val="auto"/>
              </w:rPr>
            </w:pPr>
            <w:r>
              <w:rPr>
                <w:rFonts w:ascii="Arial" w:cs="Arial" w:eastAsia="Arial" w:hAnsi="Arial"/>
                <w:sz w:val="14"/>
                <w:szCs w:val="14"/>
                <w:color w:val="auto"/>
              </w:rPr>
              <w:t>(20,030)</w:t>
            </w:r>
          </w:p>
        </w:tc>
        <w:tc>
          <w:tcPr>
            <w:tcW w:w="0" w:type="dxa"/>
            <w:vAlign w:val="bottom"/>
          </w:tcPr>
          <w:p>
            <w:pPr>
              <w:spacing w:after="0"/>
              <w:rPr>
                <w:sz w:val="1"/>
                <w:szCs w:val="1"/>
                <w:color w:val="auto"/>
              </w:rPr>
            </w:pPr>
          </w:p>
        </w:tc>
      </w:tr>
      <w:tr>
        <w:trPr>
          <w:trHeight w:val="162"/>
        </w:trPr>
        <w:tc>
          <w:tcPr>
            <w:tcW w:w="2920" w:type="dxa"/>
            <w:vAlign w:val="bottom"/>
          </w:tcPr>
          <w:p>
            <w:pPr>
              <w:ind w:left="140"/>
              <w:spacing w:after="0"/>
              <w:rPr>
                <w:sz w:val="20"/>
                <w:szCs w:val="20"/>
                <w:color w:val="auto"/>
              </w:rPr>
            </w:pPr>
            <w:r>
              <w:rPr>
                <w:rFonts w:ascii="Arial" w:cs="Arial" w:eastAsia="Arial" w:hAnsi="Arial"/>
                <w:sz w:val="14"/>
                <w:szCs w:val="14"/>
                <w:color w:val="auto"/>
              </w:rPr>
              <w:t>Impairments</w:t>
            </w:r>
          </w:p>
        </w:tc>
        <w:tc>
          <w:tcPr>
            <w:tcW w:w="140" w:type="dxa"/>
            <w:vAlign w:val="bottom"/>
            <w:shd w:val="clear" w:color="auto" w:fill="F2F2F2"/>
          </w:tcPr>
          <w:p>
            <w:pPr>
              <w:spacing w:after="0"/>
              <w:rPr>
                <w:sz w:val="14"/>
                <w:szCs w:val="14"/>
                <w:color w:val="auto"/>
              </w:rPr>
            </w:pPr>
          </w:p>
        </w:tc>
        <w:tc>
          <w:tcPr>
            <w:tcW w:w="500" w:type="dxa"/>
            <w:vAlign w:val="bottom"/>
            <w:gridSpan w:val="2"/>
            <w:shd w:val="clear" w:color="auto" w:fill="F2F2F2"/>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F2F2F2"/>
          </w:tcPr>
          <w:p>
            <w:pPr>
              <w:jc w:val="right"/>
              <w:ind w:right="60"/>
              <w:spacing w:after="0"/>
              <w:rPr>
                <w:sz w:val="20"/>
                <w:szCs w:val="20"/>
                <w:color w:val="auto"/>
              </w:rPr>
            </w:pPr>
            <w:r>
              <w:rPr>
                <w:rFonts w:ascii="Arial" w:cs="Arial" w:eastAsia="Arial" w:hAnsi="Arial"/>
                <w:sz w:val="14"/>
                <w:szCs w:val="14"/>
                <w:color w:val="auto"/>
              </w:rPr>
              <w:t>(3,790)</w:t>
            </w:r>
          </w:p>
        </w:tc>
        <w:tc>
          <w:tcPr>
            <w:tcW w:w="680" w:type="dxa"/>
            <w:vAlign w:val="bottom"/>
            <w:shd w:val="clear" w:color="auto" w:fill="F2F2F2"/>
          </w:tcPr>
          <w:p>
            <w:pPr>
              <w:jc w:val="right"/>
              <w:ind w:right="7"/>
              <w:spacing w:after="0"/>
              <w:rPr>
                <w:sz w:val="20"/>
                <w:szCs w:val="20"/>
                <w:color w:val="auto"/>
              </w:rPr>
            </w:pPr>
            <w:r>
              <w:rPr>
                <w:rFonts w:ascii="Arial" w:cs="Arial" w:eastAsia="Arial" w:hAnsi="Arial"/>
                <w:sz w:val="14"/>
                <w:szCs w:val="14"/>
                <w:color w:val="auto"/>
              </w:rPr>
              <w:t>(3,790)</w:t>
            </w: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(263)</w:t>
            </w:r>
          </w:p>
        </w:tc>
        <w:tc>
          <w:tcPr>
            <w:tcW w:w="880" w:type="dxa"/>
            <w:vAlign w:val="bottom"/>
          </w:tcPr>
          <w:p>
            <w:pPr>
              <w:jc w:val="right"/>
              <w:ind w:right="26"/>
              <w:spacing w:after="0"/>
              <w:rPr>
                <w:sz w:val="20"/>
                <w:szCs w:val="20"/>
                <w:color w:val="auto"/>
              </w:rPr>
            </w:pPr>
            <w:r>
              <w:rPr>
                <w:rFonts w:ascii="Arial" w:cs="Arial" w:eastAsia="Arial" w:hAnsi="Arial"/>
                <w:sz w:val="14"/>
                <w:szCs w:val="14"/>
                <w:color w:val="auto"/>
              </w:rPr>
              <w:t>(489)</w:t>
            </w:r>
          </w:p>
        </w:tc>
        <w:tc>
          <w:tcPr>
            <w:tcW w:w="660" w:type="dxa"/>
            <w:vAlign w:val="bottom"/>
          </w:tcPr>
          <w:p>
            <w:pPr>
              <w:jc w:val="right"/>
              <w:ind w:right="47"/>
              <w:spacing w:after="0"/>
              <w:rPr>
                <w:sz w:val="20"/>
                <w:szCs w:val="20"/>
                <w:color w:val="auto"/>
              </w:rPr>
            </w:pPr>
            <w:r>
              <w:rPr>
                <w:rFonts w:ascii="Arial" w:cs="Arial" w:eastAsia="Arial" w:hAnsi="Arial"/>
                <w:sz w:val="14"/>
                <w:szCs w:val="14"/>
                <w:color w:val="auto"/>
              </w:rPr>
              <w:t>(752)</w:t>
            </w:r>
          </w:p>
        </w:tc>
        <w:tc>
          <w:tcPr>
            <w:tcW w:w="740" w:type="dxa"/>
            <w:vAlign w:val="bottom"/>
          </w:tcPr>
          <w:p>
            <w:pPr>
              <w:jc w:val="right"/>
              <w:ind w:right="47"/>
              <w:spacing w:after="0"/>
              <w:rPr>
                <w:sz w:val="20"/>
                <w:szCs w:val="20"/>
                <w:color w:val="auto"/>
              </w:rPr>
            </w:pPr>
            <w:r>
              <w:rPr>
                <w:rFonts w:ascii="Arial" w:cs="Arial" w:eastAsia="Arial" w:hAnsi="Arial"/>
                <w:sz w:val="14"/>
                <w:szCs w:val="14"/>
                <w:color w:val="auto"/>
              </w:rPr>
              <w:t>(17,092)</w:t>
            </w:r>
          </w:p>
        </w:tc>
        <w:tc>
          <w:tcPr>
            <w:tcW w:w="880" w:type="dxa"/>
            <w:vAlign w:val="bottom"/>
          </w:tcPr>
          <w:p>
            <w:pPr>
              <w:jc w:val="right"/>
              <w:ind w:right="26"/>
              <w:spacing w:after="0"/>
              <w:rPr>
                <w:sz w:val="20"/>
                <w:szCs w:val="20"/>
                <w:color w:val="auto"/>
              </w:rPr>
            </w:pPr>
            <w:r>
              <w:rPr>
                <w:rFonts w:ascii="Arial" w:cs="Arial" w:eastAsia="Arial" w:hAnsi="Arial"/>
                <w:sz w:val="14"/>
                <w:szCs w:val="14"/>
                <w:color w:val="auto"/>
              </w:rPr>
              <w:t>(2,244)</w:t>
            </w:r>
          </w:p>
        </w:tc>
        <w:tc>
          <w:tcPr>
            <w:tcW w:w="720" w:type="dxa"/>
            <w:vAlign w:val="bottom"/>
          </w:tcPr>
          <w:p>
            <w:pPr>
              <w:jc w:val="right"/>
              <w:ind w:right="7"/>
              <w:spacing w:after="0"/>
              <w:rPr>
                <w:sz w:val="20"/>
                <w:szCs w:val="20"/>
                <w:color w:val="auto"/>
              </w:rPr>
            </w:pPr>
            <w:r>
              <w:rPr>
                <w:rFonts w:ascii="Arial" w:cs="Arial" w:eastAsia="Arial" w:hAnsi="Arial"/>
                <w:sz w:val="14"/>
                <w:szCs w:val="14"/>
                <w:color w:val="auto"/>
              </w:rPr>
              <w:t>(19,336)</w:t>
            </w:r>
          </w:p>
        </w:tc>
        <w:tc>
          <w:tcPr>
            <w:tcW w:w="0" w:type="dxa"/>
            <w:vAlign w:val="bottom"/>
          </w:tcPr>
          <w:p>
            <w:pPr>
              <w:spacing w:after="0"/>
              <w:rPr>
                <w:sz w:val="1"/>
                <w:szCs w:val="1"/>
                <w:color w:val="auto"/>
              </w:rPr>
            </w:pPr>
          </w:p>
        </w:tc>
      </w:tr>
      <w:tr>
        <w:trPr>
          <w:trHeight w:val="162"/>
        </w:trPr>
        <w:tc>
          <w:tcPr>
            <w:tcW w:w="2920" w:type="dxa"/>
            <w:vAlign w:val="bottom"/>
          </w:tcPr>
          <w:p>
            <w:pPr>
              <w:ind w:left="140"/>
              <w:spacing w:after="0"/>
              <w:rPr>
                <w:sz w:val="20"/>
                <w:szCs w:val="20"/>
                <w:color w:val="auto"/>
              </w:rPr>
            </w:pPr>
            <w:r>
              <w:rPr>
                <w:rFonts w:ascii="Arial" w:cs="Arial" w:eastAsia="Arial" w:hAnsi="Arial"/>
                <w:sz w:val="14"/>
                <w:szCs w:val="14"/>
                <w:color w:val="auto"/>
              </w:rPr>
              <w:t>Gain/(loss) on sale of assets</w:t>
            </w:r>
          </w:p>
        </w:tc>
        <w:tc>
          <w:tcPr>
            <w:tcW w:w="140" w:type="dxa"/>
            <w:vAlign w:val="bottom"/>
            <w:shd w:val="clear" w:color="auto" w:fill="F2F2F2"/>
          </w:tcPr>
          <w:p>
            <w:pPr>
              <w:spacing w:after="0"/>
              <w:rPr>
                <w:sz w:val="14"/>
                <w:szCs w:val="14"/>
                <w:color w:val="auto"/>
              </w:rPr>
            </w:pPr>
          </w:p>
        </w:tc>
        <w:tc>
          <w:tcPr>
            <w:tcW w:w="4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299</w:t>
            </w:r>
          </w:p>
        </w:tc>
        <w:tc>
          <w:tcPr>
            <w:tcW w:w="40" w:type="dxa"/>
            <w:vAlign w:val="bottom"/>
            <w:shd w:val="clear" w:color="auto" w:fill="F2F2F2"/>
          </w:tcPr>
          <w:p>
            <w:pPr>
              <w:spacing w:after="0"/>
              <w:rPr>
                <w:sz w:val="14"/>
                <w:szCs w:val="14"/>
                <w:color w:val="auto"/>
              </w:rPr>
            </w:pPr>
          </w:p>
        </w:tc>
        <w:tc>
          <w:tcPr>
            <w:tcW w:w="900" w:type="dxa"/>
            <w:vAlign w:val="bottom"/>
            <w:gridSpan w:val="3"/>
            <w:shd w:val="clear" w:color="auto" w:fill="F2F2F2"/>
          </w:tcPr>
          <w:p>
            <w:pPr>
              <w:jc w:val="right"/>
              <w:ind w:right="60"/>
              <w:spacing w:after="0"/>
              <w:rPr>
                <w:sz w:val="20"/>
                <w:szCs w:val="20"/>
                <w:color w:val="auto"/>
              </w:rPr>
            </w:pPr>
            <w:r>
              <w:rPr>
                <w:rFonts w:ascii="Arial" w:cs="Arial" w:eastAsia="Arial" w:hAnsi="Arial"/>
                <w:sz w:val="14"/>
                <w:szCs w:val="14"/>
                <w:color w:val="auto"/>
              </w:rPr>
              <w:t>587</w:t>
            </w:r>
          </w:p>
        </w:tc>
        <w:tc>
          <w:tcPr>
            <w:tcW w:w="680" w:type="dxa"/>
            <w:vAlign w:val="bottom"/>
            <w:shd w:val="clear" w:color="auto" w:fill="F2F2F2"/>
          </w:tcPr>
          <w:p>
            <w:pPr>
              <w:jc w:val="right"/>
              <w:ind w:right="7"/>
              <w:spacing w:after="0"/>
              <w:rPr>
                <w:sz w:val="20"/>
                <w:szCs w:val="20"/>
                <w:color w:val="auto"/>
              </w:rPr>
            </w:pPr>
            <w:r>
              <w:rPr>
                <w:rFonts w:ascii="Arial" w:cs="Arial" w:eastAsia="Arial" w:hAnsi="Arial"/>
                <w:sz w:val="14"/>
                <w:szCs w:val="14"/>
                <w:color w:val="auto"/>
              </w:rPr>
              <w:t>886</w:t>
            </w: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6"/>
              <w:spacing w:after="0"/>
              <w:rPr>
                <w:sz w:val="20"/>
                <w:szCs w:val="20"/>
                <w:color w:val="auto"/>
              </w:rPr>
            </w:pPr>
            <w:r>
              <w:rPr>
                <w:rFonts w:ascii="Arial" w:cs="Arial" w:eastAsia="Arial" w:hAnsi="Arial"/>
                <w:sz w:val="14"/>
                <w:szCs w:val="14"/>
                <w:color w:val="auto"/>
              </w:rPr>
              <w:t>459</w:t>
            </w:r>
          </w:p>
        </w:tc>
        <w:tc>
          <w:tcPr>
            <w:tcW w:w="660" w:type="dxa"/>
            <w:vAlign w:val="bottom"/>
          </w:tcPr>
          <w:p>
            <w:pPr>
              <w:jc w:val="right"/>
              <w:ind w:right="47"/>
              <w:spacing w:after="0"/>
              <w:rPr>
                <w:sz w:val="20"/>
                <w:szCs w:val="20"/>
                <w:color w:val="auto"/>
              </w:rPr>
            </w:pPr>
            <w:r>
              <w:rPr>
                <w:rFonts w:ascii="Arial" w:cs="Arial" w:eastAsia="Arial" w:hAnsi="Arial"/>
                <w:sz w:val="14"/>
                <w:szCs w:val="14"/>
                <w:color w:val="auto"/>
              </w:rPr>
              <w:t>459</w:t>
            </w:r>
          </w:p>
        </w:tc>
        <w:tc>
          <w:tcPr>
            <w:tcW w:w="74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6"/>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920" w:type="dxa"/>
            <w:vAlign w:val="bottom"/>
          </w:tcPr>
          <w:p>
            <w:pPr>
              <w:ind w:left="140"/>
              <w:spacing w:after="0" w:line="153" w:lineRule="exact"/>
              <w:rPr>
                <w:sz w:val="20"/>
                <w:szCs w:val="20"/>
                <w:color w:val="auto"/>
              </w:rPr>
            </w:pPr>
            <w:r>
              <w:rPr>
                <w:rFonts w:ascii="Arial" w:cs="Arial" w:eastAsia="Arial" w:hAnsi="Arial"/>
                <w:sz w:val="14"/>
                <w:szCs w:val="14"/>
                <w:color w:val="auto"/>
              </w:rPr>
              <w:t>Inventory valuation – lower of cost or</w:t>
            </w:r>
          </w:p>
        </w:tc>
        <w:tc>
          <w:tcPr>
            <w:tcW w:w="140" w:type="dxa"/>
            <w:vAlign w:val="bottom"/>
            <w:shd w:val="clear" w:color="auto" w:fill="F2F2F2"/>
          </w:tcPr>
          <w:p>
            <w:pPr>
              <w:spacing w:after="0"/>
              <w:rPr>
                <w:sz w:val="13"/>
                <w:szCs w:val="13"/>
                <w:color w:val="auto"/>
              </w:rPr>
            </w:pPr>
          </w:p>
        </w:tc>
        <w:tc>
          <w:tcPr>
            <w:tcW w:w="460" w:type="dxa"/>
            <w:vAlign w:val="bottom"/>
            <w:shd w:val="clear" w:color="auto" w:fill="F2F2F2"/>
          </w:tcPr>
          <w:p>
            <w:pPr>
              <w:spacing w:after="0"/>
              <w:rPr>
                <w:sz w:val="13"/>
                <w:szCs w:val="13"/>
                <w:color w:val="auto"/>
              </w:rPr>
            </w:pPr>
          </w:p>
        </w:tc>
        <w:tc>
          <w:tcPr>
            <w:tcW w:w="40" w:type="dxa"/>
            <w:vAlign w:val="bottom"/>
            <w:shd w:val="clear" w:color="auto" w:fill="F2F2F2"/>
          </w:tcPr>
          <w:p>
            <w:pPr>
              <w:spacing w:after="0"/>
              <w:rPr>
                <w:sz w:val="13"/>
                <w:szCs w:val="13"/>
                <w:color w:val="auto"/>
              </w:rPr>
            </w:pPr>
          </w:p>
        </w:tc>
        <w:tc>
          <w:tcPr>
            <w:tcW w:w="160" w:type="dxa"/>
            <w:vAlign w:val="bottom"/>
            <w:shd w:val="clear" w:color="auto" w:fill="F2F2F2"/>
          </w:tcPr>
          <w:p>
            <w:pPr>
              <w:spacing w:after="0"/>
              <w:rPr>
                <w:sz w:val="13"/>
                <w:szCs w:val="13"/>
                <w:color w:val="auto"/>
              </w:rPr>
            </w:pPr>
          </w:p>
        </w:tc>
        <w:tc>
          <w:tcPr>
            <w:tcW w:w="680" w:type="dxa"/>
            <w:vAlign w:val="bottom"/>
            <w:shd w:val="clear" w:color="auto" w:fill="F2F2F2"/>
          </w:tcPr>
          <w:p>
            <w:pPr>
              <w:spacing w:after="0"/>
              <w:rPr>
                <w:sz w:val="13"/>
                <w:szCs w:val="13"/>
                <w:color w:val="auto"/>
              </w:rPr>
            </w:pPr>
          </w:p>
        </w:tc>
        <w:tc>
          <w:tcPr>
            <w:tcW w:w="60" w:type="dxa"/>
            <w:vAlign w:val="bottom"/>
            <w:shd w:val="clear" w:color="auto" w:fill="F2F2F2"/>
          </w:tcPr>
          <w:p>
            <w:pPr>
              <w:spacing w:after="0"/>
              <w:rPr>
                <w:sz w:val="13"/>
                <w:szCs w:val="13"/>
                <w:color w:val="auto"/>
              </w:rPr>
            </w:pPr>
          </w:p>
        </w:tc>
        <w:tc>
          <w:tcPr>
            <w:tcW w:w="680" w:type="dxa"/>
            <w:vAlign w:val="bottom"/>
            <w:shd w:val="clear" w:color="auto" w:fill="F2F2F2"/>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920" w:type="dxa"/>
            <w:vAlign w:val="bottom"/>
          </w:tcPr>
          <w:p>
            <w:pPr>
              <w:ind w:left="140"/>
              <w:spacing w:after="0"/>
              <w:rPr>
                <w:sz w:val="20"/>
                <w:szCs w:val="20"/>
                <w:color w:val="auto"/>
              </w:rPr>
            </w:pPr>
            <w:r>
              <w:rPr>
                <w:rFonts w:ascii="Arial" w:cs="Arial" w:eastAsia="Arial" w:hAnsi="Arial"/>
                <w:sz w:val="14"/>
                <w:szCs w:val="14"/>
                <w:color w:val="auto"/>
              </w:rPr>
              <w:t>market</w:t>
            </w:r>
          </w:p>
        </w:tc>
        <w:tc>
          <w:tcPr>
            <w:tcW w:w="140" w:type="dxa"/>
            <w:vAlign w:val="bottom"/>
            <w:shd w:val="clear" w:color="auto" w:fill="F2F2F2"/>
          </w:tcPr>
          <w:p>
            <w:pPr>
              <w:spacing w:after="0"/>
              <w:rPr>
                <w:sz w:val="14"/>
                <w:szCs w:val="14"/>
                <w:color w:val="auto"/>
              </w:rPr>
            </w:pPr>
          </w:p>
        </w:tc>
        <w:tc>
          <w:tcPr>
            <w:tcW w:w="4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F2F2F2"/>
          </w:tcPr>
          <w:p>
            <w:pPr>
              <w:spacing w:after="0"/>
              <w:rPr>
                <w:sz w:val="14"/>
                <w:szCs w:val="14"/>
                <w:color w:val="auto"/>
              </w:rPr>
            </w:pPr>
          </w:p>
        </w:tc>
        <w:tc>
          <w:tcPr>
            <w:tcW w:w="160" w:type="dxa"/>
            <w:vAlign w:val="bottom"/>
            <w:shd w:val="clear" w:color="auto" w:fill="F2F2F2"/>
          </w:tcPr>
          <w:p>
            <w:pPr>
              <w:spacing w:after="0"/>
              <w:rPr>
                <w:sz w:val="14"/>
                <w:szCs w:val="14"/>
                <w:color w:val="auto"/>
              </w:rPr>
            </w:pPr>
          </w:p>
        </w:tc>
        <w:tc>
          <w:tcPr>
            <w:tcW w:w="740" w:type="dxa"/>
            <w:vAlign w:val="bottom"/>
            <w:gridSpan w:val="2"/>
            <w:shd w:val="clear" w:color="auto" w:fill="F2F2F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shd w:val="clear" w:color="auto" w:fill="F2F2F2"/>
          </w:tcPr>
          <w:p>
            <w:pPr>
              <w:jc w:val="right"/>
              <w:ind w:right="7"/>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6"/>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6"/>
              <w:spacing w:after="0"/>
              <w:rPr>
                <w:sz w:val="20"/>
                <w:szCs w:val="20"/>
                <w:color w:val="auto"/>
              </w:rPr>
            </w:pPr>
            <w:r>
              <w:rPr>
                <w:rFonts w:ascii="Arial" w:cs="Arial" w:eastAsia="Arial" w:hAnsi="Arial"/>
                <w:sz w:val="14"/>
                <w:szCs w:val="14"/>
                <w:color w:val="auto"/>
              </w:rPr>
              <w:t>(61)</w:t>
            </w:r>
          </w:p>
        </w:tc>
        <w:tc>
          <w:tcPr>
            <w:tcW w:w="720" w:type="dxa"/>
            <w:vAlign w:val="bottom"/>
          </w:tcPr>
          <w:p>
            <w:pPr>
              <w:jc w:val="right"/>
              <w:ind w:right="7"/>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62"/>
        </w:trPr>
        <w:tc>
          <w:tcPr>
            <w:tcW w:w="2920" w:type="dxa"/>
            <w:vAlign w:val="bottom"/>
          </w:tcPr>
          <w:p>
            <w:pPr>
              <w:ind w:left="140"/>
              <w:spacing w:after="0"/>
              <w:rPr>
                <w:sz w:val="20"/>
                <w:szCs w:val="20"/>
                <w:color w:val="auto"/>
              </w:rPr>
            </w:pPr>
            <w:r>
              <w:rPr>
                <w:rFonts w:ascii="Arial" w:cs="Arial" w:eastAsia="Arial" w:hAnsi="Arial"/>
                <w:sz w:val="14"/>
                <w:szCs w:val="14"/>
                <w:color w:val="auto"/>
              </w:rPr>
              <w:t>Tax-related items</w:t>
            </w:r>
          </w:p>
        </w:tc>
        <w:tc>
          <w:tcPr>
            <w:tcW w:w="140" w:type="dxa"/>
            <w:vAlign w:val="bottom"/>
            <w:shd w:val="clear" w:color="auto" w:fill="F2F2F2"/>
          </w:tcPr>
          <w:p>
            <w:pPr>
              <w:spacing w:after="0"/>
              <w:rPr>
                <w:sz w:val="14"/>
                <w:szCs w:val="14"/>
                <w:color w:val="auto"/>
              </w:rPr>
            </w:pPr>
          </w:p>
        </w:tc>
        <w:tc>
          <w:tcPr>
            <w:tcW w:w="4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F2F2F2"/>
          </w:tcPr>
          <w:p>
            <w:pPr>
              <w:spacing w:after="0"/>
              <w:rPr>
                <w:sz w:val="14"/>
                <w:szCs w:val="14"/>
                <w:color w:val="auto"/>
              </w:rPr>
            </w:pPr>
          </w:p>
        </w:tc>
        <w:tc>
          <w:tcPr>
            <w:tcW w:w="900" w:type="dxa"/>
            <w:vAlign w:val="bottom"/>
            <w:gridSpan w:val="3"/>
            <w:shd w:val="clear" w:color="auto" w:fill="F2F2F2"/>
          </w:tcPr>
          <w:p>
            <w:pPr>
              <w:jc w:val="right"/>
              <w:ind w:right="60"/>
              <w:spacing w:after="0"/>
              <w:rPr>
                <w:sz w:val="20"/>
                <w:szCs w:val="20"/>
                <w:color w:val="auto"/>
              </w:rPr>
            </w:pPr>
            <w:r>
              <w:rPr>
                <w:rFonts w:ascii="Arial" w:cs="Arial" w:eastAsia="Arial" w:hAnsi="Arial"/>
                <w:sz w:val="14"/>
                <w:szCs w:val="14"/>
                <w:color w:val="auto"/>
              </w:rPr>
              <w:t>(1,415)</w:t>
            </w:r>
          </w:p>
        </w:tc>
        <w:tc>
          <w:tcPr>
            <w:tcW w:w="680" w:type="dxa"/>
            <w:vAlign w:val="bottom"/>
            <w:shd w:val="clear" w:color="auto" w:fill="F2F2F2"/>
          </w:tcPr>
          <w:p>
            <w:pPr>
              <w:jc w:val="right"/>
              <w:ind w:right="7"/>
              <w:spacing w:after="0"/>
              <w:rPr>
                <w:sz w:val="20"/>
                <w:szCs w:val="20"/>
                <w:color w:val="auto"/>
              </w:rPr>
            </w:pPr>
            <w:r>
              <w:rPr>
                <w:rFonts w:ascii="Arial" w:cs="Arial" w:eastAsia="Arial" w:hAnsi="Arial"/>
                <w:sz w:val="14"/>
                <w:szCs w:val="14"/>
                <w:color w:val="auto"/>
              </w:rPr>
              <w:t>(1,415)</w:t>
            </w: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6"/>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6"/>
              <w:spacing w:after="0"/>
              <w:rPr>
                <w:sz w:val="20"/>
                <w:szCs w:val="20"/>
                <w:color w:val="auto"/>
              </w:rPr>
            </w:pPr>
            <w:r>
              <w:rPr>
                <w:rFonts w:ascii="Arial" w:cs="Arial" w:eastAsia="Arial" w:hAnsi="Arial"/>
                <w:sz w:val="14"/>
                <w:szCs w:val="14"/>
                <w:color w:val="auto"/>
              </w:rPr>
              <w:t>(297)</w:t>
            </w:r>
          </w:p>
        </w:tc>
        <w:tc>
          <w:tcPr>
            <w:tcW w:w="720" w:type="dxa"/>
            <w:vAlign w:val="bottom"/>
          </w:tcPr>
          <w:p>
            <w:pPr>
              <w:jc w:val="right"/>
              <w:ind w:right="7"/>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62"/>
        </w:trPr>
        <w:tc>
          <w:tcPr>
            <w:tcW w:w="2920" w:type="dxa"/>
            <w:vAlign w:val="bottom"/>
          </w:tcPr>
          <w:p>
            <w:pPr>
              <w:ind w:left="140"/>
              <w:spacing w:after="0"/>
              <w:rPr>
                <w:sz w:val="20"/>
                <w:szCs w:val="20"/>
                <w:color w:val="auto"/>
              </w:rPr>
            </w:pPr>
            <w:r>
              <w:rPr>
                <w:rFonts w:ascii="Arial" w:cs="Arial" w:eastAsia="Arial" w:hAnsi="Arial"/>
                <w:sz w:val="14"/>
                <w:szCs w:val="14"/>
                <w:color w:val="auto"/>
              </w:rPr>
              <w:t>Contractual provisions</w:t>
            </w:r>
          </w:p>
        </w:tc>
        <w:tc>
          <w:tcPr>
            <w:tcW w:w="140" w:type="dxa"/>
            <w:vAlign w:val="bottom"/>
            <w:shd w:val="clear" w:color="auto" w:fill="F2F2F2"/>
          </w:tcPr>
          <w:p>
            <w:pPr>
              <w:spacing w:after="0"/>
              <w:rPr>
                <w:sz w:val="14"/>
                <w:szCs w:val="14"/>
                <w:color w:val="auto"/>
              </w:rPr>
            </w:pPr>
          </w:p>
        </w:tc>
        <w:tc>
          <w:tcPr>
            <w:tcW w:w="4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F2F2F2"/>
          </w:tcPr>
          <w:p>
            <w:pPr>
              <w:spacing w:after="0"/>
              <w:rPr>
                <w:sz w:val="14"/>
                <w:szCs w:val="14"/>
                <w:color w:val="auto"/>
              </w:rPr>
            </w:pPr>
          </w:p>
        </w:tc>
        <w:tc>
          <w:tcPr>
            <w:tcW w:w="160" w:type="dxa"/>
            <w:vAlign w:val="bottom"/>
            <w:shd w:val="clear" w:color="auto" w:fill="F2F2F2"/>
          </w:tcPr>
          <w:p>
            <w:pPr>
              <w:spacing w:after="0"/>
              <w:rPr>
                <w:sz w:val="14"/>
                <w:szCs w:val="14"/>
                <w:color w:val="auto"/>
              </w:rPr>
            </w:pPr>
          </w:p>
        </w:tc>
        <w:tc>
          <w:tcPr>
            <w:tcW w:w="740" w:type="dxa"/>
            <w:vAlign w:val="bottom"/>
            <w:gridSpan w:val="2"/>
            <w:shd w:val="clear" w:color="auto" w:fill="F2F2F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shd w:val="clear" w:color="auto" w:fill="F2F2F2"/>
          </w:tcPr>
          <w:p>
            <w:pPr>
              <w:jc w:val="right"/>
              <w:ind w:right="7"/>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6"/>
              <w:spacing w:after="0"/>
              <w:rPr>
                <w:sz w:val="20"/>
                <w:szCs w:val="20"/>
                <w:color w:val="auto"/>
              </w:rPr>
            </w:pPr>
            <w:r>
              <w:rPr>
                <w:rFonts w:ascii="Arial" w:cs="Arial" w:eastAsia="Arial" w:hAnsi="Arial"/>
                <w:sz w:val="14"/>
                <w:szCs w:val="14"/>
                <w:color w:val="auto"/>
              </w:rPr>
              <w:t>(250)</w:t>
            </w:r>
          </w:p>
        </w:tc>
        <w:tc>
          <w:tcPr>
            <w:tcW w:w="660" w:type="dxa"/>
            <w:vAlign w:val="bottom"/>
          </w:tcPr>
          <w:p>
            <w:pPr>
              <w:jc w:val="right"/>
              <w:ind w:right="47"/>
              <w:spacing w:after="0"/>
              <w:rPr>
                <w:sz w:val="20"/>
                <w:szCs w:val="20"/>
                <w:color w:val="auto"/>
              </w:rPr>
            </w:pPr>
            <w:r>
              <w:rPr>
                <w:rFonts w:ascii="Arial" w:cs="Arial" w:eastAsia="Arial" w:hAnsi="Arial"/>
                <w:sz w:val="14"/>
                <w:szCs w:val="14"/>
                <w:color w:val="auto"/>
              </w:rPr>
              <w:t>(250)</w:t>
            </w:r>
          </w:p>
        </w:tc>
        <w:tc>
          <w:tcPr>
            <w:tcW w:w="74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6"/>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920" w:type="dxa"/>
            <w:vAlign w:val="bottom"/>
          </w:tcPr>
          <w:p>
            <w:pPr>
              <w:ind w:left="14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F2F2F2"/>
            </w:tcBorders>
            <w:shd w:val="clear" w:color="auto" w:fill="F2F2F2"/>
          </w:tcPr>
          <w:p>
            <w:pPr>
              <w:spacing w:after="0"/>
              <w:rPr>
                <w:sz w:val="18"/>
                <w:szCs w:val="18"/>
                <w:color w:val="auto"/>
              </w:rPr>
            </w:pPr>
          </w:p>
        </w:tc>
        <w:tc>
          <w:tcPr>
            <w:tcW w:w="4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F2F2F2"/>
            </w:tcBorders>
            <w:shd w:val="clear" w:color="auto" w:fill="F2F2F2"/>
          </w:tcPr>
          <w:p>
            <w:pPr>
              <w:spacing w:after="0"/>
              <w:rPr>
                <w:sz w:val="18"/>
                <w:szCs w:val="18"/>
                <w:color w:val="auto"/>
              </w:rPr>
            </w:pPr>
          </w:p>
        </w:tc>
        <w:tc>
          <w:tcPr>
            <w:tcW w:w="160" w:type="dxa"/>
            <w:vAlign w:val="bottom"/>
            <w:tcBorders>
              <w:bottom w:val="single" w:sz="8" w:color="F2F2F2"/>
            </w:tcBorders>
            <w:shd w:val="clear" w:color="auto" w:fill="F2F2F2"/>
          </w:tcPr>
          <w:p>
            <w:pPr>
              <w:spacing w:after="0"/>
              <w:rPr>
                <w:sz w:val="18"/>
                <w:szCs w:val="18"/>
                <w:color w:val="auto"/>
              </w:rPr>
            </w:pPr>
          </w:p>
        </w:tc>
        <w:tc>
          <w:tcPr>
            <w:tcW w:w="6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1,380</w:t>
            </w:r>
          </w:p>
        </w:tc>
        <w:tc>
          <w:tcPr>
            <w:tcW w:w="60" w:type="dxa"/>
            <w:vAlign w:val="bottom"/>
            <w:tcBorders>
              <w:bottom w:val="single" w:sz="8" w:color="F2F2F2"/>
            </w:tcBorders>
            <w:shd w:val="clear" w:color="auto" w:fill="F2F2F2"/>
          </w:tcPr>
          <w:p>
            <w:pPr>
              <w:spacing w:after="0"/>
              <w:rPr>
                <w:sz w:val="18"/>
                <w:szCs w:val="18"/>
                <w:color w:val="auto"/>
              </w:rPr>
            </w:pPr>
          </w:p>
        </w:tc>
        <w:tc>
          <w:tcPr>
            <w:tcW w:w="680" w:type="dxa"/>
            <w:vAlign w:val="bottom"/>
            <w:tcBorders>
              <w:bottom w:val="single" w:sz="8" w:color="F2F2F2"/>
            </w:tcBorders>
            <w:shd w:val="clear" w:color="auto" w:fill="F2F2F2"/>
          </w:tcPr>
          <w:p>
            <w:pPr>
              <w:jc w:val="right"/>
              <w:ind w:right="7"/>
              <w:spacing w:after="0"/>
              <w:rPr>
                <w:sz w:val="20"/>
                <w:szCs w:val="20"/>
                <w:color w:val="auto"/>
              </w:rPr>
            </w:pPr>
            <w:r>
              <w:rPr>
                <w:rFonts w:ascii="Arial" w:cs="Arial" w:eastAsia="Arial" w:hAnsi="Arial"/>
                <w:sz w:val="14"/>
                <w:szCs w:val="14"/>
                <w:color w:val="auto"/>
              </w:rPr>
              <w:t>1,380</w:t>
            </w: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6"/>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6"/>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29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Identified Items</w:t>
            </w:r>
          </w:p>
        </w:tc>
        <w:tc>
          <w:tcPr>
            <w:tcW w:w="140" w:type="dxa"/>
            <w:vAlign w:val="bottom"/>
            <w:tcBorders>
              <w:top w:val="single" w:sz="8" w:color="auto"/>
              <w:bottom w:val="single" w:sz="8" w:color="F2F2F2"/>
            </w:tcBorders>
            <w:shd w:val="clear" w:color="auto" w:fill="F2F2F2"/>
          </w:tcPr>
          <w:p>
            <w:pPr>
              <w:spacing w:after="0"/>
              <w:rPr>
                <w:sz w:val="18"/>
                <w:szCs w:val="18"/>
                <w:color w:val="auto"/>
              </w:rPr>
            </w:pPr>
          </w:p>
        </w:tc>
        <w:tc>
          <w:tcPr>
            <w:tcW w:w="460" w:type="dxa"/>
            <w:vAlign w:val="bottom"/>
            <w:tcBorders>
              <w:top w:val="single" w:sz="8" w:color="auto"/>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299</w:t>
            </w:r>
          </w:p>
        </w:tc>
        <w:tc>
          <w:tcPr>
            <w:tcW w:w="40" w:type="dxa"/>
            <w:vAlign w:val="bottom"/>
            <w:tcBorders>
              <w:top w:val="single" w:sz="8" w:color="auto"/>
              <w:bottom w:val="single" w:sz="8" w:color="F2F2F2"/>
            </w:tcBorders>
            <w:shd w:val="clear" w:color="auto" w:fill="F2F2F2"/>
          </w:tcPr>
          <w:p>
            <w:pPr>
              <w:spacing w:after="0"/>
              <w:rPr>
                <w:sz w:val="18"/>
                <w:szCs w:val="18"/>
                <w:color w:val="auto"/>
              </w:rPr>
            </w:pPr>
          </w:p>
        </w:tc>
        <w:tc>
          <w:tcPr>
            <w:tcW w:w="160" w:type="dxa"/>
            <w:vAlign w:val="bottom"/>
            <w:tcBorders>
              <w:top w:val="single" w:sz="8" w:color="auto"/>
              <w:bottom w:val="single" w:sz="8" w:color="F2F2F2"/>
            </w:tcBorders>
            <w:shd w:val="clear" w:color="auto" w:fill="F2F2F2"/>
          </w:tcPr>
          <w:p>
            <w:pPr>
              <w:spacing w:after="0"/>
              <w:rPr>
                <w:sz w:val="18"/>
                <w:szCs w:val="18"/>
                <w:color w:val="auto"/>
              </w:rPr>
            </w:pPr>
          </w:p>
        </w:tc>
        <w:tc>
          <w:tcPr>
            <w:tcW w:w="680" w:type="dxa"/>
            <w:vAlign w:val="bottom"/>
            <w:tcBorders>
              <w:top w:val="single" w:sz="8" w:color="auto"/>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(3,238)</w:t>
            </w:r>
          </w:p>
        </w:tc>
        <w:tc>
          <w:tcPr>
            <w:tcW w:w="60" w:type="dxa"/>
            <w:vAlign w:val="bottom"/>
            <w:tcBorders>
              <w:top w:val="single" w:sz="8" w:color="auto"/>
              <w:bottom w:val="single" w:sz="8" w:color="F2F2F2"/>
            </w:tcBorders>
            <w:shd w:val="clear" w:color="auto" w:fill="F2F2F2"/>
          </w:tcPr>
          <w:p>
            <w:pPr>
              <w:spacing w:after="0"/>
              <w:rPr>
                <w:sz w:val="18"/>
                <w:szCs w:val="18"/>
                <w:color w:val="auto"/>
              </w:rPr>
            </w:pPr>
          </w:p>
        </w:tc>
        <w:tc>
          <w:tcPr>
            <w:tcW w:w="680" w:type="dxa"/>
            <w:vAlign w:val="bottom"/>
            <w:tcBorders>
              <w:top w:val="single" w:sz="8" w:color="auto"/>
              <w:bottom w:val="single" w:sz="8" w:color="F2F2F2"/>
            </w:tcBorders>
            <w:shd w:val="clear" w:color="auto" w:fill="F2F2F2"/>
          </w:tcPr>
          <w:p>
            <w:pPr>
              <w:jc w:val="right"/>
              <w:ind w:right="7"/>
              <w:spacing w:after="0"/>
              <w:rPr>
                <w:sz w:val="20"/>
                <w:szCs w:val="20"/>
                <w:color w:val="auto"/>
              </w:rPr>
            </w:pPr>
            <w:r>
              <w:rPr>
                <w:rFonts w:ascii="Arial" w:cs="Arial" w:eastAsia="Arial" w:hAnsi="Arial"/>
                <w:sz w:val="14"/>
                <w:szCs w:val="14"/>
                <w:color w:val="auto"/>
              </w:rPr>
              <w:t>(2,939)</w:t>
            </w:r>
          </w:p>
        </w:tc>
        <w:tc>
          <w:tcPr>
            <w:tcW w:w="70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(263)</w:t>
            </w:r>
          </w:p>
        </w:tc>
        <w:tc>
          <w:tcPr>
            <w:tcW w:w="880" w:type="dxa"/>
            <w:vAlign w:val="bottom"/>
            <w:tcBorders>
              <w:top w:val="single" w:sz="8" w:color="auto"/>
            </w:tcBorders>
          </w:tcPr>
          <w:p>
            <w:pPr>
              <w:jc w:val="right"/>
              <w:ind w:right="26"/>
              <w:spacing w:after="0"/>
              <w:rPr>
                <w:sz w:val="20"/>
                <w:szCs w:val="20"/>
                <w:color w:val="auto"/>
              </w:rPr>
            </w:pPr>
            <w:r>
              <w:rPr>
                <w:rFonts w:ascii="Arial" w:cs="Arial" w:eastAsia="Arial" w:hAnsi="Arial"/>
                <w:sz w:val="14"/>
                <w:szCs w:val="14"/>
                <w:color w:val="auto"/>
              </w:rPr>
              <w:t>(280)</w:t>
            </w:r>
          </w:p>
        </w:tc>
        <w:tc>
          <w:tcPr>
            <w:tcW w:w="66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(543)</w:t>
            </w:r>
          </w:p>
        </w:tc>
        <w:tc>
          <w:tcPr>
            <w:tcW w:w="74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(17,092)</w:t>
            </w:r>
          </w:p>
        </w:tc>
        <w:tc>
          <w:tcPr>
            <w:tcW w:w="880" w:type="dxa"/>
            <w:vAlign w:val="bottom"/>
            <w:tcBorders>
              <w:top w:val="single" w:sz="8" w:color="auto"/>
            </w:tcBorders>
          </w:tcPr>
          <w:p>
            <w:pPr>
              <w:jc w:val="right"/>
              <w:ind w:right="26"/>
              <w:spacing w:after="0"/>
              <w:rPr>
                <w:sz w:val="20"/>
                <w:szCs w:val="20"/>
                <w:color w:val="auto"/>
              </w:rPr>
            </w:pPr>
            <w:r>
              <w:rPr>
                <w:rFonts w:ascii="Arial" w:cs="Arial" w:eastAsia="Arial" w:hAnsi="Arial"/>
                <w:sz w:val="14"/>
                <w:szCs w:val="14"/>
                <w:color w:val="auto"/>
              </w:rPr>
              <w:t>(2,602)</w:t>
            </w:r>
          </w:p>
        </w:tc>
        <w:tc>
          <w:tcPr>
            <w:tcW w:w="720" w:type="dxa"/>
            <w:vAlign w:val="bottom"/>
            <w:tcBorders>
              <w:top w:val="single" w:sz="8" w:color="auto"/>
            </w:tcBorders>
          </w:tcPr>
          <w:p>
            <w:pPr>
              <w:jc w:val="right"/>
              <w:ind w:right="7"/>
              <w:spacing w:after="0"/>
              <w:rPr>
                <w:sz w:val="20"/>
                <w:szCs w:val="20"/>
                <w:color w:val="auto"/>
              </w:rPr>
            </w:pPr>
            <w:r>
              <w:rPr>
                <w:rFonts w:ascii="Arial" w:cs="Arial" w:eastAsia="Arial" w:hAnsi="Arial"/>
                <w:sz w:val="14"/>
                <w:szCs w:val="14"/>
                <w:color w:val="auto"/>
              </w:rPr>
              <w:t>(19,694)</w:t>
            </w:r>
          </w:p>
        </w:tc>
        <w:tc>
          <w:tcPr>
            <w:tcW w:w="0" w:type="dxa"/>
            <w:vAlign w:val="bottom"/>
          </w:tcPr>
          <w:p>
            <w:pPr>
              <w:spacing w:after="0"/>
              <w:rPr>
                <w:sz w:val="1"/>
                <w:szCs w:val="1"/>
                <w:color w:val="auto"/>
              </w:rPr>
            </w:pPr>
          </w:p>
        </w:tc>
      </w:tr>
      <w:tr>
        <w:trPr>
          <w:trHeight w:val="146"/>
        </w:trPr>
        <w:tc>
          <w:tcPr>
            <w:tcW w:w="2920" w:type="dxa"/>
            <w:vAlign w:val="bottom"/>
            <w:tcBorders>
              <w:top w:val="single" w:sz="8" w:color="auto"/>
            </w:tcBorders>
          </w:tcPr>
          <w:p>
            <w:pPr>
              <w:ind w:left="20"/>
              <w:spacing w:after="0" w:line="147" w:lineRule="exact"/>
              <w:rPr>
                <w:sz w:val="20"/>
                <w:szCs w:val="20"/>
                <w:color w:val="auto"/>
              </w:rPr>
            </w:pPr>
            <w:r>
              <w:rPr>
                <w:rFonts w:ascii="Arial" w:cs="Arial" w:eastAsia="Arial" w:hAnsi="Arial"/>
                <w:sz w:val="14"/>
                <w:szCs w:val="14"/>
                <w:b w:val="1"/>
                <w:bCs w:val="1"/>
                <w:color w:val="auto"/>
              </w:rPr>
              <w:t>Earnings (loss) excluding Identified Items</w:t>
            </w:r>
          </w:p>
        </w:tc>
        <w:tc>
          <w:tcPr>
            <w:tcW w:w="140" w:type="dxa"/>
            <w:vAlign w:val="bottom"/>
            <w:tcBorders>
              <w:top w:val="single" w:sz="8" w:color="auto"/>
            </w:tcBorders>
            <w:shd w:val="clear" w:color="auto" w:fill="F2F2F2"/>
          </w:tcPr>
          <w:p>
            <w:pPr>
              <w:spacing w:after="0"/>
              <w:rPr>
                <w:sz w:val="12"/>
                <w:szCs w:val="12"/>
                <w:color w:val="auto"/>
              </w:rPr>
            </w:pPr>
          </w:p>
        </w:tc>
        <w:tc>
          <w:tcPr>
            <w:tcW w:w="460" w:type="dxa"/>
            <w:vAlign w:val="bottom"/>
            <w:tcBorders>
              <w:top w:val="single" w:sz="8" w:color="auto"/>
            </w:tcBorders>
            <w:vMerge w:val="restart"/>
            <w:shd w:val="clear" w:color="auto" w:fill="F2F2F2"/>
          </w:tcPr>
          <w:p>
            <w:pPr>
              <w:jc w:val="right"/>
              <w:spacing w:after="0"/>
              <w:rPr>
                <w:sz w:val="20"/>
                <w:szCs w:val="20"/>
                <w:color w:val="auto"/>
              </w:rPr>
            </w:pPr>
            <w:r>
              <w:rPr>
                <w:rFonts w:ascii="Arial" w:cs="Arial" w:eastAsia="Arial" w:hAnsi="Arial"/>
                <w:sz w:val="14"/>
                <w:szCs w:val="14"/>
                <w:b w:val="1"/>
                <w:bCs w:val="1"/>
                <w:color w:val="auto"/>
              </w:rPr>
              <w:t>11,429</w:t>
            </w:r>
          </w:p>
        </w:tc>
        <w:tc>
          <w:tcPr>
            <w:tcW w:w="40" w:type="dxa"/>
            <w:vAlign w:val="bottom"/>
            <w:tcBorders>
              <w:top w:val="single" w:sz="8" w:color="auto"/>
            </w:tcBorders>
            <w:shd w:val="clear" w:color="auto" w:fill="F2F2F2"/>
          </w:tcPr>
          <w:p>
            <w:pPr>
              <w:spacing w:after="0"/>
              <w:rPr>
                <w:sz w:val="12"/>
                <w:szCs w:val="12"/>
                <w:color w:val="auto"/>
              </w:rPr>
            </w:pPr>
          </w:p>
        </w:tc>
        <w:tc>
          <w:tcPr>
            <w:tcW w:w="160" w:type="dxa"/>
            <w:vAlign w:val="bottom"/>
            <w:tcBorders>
              <w:top w:val="single" w:sz="8" w:color="auto"/>
            </w:tcBorders>
            <w:shd w:val="clear" w:color="auto" w:fill="F2F2F2"/>
          </w:tcPr>
          <w:p>
            <w:pPr>
              <w:spacing w:after="0"/>
              <w:rPr>
                <w:sz w:val="12"/>
                <w:szCs w:val="12"/>
                <w:color w:val="auto"/>
              </w:rPr>
            </w:pPr>
          </w:p>
        </w:tc>
        <w:tc>
          <w:tcPr>
            <w:tcW w:w="680" w:type="dxa"/>
            <w:vAlign w:val="bottom"/>
            <w:tcBorders>
              <w:top w:val="single" w:sz="8" w:color="auto"/>
            </w:tcBorders>
            <w:vMerge w:val="restart"/>
            <w:shd w:val="clear" w:color="auto" w:fill="F2F2F2"/>
          </w:tcPr>
          <w:p>
            <w:pPr>
              <w:jc w:val="right"/>
              <w:spacing w:after="0"/>
              <w:rPr>
                <w:sz w:val="20"/>
                <w:szCs w:val="20"/>
                <w:color w:val="auto"/>
              </w:rPr>
            </w:pPr>
            <w:r>
              <w:rPr>
                <w:rFonts w:ascii="Arial" w:cs="Arial" w:eastAsia="Arial" w:hAnsi="Arial"/>
                <w:sz w:val="14"/>
                <w:szCs w:val="14"/>
                <w:b w:val="1"/>
                <w:bCs w:val="1"/>
                <w:color w:val="auto"/>
              </w:rPr>
              <w:t>27,989</w:t>
            </w:r>
          </w:p>
        </w:tc>
        <w:tc>
          <w:tcPr>
            <w:tcW w:w="60" w:type="dxa"/>
            <w:vAlign w:val="bottom"/>
            <w:tcBorders>
              <w:top w:val="single" w:sz="8" w:color="auto"/>
            </w:tcBorders>
            <w:shd w:val="clear" w:color="auto" w:fill="F2F2F2"/>
          </w:tcPr>
          <w:p>
            <w:pPr>
              <w:spacing w:after="0"/>
              <w:rPr>
                <w:sz w:val="12"/>
                <w:szCs w:val="12"/>
                <w:color w:val="auto"/>
              </w:rPr>
            </w:pPr>
          </w:p>
        </w:tc>
        <w:tc>
          <w:tcPr>
            <w:tcW w:w="680" w:type="dxa"/>
            <w:vAlign w:val="bottom"/>
            <w:tcBorders>
              <w:top w:val="single" w:sz="8" w:color="auto"/>
            </w:tcBorders>
            <w:vMerge w:val="restart"/>
            <w:shd w:val="clear" w:color="auto" w:fill="F2F2F2"/>
          </w:tcPr>
          <w:p>
            <w:pPr>
              <w:jc w:val="right"/>
              <w:ind w:right="7"/>
              <w:spacing w:after="0"/>
              <w:rPr>
                <w:sz w:val="20"/>
                <w:szCs w:val="20"/>
                <w:color w:val="auto"/>
              </w:rPr>
            </w:pPr>
            <w:r>
              <w:rPr>
                <w:rFonts w:ascii="Arial" w:cs="Arial" w:eastAsia="Arial" w:hAnsi="Arial"/>
                <w:sz w:val="14"/>
                <w:szCs w:val="14"/>
                <w:b w:val="1"/>
                <w:bCs w:val="1"/>
                <w:color w:val="auto"/>
              </w:rPr>
              <w:t>39,418</w:t>
            </w:r>
          </w:p>
        </w:tc>
        <w:tc>
          <w:tcPr>
            <w:tcW w:w="700" w:type="dxa"/>
            <w:vAlign w:val="bottom"/>
            <w:tcBorders>
              <w:top w:val="single" w:sz="8" w:color="auto"/>
            </w:tcBorders>
            <w:vMerge w:val="restart"/>
          </w:tcPr>
          <w:p>
            <w:pPr>
              <w:jc w:val="right"/>
              <w:ind w:right="47"/>
              <w:spacing w:after="0"/>
              <w:rPr>
                <w:sz w:val="20"/>
                <w:szCs w:val="20"/>
                <w:color w:val="auto"/>
              </w:rPr>
            </w:pPr>
            <w:r>
              <w:rPr>
                <w:rFonts w:ascii="Arial" w:cs="Arial" w:eastAsia="Arial" w:hAnsi="Arial"/>
                <w:sz w:val="14"/>
                <w:szCs w:val="14"/>
                <w:b w:val="1"/>
                <w:bCs w:val="1"/>
                <w:color w:val="auto"/>
              </w:rPr>
              <w:t>3,926</w:t>
            </w:r>
          </w:p>
        </w:tc>
        <w:tc>
          <w:tcPr>
            <w:tcW w:w="880" w:type="dxa"/>
            <w:vAlign w:val="bottom"/>
            <w:tcBorders>
              <w:top w:val="single" w:sz="8" w:color="auto"/>
            </w:tcBorders>
            <w:vMerge w:val="restart"/>
          </w:tcPr>
          <w:p>
            <w:pPr>
              <w:jc w:val="right"/>
              <w:ind w:right="26"/>
              <w:spacing w:after="0"/>
              <w:rPr>
                <w:sz w:val="20"/>
                <w:szCs w:val="20"/>
                <w:color w:val="auto"/>
              </w:rPr>
            </w:pPr>
            <w:r>
              <w:rPr>
                <w:rFonts w:ascii="Arial" w:cs="Arial" w:eastAsia="Arial" w:hAnsi="Arial"/>
                <w:sz w:val="14"/>
                <w:szCs w:val="14"/>
                <w:b w:val="1"/>
                <w:bCs w:val="1"/>
                <w:color w:val="auto"/>
              </w:rPr>
              <w:t>12,392</w:t>
            </w:r>
          </w:p>
        </w:tc>
        <w:tc>
          <w:tcPr>
            <w:tcW w:w="660" w:type="dxa"/>
            <w:vAlign w:val="bottom"/>
            <w:tcBorders>
              <w:top w:val="single" w:sz="8" w:color="auto"/>
            </w:tcBorders>
            <w:vMerge w:val="restart"/>
          </w:tcPr>
          <w:p>
            <w:pPr>
              <w:jc w:val="right"/>
              <w:ind w:right="47"/>
              <w:spacing w:after="0"/>
              <w:rPr>
                <w:sz w:val="20"/>
                <w:szCs w:val="20"/>
                <w:color w:val="auto"/>
              </w:rPr>
            </w:pPr>
            <w:r>
              <w:rPr>
                <w:rFonts w:ascii="Arial" w:cs="Arial" w:eastAsia="Arial" w:hAnsi="Arial"/>
                <w:sz w:val="14"/>
                <w:szCs w:val="14"/>
                <w:b w:val="1"/>
                <w:bCs w:val="1"/>
                <w:color w:val="auto"/>
              </w:rPr>
              <w:t>16,318</w:t>
            </w:r>
          </w:p>
        </w:tc>
        <w:tc>
          <w:tcPr>
            <w:tcW w:w="740" w:type="dxa"/>
            <w:vAlign w:val="bottom"/>
            <w:tcBorders>
              <w:top w:val="single" w:sz="8" w:color="auto"/>
            </w:tcBorders>
            <w:vMerge w:val="restart"/>
          </w:tcPr>
          <w:p>
            <w:pPr>
              <w:jc w:val="right"/>
              <w:ind w:right="47"/>
              <w:spacing w:after="0"/>
              <w:rPr>
                <w:sz w:val="20"/>
                <w:szCs w:val="20"/>
                <w:color w:val="auto"/>
              </w:rPr>
            </w:pPr>
            <w:r>
              <w:rPr>
                <w:rFonts w:ascii="Arial" w:cs="Arial" w:eastAsia="Arial" w:hAnsi="Arial"/>
                <w:sz w:val="14"/>
                <w:szCs w:val="14"/>
                <w:b w:val="1"/>
                <w:bCs w:val="1"/>
                <w:color w:val="auto"/>
              </w:rPr>
              <w:t>(2,293)</w:t>
            </w:r>
          </w:p>
        </w:tc>
        <w:tc>
          <w:tcPr>
            <w:tcW w:w="880" w:type="dxa"/>
            <w:vAlign w:val="bottom"/>
            <w:tcBorders>
              <w:top w:val="single" w:sz="8" w:color="auto"/>
            </w:tcBorders>
            <w:vMerge w:val="restart"/>
          </w:tcPr>
          <w:p>
            <w:pPr>
              <w:jc w:val="right"/>
              <w:ind w:right="26"/>
              <w:spacing w:after="0"/>
              <w:rPr>
                <w:sz w:val="20"/>
                <w:szCs w:val="20"/>
                <w:color w:val="auto"/>
              </w:rPr>
            </w:pPr>
            <w:r>
              <w:rPr>
                <w:rFonts w:ascii="Arial" w:cs="Arial" w:eastAsia="Arial" w:hAnsi="Arial"/>
                <w:sz w:val="14"/>
                <w:szCs w:val="14"/>
                <w:b w:val="1"/>
                <w:bCs w:val="1"/>
                <w:color w:val="auto"/>
              </w:rPr>
              <w:t>1,957</w:t>
            </w:r>
          </w:p>
        </w:tc>
        <w:tc>
          <w:tcPr>
            <w:tcW w:w="720" w:type="dxa"/>
            <w:vAlign w:val="bottom"/>
            <w:tcBorders>
              <w:top w:val="single" w:sz="8" w:color="auto"/>
            </w:tcBorders>
            <w:vMerge w:val="restart"/>
          </w:tcPr>
          <w:p>
            <w:pPr>
              <w:jc w:val="right"/>
              <w:ind w:right="7"/>
              <w:spacing w:after="0"/>
              <w:rPr>
                <w:sz w:val="20"/>
                <w:szCs w:val="20"/>
                <w:color w:val="auto"/>
              </w:rPr>
            </w:pPr>
            <w:r>
              <w:rPr>
                <w:rFonts w:ascii="Arial" w:cs="Arial" w:eastAsia="Arial" w:hAnsi="Arial"/>
                <w:sz w:val="14"/>
                <w:szCs w:val="14"/>
                <w:b w:val="1"/>
                <w:bCs w:val="1"/>
                <w:color w:val="auto"/>
              </w:rPr>
              <w:t>(336)</w:t>
            </w:r>
          </w:p>
        </w:tc>
        <w:tc>
          <w:tcPr>
            <w:tcW w:w="0" w:type="dxa"/>
            <w:vAlign w:val="bottom"/>
          </w:tcPr>
          <w:p>
            <w:pPr>
              <w:spacing w:after="0"/>
              <w:rPr>
                <w:sz w:val="1"/>
                <w:szCs w:val="1"/>
                <w:color w:val="auto"/>
              </w:rPr>
            </w:pPr>
          </w:p>
        </w:tc>
      </w:tr>
      <w:tr>
        <w:trPr>
          <w:trHeight w:val="115"/>
        </w:trPr>
        <w:tc>
          <w:tcPr>
            <w:tcW w:w="2920" w:type="dxa"/>
            <w:vAlign w:val="bottom"/>
            <w:vMerge w:val="restart"/>
          </w:tcPr>
          <w:p>
            <w:pPr>
              <w:ind w:left="20"/>
              <w:spacing w:after="0"/>
              <w:rPr>
                <w:sz w:val="20"/>
                <w:szCs w:val="20"/>
                <w:color w:val="auto"/>
              </w:rPr>
            </w:pPr>
            <w:r>
              <w:rPr>
                <w:rFonts w:ascii="Arial" w:cs="Arial" w:eastAsia="Arial" w:hAnsi="Arial"/>
                <w:sz w:val="14"/>
                <w:szCs w:val="14"/>
                <w:color w:val="auto"/>
              </w:rPr>
              <w:t>(Non-GAAP)</w:t>
            </w:r>
          </w:p>
        </w:tc>
        <w:tc>
          <w:tcPr>
            <w:tcW w:w="140" w:type="dxa"/>
            <w:vAlign w:val="bottom"/>
            <w:shd w:val="clear" w:color="auto" w:fill="F2F2F2"/>
          </w:tcPr>
          <w:p>
            <w:pPr>
              <w:spacing w:after="0"/>
              <w:rPr>
                <w:sz w:val="10"/>
                <w:szCs w:val="10"/>
                <w:color w:val="auto"/>
              </w:rPr>
            </w:pPr>
          </w:p>
        </w:tc>
        <w:tc>
          <w:tcPr>
            <w:tcW w:w="460" w:type="dxa"/>
            <w:vAlign w:val="bottom"/>
            <w:vMerge w:val="continue"/>
            <w:shd w:val="clear" w:color="auto" w:fill="F2F2F2"/>
          </w:tcPr>
          <w:p>
            <w:pPr>
              <w:spacing w:after="0"/>
              <w:rPr>
                <w:sz w:val="10"/>
                <w:szCs w:val="10"/>
                <w:color w:val="auto"/>
              </w:rPr>
            </w:pPr>
          </w:p>
        </w:tc>
        <w:tc>
          <w:tcPr>
            <w:tcW w:w="40" w:type="dxa"/>
            <w:vAlign w:val="bottom"/>
            <w:shd w:val="clear" w:color="auto" w:fill="F2F2F2"/>
          </w:tcPr>
          <w:p>
            <w:pPr>
              <w:spacing w:after="0"/>
              <w:rPr>
                <w:sz w:val="10"/>
                <w:szCs w:val="10"/>
                <w:color w:val="auto"/>
              </w:rPr>
            </w:pPr>
          </w:p>
        </w:tc>
        <w:tc>
          <w:tcPr>
            <w:tcW w:w="160" w:type="dxa"/>
            <w:vAlign w:val="bottom"/>
            <w:shd w:val="clear" w:color="auto" w:fill="F2F2F2"/>
          </w:tcPr>
          <w:p>
            <w:pPr>
              <w:spacing w:after="0"/>
              <w:rPr>
                <w:sz w:val="10"/>
                <w:szCs w:val="10"/>
                <w:color w:val="auto"/>
              </w:rPr>
            </w:pPr>
          </w:p>
        </w:tc>
        <w:tc>
          <w:tcPr>
            <w:tcW w:w="680" w:type="dxa"/>
            <w:vAlign w:val="bottom"/>
            <w:vMerge w:val="continue"/>
            <w:shd w:val="clear" w:color="auto" w:fill="F2F2F2"/>
          </w:tcPr>
          <w:p>
            <w:pPr>
              <w:spacing w:after="0"/>
              <w:rPr>
                <w:sz w:val="10"/>
                <w:szCs w:val="10"/>
                <w:color w:val="auto"/>
              </w:rPr>
            </w:pPr>
          </w:p>
        </w:tc>
        <w:tc>
          <w:tcPr>
            <w:tcW w:w="60" w:type="dxa"/>
            <w:vAlign w:val="bottom"/>
            <w:shd w:val="clear" w:color="auto" w:fill="F2F2F2"/>
          </w:tcPr>
          <w:p>
            <w:pPr>
              <w:spacing w:after="0"/>
              <w:rPr>
                <w:sz w:val="10"/>
                <w:szCs w:val="10"/>
                <w:color w:val="auto"/>
              </w:rPr>
            </w:pPr>
          </w:p>
        </w:tc>
        <w:tc>
          <w:tcPr>
            <w:tcW w:w="680" w:type="dxa"/>
            <w:vAlign w:val="bottom"/>
            <w:vMerge w:val="continue"/>
            <w:shd w:val="clear" w:color="auto" w:fill="F2F2F2"/>
          </w:tcPr>
          <w:p>
            <w:pPr>
              <w:spacing w:after="0"/>
              <w:rPr>
                <w:sz w:val="10"/>
                <w:szCs w:val="10"/>
                <w:color w:val="auto"/>
              </w:rPr>
            </w:pPr>
          </w:p>
        </w:tc>
        <w:tc>
          <w:tcPr>
            <w:tcW w:w="7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292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auto"/>
            </w:tcBorders>
            <w:shd w:val="clear" w:color="auto" w:fill="F2F2F2"/>
          </w:tcPr>
          <w:p>
            <w:pPr>
              <w:spacing w:after="0"/>
              <w:rPr>
                <w:sz w:val="6"/>
                <w:szCs w:val="6"/>
                <w:color w:val="auto"/>
              </w:rPr>
            </w:pPr>
          </w:p>
        </w:tc>
        <w:tc>
          <w:tcPr>
            <w:tcW w:w="460" w:type="dxa"/>
            <w:vAlign w:val="bottom"/>
            <w:tcBorders>
              <w:bottom w:val="single" w:sz="8" w:color="auto"/>
            </w:tcBorders>
            <w:shd w:val="clear" w:color="auto" w:fill="F2F2F2"/>
          </w:tcPr>
          <w:p>
            <w:pPr>
              <w:spacing w:after="0"/>
              <w:rPr>
                <w:sz w:val="6"/>
                <w:szCs w:val="6"/>
                <w:color w:val="auto"/>
              </w:rPr>
            </w:pPr>
          </w:p>
        </w:tc>
        <w:tc>
          <w:tcPr>
            <w:tcW w:w="40" w:type="dxa"/>
            <w:vAlign w:val="bottom"/>
            <w:tcBorders>
              <w:bottom w:val="single" w:sz="8" w:color="auto"/>
            </w:tcBorders>
            <w:shd w:val="clear" w:color="auto" w:fill="F2F2F2"/>
          </w:tcPr>
          <w:p>
            <w:pPr>
              <w:spacing w:after="0"/>
              <w:rPr>
                <w:sz w:val="6"/>
                <w:szCs w:val="6"/>
                <w:color w:val="auto"/>
              </w:rPr>
            </w:pPr>
          </w:p>
        </w:tc>
        <w:tc>
          <w:tcPr>
            <w:tcW w:w="160" w:type="dxa"/>
            <w:vAlign w:val="bottom"/>
            <w:tcBorders>
              <w:bottom w:val="single" w:sz="8" w:color="auto"/>
            </w:tcBorders>
            <w:shd w:val="clear" w:color="auto" w:fill="F2F2F2"/>
          </w:tcPr>
          <w:p>
            <w:pPr>
              <w:spacing w:after="0"/>
              <w:rPr>
                <w:sz w:val="6"/>
                <w:szCs w:val="6"/>
                <w:color w:val="auto"/>
              </w:rPr>
            </w:pPr>
          </w:p>
        </w:tc>
        <w:tc>
          <w:tcPr>
            <w:tcW w:w="680" w:type="dxa"/>
            <w:vAlign w:val="bottom"/>
            <w:tcBorders>
              <w:bottom w:val="single" w:sz="8" w:color="auto"/>
            </w:tcBorders>
            <w:shd w:val="clear" w:color="auto" w:fill="F2F2F2"/>
          </w:tcPr>
          <w:p>
            <w:pPr>
              <w:spacing w:after="0"/>
              <w:rPr>
                <w:sz w:val="6"/>
                <w:szCs w:val="6"/>
                <w:color w:val="auto"/>
              </w:rPr>
            </w:pPr>
          </w:p>
        </w:tc>
        <w:tc>
          <w:tcPr>
            <w:tcW w:w="60" w:type="dxa"/>
            <w:vAlign w:val="bottom"/>
            <w:tcBorders>
              <w:bottom w:val="single" w:sz="8" w:color="auto"/>
            </w:tcBorders>
            <w:shd w:val="clear" w:color="auto" w:fill="F2F2F2"/>
          </w:tcPr>
          <w:p>
            <w:pPr>
              <w:spacing w:after="0"/>
              <w:rPr>
                <w:sz w:val="6"/>
                <w:szCs w:val="6"/>
                <w:color w:val="auto"/>
              </w:rPr>
            </w:pPr>
          </w:p>
        </w:tc>
        <w:tc>
          <w:tcPr>
            <w:tcW w:w="680" w:type="dxa"/>
            <w:vAlign w:val="bottom"/>
            <w:tcBorders>
              <w:bottom w:val="single" w:sz="8" w:color="auto"/>
            </w:tcBorders>
            <w:shd w:val="clear" w:color="auto" w:fill="F2F2F2"/>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tbl>
      <w:tblPr>
        <w:tblLayout w:type="fixed"/>
        <w:tblInd w:w="760" w:type="dxa"/>
        <w:tblCellMar>
          <w:top w:w="0" w:type="dxa"/>
          <w:left w:w="0" w:type="dxa"/>
          <w:bottom w:w="0" w:type="dxa"/>
          <w:right w:w="0" w:type="dxa"/>
        </w:tblCellMar>
      </w:tblPr>
      <w:tr>
        <w:trPr>
          <w:trHeight w:val="189"/>
        </w:trPr>
        <w:tc>
          <w:tcPr>
            <w:tcW w:w="3280" w:type="dxa"/>
            <w:vAlign w:val="bottom"/>
            <w:shd w:val="clear" w:color="auto" w:fill="000000"/>
          </w:tcPr>
          <w:p>
            <w:pPr>
              <w:ind w:left="20"/>
              <w:spacing w:after="0"/>
              <w:rPr>
                <w:sz w:val="20"/>
                <w:szCs w:val="20"/>
                <w:color w:val="auto"/>
              </w:rPr>
            </w:pPr>
            <w:r>
              <w:rPr>
                <w:rFonts w:ascii="Arial" w:cs="Arial" w:eastAsia="Arial" w:hAnsi="Arial"/>
                <w:sz w:val="16"/>
                <w:szCs w:val="16"/>
                <w:b w:val="1"/>
                <w:bCs w:val="1"/>
                <w:color w:val="FFFFFF"/>
              </w:rPr>
              <w:t>Energy Products</w:t>
            </w:r>
          </w:p>
        </w:tc>
        <w:tc>
          <w:tcPr>
            <w:tcW w:w="160" w:type="dxa"/>
            <w:vAlign w:val="bottom"/>
            <w:shd w:val="clear" w:color="auto" w:fill="000000"/>
          </w:tcPr>
          <w:p>
            <w:pPr>
              <w:spacing w:after="0"/>
              <w:rPr>
                <w:sz w:val="16"/>
                <w:szCs w:val="16"/>
                <w:color w:val="auto"/>
              </w:rPr>
            </w:pPr>
          </w:p>
        </w:tc>
        <w:tc>
          <w:tcPr>
            <w:tcW w:w="360" w:type="dxa"/>
            <w:vAlign w:val="bottom"/>
            <w:shd w:val="clear" w:color="auto" w:fill="000000"/>
          </w:tcPr>
          <w:p>
            <w:pPr>
              <w:spacing w:after="0"/>
              <w:rPr>
                <w:sz w:val="16"/>
                <w:szCs w:val="16"/>
                <w:color w:val="auto"/>
              </w:rPr>
            </w:pPr>
          </w:p>
        </w:tc>
        <w:tc>
          <w:tcPr>
            <w:tcW w:w="60" w:type="dxa"/>
            <w:vAlign w:val="bottom"/>
            <w:shd w:val="clear" w:color="auto" w:fill="000000"/>
          </w:tcPr>
          <w:p>
            <w:pPr>
              <w:spacing w:after="0"/>
              <w:rPr>
                <w:sz w:val="16"/>
                <w:szCs w:val="16"/>
                <w:color w:val="auto"/>
              </w:rPr>
            </w:pPr>
          </w:p>
        </w:tc>
        <w:tc>
          <w:tcPr>
            <w:tcW w:w="940" w:type="dxa"/>
            <w:vAlign w:val="bottom"/>
            <w:shd w:val="clear" w:color="auto" w:fill="000000"/>
          </w:tcPr>
          <w:p>
            <w:pPr>
              <w:jc w:val="right"/>
              <w:ind w:right="205"/>
              <w:spacing w:after="0"/>
              <w:rPr>
                <w:sz w:val="20"/>
                <w:szCs w:val="20"/>
                <w:color w:val="auto"/>
              </w:rPr>
            </w:pPr>
            <w:r>
              <w:rPr>
                <w:rFonts w:ascii="Arial" w:cs="Arial" w:eastAsia="Arial" w:hAnsi="Arial"/>
                <w:sz w:val="16"/>
                <w:szCs w:val="16"/>
                <w:b w:val="1"/>
                <w:bCs w:val="1"/>
                <w:color w:val="FFFFFF"/>
              </w:rPr>
              <w:t>2022</w:t>
            </w:r>
          </w:p>
        </w:tc>
        <w:tc>
          <w:tcPr>
            <w:tcW w:w="620" w:type="dxa"/>
            <w:vAlign w:val="bottom"/>
            <w:shd w:val="clear" w:color="auto" w:fill="000000"/>
          </w:tcPr>
          <w:p>
            <w:pPr>
              <w:spacing w:after="0"/>
              <w:rPr>
                <w:sz w:val="16"/>
                <w:szCs w:val="16"/>
                <w:color w:val="auto"/>
              </w:rPr>
            </w:pPr>
          </w:p>
        </w:tc>
        <w:tc>
          <w:tcPr>
            <w:tcW w:w="640" w:type="dxa"/>
            <w:vAlign w:val="bottom"/>
            <w:shd w:val="clear" w:color="auto" w:fill="000000"/>
          </w:tcPr>
          <w:p>
            <w:pPr>
              <w:spacing w:after="0"/>
              <w:rPr>
                <w:sz w:val="16"/>
                <w:szCs w:val="16"/>
                <w:color w:val="auto"/>
              </w:rPr>
            </w:pPr>
          </w:p>
        </w:tc>
        <w:tc>
          <w:tcPr>
            <w:tcW w:w="900" w:type="dxa"/>
            <w:vAlign w:val="bottom"/>
            <w:shd w:val="clear" w:color="auto" w:fill="000000"/>
          </w:tcPr>
          <w:p>
            <w:pPr>
              <w:jc w:val="right"/>
              <w:ind w:right="205"/>
              <w:spacing w:after="0"/>
              <w:rPr>
                <w:sz w:val="20"/>
                <w:szCs w:val="20"/>
                <w:color w:val="auto"/>
              </w:rPr>
            </w:pPr>
            <w:r>
              <w:rPr>
                <w:rFonts w:ascii="Arial" w:cs="Arial" w:eastAsia="Arial" w:hAnsi="Arial"/>
                <w:sz w:val="16"/>
                <w:szCs w:val="16"/>
                <w:b w:val="1"/>
                <w:bCs w:val="1"/>
                <w:color w:val="FFFFFF"/>
              </w:rPr>
              <w:t>2021</w:t>
            </w:r>
          </w:p>
        </w:tc>
        <w:tc>
          <w:tcPr>
            <w:tcW w:w="580" w:type="dxa"/>
            <w:vAlign w:val="bottom"/>
            <w:shd w:val="clear" w:color="auto" w:fill="000000"/>
          </w:tcPr>
          <w:p>
            <w:pPr>
              <w:spacing w:after="0"/>
              <w:rPr>
                <w:sz w:val="16"/>
                <w:szCs w:val="16"/>
                <w:color w:val="auto"/>
              </w:rPr>
            </w:pPr>
          </w:p>
        </w:tc>
        <w:tc>
          <w:tcPr>
            <w:tcW w:w="660" w:type="dxa"/>
            <w:vAlign w:val="bottom"/>
            <w:shd w:val="clear" w:color="auto" w:fill="000000"/>
          </w:tcPr>
          <w:p>
            <w:pPr>
              <w:spacing w:after="0"/>
              <w:rPr>
                <w:sz w:val="16"/>
                <w:szCs w:val="16"/>
                <w:color w:val="auto"/>
              </w:rPr>
            </w:pPr>
          </w:p>
        </w:tc>
        <w:tc>
          <w:tcPr>
            <w:tcW w:w="880" w:type="dxa"/>
            <w:vAlign w:val="bottom"/>
            <w:shd w:val="clear" w:color="auto" w:fill="000000"/>
          </w:tcPr>
          <w:p>
            <w:pPr>
              <w:jc w:val="right"/>
              <w:ind w:right="185"/>
              <w:spacing w:after="0"/>
              <w:rPr>
                <w:sz w:val="20"/>
                <w:szCs w:val="20"/>
                <w:color w:val="auto"/>
              </w:rPr>
            </w:pPr>
            <w:r>
              <w:rPr>
                <w:rFonts w:ascii="Arial" w:cs="Arial" w:eastAsia="Arial" w:hAnsi="Arial"/>
                <w:sz w:val="16"/>
                <w:szCs w:val="16"/>
                <w:b w:val="1"/>
                <w:bCs w:val="1"/>
                <w:color w:val="FFFFFF"/>
              </w:rPr>
              <w:t>2020</w:t>
            </w:r>
          </w:p>
        </w:tc>
        <w:tc>
          <w:tcPr>
            <w:tcW w:w="64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auto"/>
            </w:tcBorders>
            <w:shd w:val="clear" w:color="auto" w:fill="000000"/>
          </w:tcPr>
          <w:p>
            <w:pPr>
              <w:ind w:left="20"/>
              <w:spacing w:after="0"/>
              <w:rPr>
                <w:sz w:val="20"/>
                <w:szCs w:val="20"/>
                <w:color w:val="auto"/>
              </w:rPr>
            </w:pPr>
            <w:r>
              <w:rPr>
                <w:rFonts w:ascii="Arial" w:cs="Arial" w:eastAsia="Arial" w:hAnsi="Arial"/>
                <w:sz w:val="14"/>
                <w:szCs w:val="14"/>
                <w:i w:val="1"/>
                <w:iCs w:val="1"/>
                <w:color w:val="FFFFFF"/>
              </w:rPr>
              <w:t>(millions of dollars)</w:t>
            </w:r>
          </w:p>
        </w:tc>
        <w:tc>
          <w:tcPr>
            <w:tcW w:w="160" w:type="dxa"/>
            <w:vAlign w:val="bottom"/>
            <w:tcBorders>
              <w:bottom w:val="single" w:sz="8" w:color="auto"/>
            </w:tcBorders>
            <w:shd w:val="clear" w:color="auto" w:fill="000000"/>
          </w:tcPr>
          <w:p>
            <w:pPr>
              <w:spacing w:after="0"/>
              <w:rPr>
                <w:sz w:val="19"/>
                <w:szCs w:val="19"/>
                <w:color w:val="auto"/>
              </w:rPr>
            </w:pPr>
          </w:p>
        </w:tc>
        <w:tc>
          <w:tcPr>
            <w:tcW w:w="420" w:type="dxa"/>
            <w:vAlign w:val="bottom"/>
            <w:tcBorders>
              <w:bottom w:val="single" w:sz="8" w:color="auto"/>
            </w:tcBorders>
            <w:gridSpan w:val="2"/>
            <w:shd w:val="clear" w:color="auto" w:fill="000000"/>
          </w:tcPr>
          <w:p>
            <w:pPr>
              <w:ind w:left="20"/>
              <w:spacing w:after="0"/>
              <w:rPr>
                <w:sz w:val="20"/>
                <w:szCs w:val="20"/>
                <w:color w:val="auto"/>
              </w:rPr>
            </w:pPr>
            <w:r>
              <w:rPr>
                <w:rFonts w:ascii="Arial" w:cs="Arial" w:eastAsia="Arial" w:hAnsi="Arial"/>
                <w:sz w:val="16"/>
                <w:szCs w:val="16"/>
                <w:b w:val="1"/>
                <w:bCs w:val="1"/>
                <w:color w:val="FFFFFF"/>
                <w:highlight w:val="black"/>
              </w:rPr>
              <w:t>U.S.</w:t>
            </w:r>
          </w:p>
        </w:tc>
        <w:tc>
          <w:tcPr>
            <w:tcW w:w="940" w:type="dxa"/>
            <w:vAlign w:val="bottom"/>
            <w:tcBorders>
              <w:bottom w:val="single" w:sz="8" w:color="auto"/>
            </w:tcBorders>
            <w:shd w:val="clear" w:color="auto" w:fill="000000"/>
          </w:tcPr>
          <w:p>
            <w:pPr>
              <w:jc w:val="right"/>
              <w:ind w:right="45"/>
              <w:spacing w:after="0"/>
              <w:rPr>
                <w:sz w:val="20"/>
                <w:szCs w:val="20"/>
                <w:color w:val="auto"/>
              </w:rPr>
            </w:pPr>
            <w:r>
              <w:rPr>
                <w:rFonts w:ascii="Arial" w:cs="Arial" w:eastAsia="Arial" w:hAnsi="Arial"/>
                <w:sz w:val="16"/>
                <w:szCs w:val="16"/>
                <w:b w:val="1"/>
                <w:bCs w:val="1"/>
                <w:color w:val="FFFFFF"/>
                <w:highlight w:val="black"/>
              </w:rPr>
              <w:t>Non-U.S.</w:t>
            </w:r>
          </w:p>
        </w:tc>
        <w:tc>
          <w:tcPr>
            <w:tcW w:w="620" w:type="dxa"/>
            <w:vAlign w:val="bottom"/>
            <w:tcBorders>
              <w:bottom w:val="single" w:sz="8" w:color="auto"/>
            </w:tcBorders>
            <w:shd w:val="clear" w:color="auto" w:fill="000000"/>
          </w:tcPr>
          <w:p>
            <w:pPr>
              <w:jc w:val="right"/>
              <w:ind w:right="47"/>
              <w:spacing w:after="0"/>
              <w:rPr>
                <w:sz w:val="20"/>
                <w:szCs w:val="20"/>
                <w:color w:val="auto"/>
              </w:rPr>
            </w:pPr>
            <w:r>
              <w:rPr>
                <w:rFonts w:ascii="Arial" w:cs="Arial" w:eastAsia="Arial" w:hAnsi="Arial"/>
                <w:sz w:val="16"/>
                <w:szCs w:val="16"/>
                <w:b w:val="1"/>
                <w:bCs w:val="1"/>
                <w:color w:val="FFFFFF"/>
                <w:highlight w:val="black"/>
              </w:rPr>
              <w:t>Total</w:t>
            </w:r>
          </w:p>
        </w:tc>
        <w:tc>
          <w:tcPr>
            <w:tcW w:w="640" w:type="dxa"/>
            <w:vAlign w:val="bottom"/>
            <w:tcBorders>
              <w:bottom w:val="single" w:sz="8" w:color="auto"/>
            </w:tcBorders>
            <w:shd w:val="clear" w:color="auto" w:fill="000000"/>
          </w:tcPr>
          <w:p>
            <w:pPr>
              <w:jc w:val="right"/>
              <w:ind w:right="27"/>
              <w:spacing w:after="0"/>
              <w:rPr>
                <w:sz w:val="20"/>
                <w:szCs w:val="20"/>
                <w:color w:val="auto"/>
              </w:rPr>
            </w:pPr>
            <w:r>
              <w:rPr>
                <w:rFonts w:ascii="Arial" w:cs="Arial" w:eastAsia="Arial" w:hAnsi="Arial"/>
                <w:sz w:val="16"/>
                <w:szCs w:val="16"/>
                <w:b w:val="1"/>
                <w:bCs w:val="1"/>
                <w:color w:val="FFFFFF"/>
                <w:highlight w:val="black"/>
              </w:rPr>
              <w:t>U.S.</w:t>
            </w:r>
          </w:p>
        </w:tc>
        <w:tc>
          <w:tcPr>
            <w:tcW w:w="900" w:type="dxa"/>
            <w:vAlign w:val="bottom"/>
            <w:tcBorders>
              <w:bottom w:val="single" w:sz="8" w:color="auto"/>
            </w:tcBorders>
            <w:shd w:val="clear" w:color="auto" w:fill="000000"/>
          </w:tcPr>
          <w:p>
            <w:pPr>
              <w:jc w:val="right"/>
              <w:ind w:right="45"/>
              <w:spacing w:after="0"/>
              <w:rPr>
                <w:sz w:val="20"/>
                <w:szCs w:val="20"/>
                <w:color w:val="auto"/>
              </w:rPr>
            </w:pPr>
            <w:r>
              <w:rPr>
                <w:rFonts w:ascii="Arial" w:cs="Arial" w:eastAsia="Arial" w:hAnsi="Arial"/>
                <w:sz w:val="16"/>
                <w:szCs w:val="16"/>
                <w:b w:val="1"/>
                <w:bCs w:val="1"/>
                <w:color w:val="FFFFFF"/>
                <w:highlight w:val="black"/>
              </w:rPr>
              <w:t>Non-U.S.</w:t>
            </w:r>
          </w:p>
        </w:tc>
        <w:tc>
          <w:tcPr>
            <w:tcW w:w="580" w:type="dxa"/>
            <w:vAlign w:val="bottom"/>
            <w:tcBorders>
              <w:bottom w:val="single" w:sz="8" w:color="auto"/>
            </w:tcBorders>
            <w:shd w:val="clear" w:color="auto" w:fill="000000"/>
          </w:tcPr>
          <w:p>
            <w:pPr>
              <w:jc w:val="right"/>
              <w:ind w:right="47"/>
              <w:spacing w:after="0"/>
              <w:rPr>
                <w:sz w:val="20"/>
                <w:szCs w:val="20"/>
                <w:color w:val="auto"/>
              </w:rPr>
            </w:pPr>
            <w:r>
              <w:rPr>
                <w:rFonts w:ascii="Arial" w:cs="Arial" w:eastAsia="Arial" w:hAnsi="Arial"/>
                <w:sz w:val="16"/>
                <w:szCs w:val="16"/>
                <w:b w:val="1"/>
                <w:bCs w:val="1"/>
                <w:color w:val="FFFFFF"/>
                <w:highlight w:val="black"/>
              </w:rPr>
              <w:t>Total</w:t>
            </w:r>
          </w:p>
        </w:tc>
        <w:tc>
          <w:tcPr>
            <w:tcW w:w="660" w:type="dxa"/>
            <w:vAlign w:val="bottom"/>
            <w:tcBorders>
              <w:bottom w:val="single" w:sz="8" w:color="auto"/>
            </w:tcBorders>
            <w:shd w:val="clear" w:color="auto" w:fill="000000"/>
          </w:tcPr>
          <w:p>
            <w:pPr>
              <w:jc w:val="right"/>
              <w:ind w:right="107"/>
              <w:spacing w:after="0"/>
              <w:rPr>
                <w:sz w:val="20"/>
                <w:szCs w:val="20"/>
                <w:color w:val="auto"/>
              </w:rPr>
            </w:pPr>
            <w:r>
              <w:rPr>
                <w:rFonts w:ascii="Arial" w:cs="Arial" w:eastAsia="Arial" w:hAnsi="Arial"/>
                <w:sz w:val="16"/>
                <w:szCs w:val="16"/>
                <w:b w:val="1"/>
                <w:bCs w:val="1"/>
                <w:color w:val="FFFFFF"/>
                <w:highlight w:val="black"/>
              </w:rPr>
              <w:t>U.S.</w:t>
            </w:r>
          </w:p>
        </w:tc>
        <w:tc>
          <w:tcPr>
            <w:tcW w:w="880" w:type="dxa"/>
            <w:vAlign w:val="bottom"/>
            <w:tcBorders>
              <w:bottom w:val="single" w:sz="8" w:color="auto"/>
            </w:tcBorders>
            <w:shd w:val="clear" w:color="auto" w:fill="000000"/>
          </w:tcPr>
          <w:p>
            <w:pPr>
              <w:jc w:val="right"/>
              <w:ind w:right="25"/>
              <w:spacing w:after="0"/>
              <w:rPr>
                <w:sz w:val="20"/>
                <w:szCs w:val="20"/>
                <w:color w:val="auto"/>
              </w:rPr>
            </w:pPr>
            <w:r>
              <w:rPr>
                <w:rFonts w:ascii="Arial" w:cs="Arial" w:eastAsia="Arial" w:hAnsi="Arial"/>
                <w:sz w:val="16"/>
                <w:szCs w:val="16"/>
                <w:b w:val="1"/>
                <w:bCs w:val="1"/>
                <w:color w:val="FFFFFF"/>
                <w:highlight w:val="black"/>
              </w:rPr>
              <w:t>Non-U.S.</w:t>
            </w:r>
          </w:p>
        </w:tc>
        <w:tc>
          <w:tcPr>
            <w:tcW w:w="640" w:type="dxa"/>
            <w:vAlign w:val="bottom"/>
            <w:tcBorders>
              <w:bottom w:val="single" w:sz="8" w:color="auto"/>
            </w:tcBorders>
            <w:shd w:val="clear" w:color="auto" w:fill="000000"/>
          </w:tcPr>
          <w:p>
            <w:pPr>
              <w:jc w:val="right"/>
              <w:ind w:right="67"/>
              <w:spacing w:after="0"/>
              <w:rPr>
                <w:sz w:val="20"/>
                <w:szCs w:val="20"/>
                <w:color w:val="auto"/>
              </w:rPr>
            </w:pPr>
            <w:r>
              <w:rPr>
                <w:rFonts w:ascii="Arial" w:cs="Arial" w:eastAsia="Arial" w:hAnsi="Arial"/>
                <w:sz w:val="16"/>
                <w:szCs w:val="16"/>
                <w:b w:val="1"/>
                <w:bCs w:val="1"/>
                <w:color w:val="FFFFFF"/>
                <w:highlight w:val="black"/>
              </w:rPr>
              <w:t>Total</w:t>
            </w:r>
          </w:p>
        </w:tc>
        <w:tc>
          <w:tcPr>
            <w:tcW w:w="0" w:type="dxa"/>
            <w:vAlign w:val="bottom"/>
          </w:tcPr>
          <w:p>
            <w:pPr>
              <w:spacing w:after="0"/>
              <w:rPr>
                <w:sz w:val="1"/>
                <w:szCs w:val="1"/>
                <w:color w:val="auto"/>
              </w:rPr>
            </w:pPr>
          </w:p>
        </w:tc>
      </w:tr>
      <w:tr>
        <w:trPr>
          <w:trHeight w:val="162"/>
        </w:trPr>
        <w:tc>
          <w:tcPr>
            <w:tcW w:w="3280" w:type="dxa"/>
            <w:vAlign w:val="bottom"/>
          </w:tcPr>
          <w:p>
            <w:pPr>
              <w:ind w:left="20"/>
              <w:spacing w:after="0"/>
              <w:rPr>
                <w:sz w:val="20"/>
                <w:szCs w:val="20"/>
                <w:color w:val="auto"/>
              </w:rPr>
            </w:pPr>
            <w:r>
              <w:rPr>
                <w:rFonts w:ascii="Arial" w:cs="Arial" w:eastAsia="Arial" w:hAnsi="Arial"/>
                <w:sz w:val="14"/>
                <w:szCs w:val="14"/>
                <w:color w:val="auto"/>
              </w:rPr>
              <w:t>Earnings (loss) (U.S. GAAP)</w:t>
            </w:r>
          </w:p>
        </w:tc>
        <w:tc>
          <w:tcPr>
            <w:tcW w:w="580" w:type="dxa"/>
            <w:vAlign w:val="bottom"/>
            <w:gridSpan w:val="3"/>
            <w:shd w:val="clear" w:color="auto" w:fill="F2F2F2"/>
          </w:tcPr>
          <w:p>
            <w:pPr>
              <w:jc w:val="right"/>
              <w:ind w:right="60"/>
              <w:spacing w:after="0"/>
              <w:rPr>
                <w:sz w:val="20"/>
                <w:szCs w:val="20"/>
                <w:color w:val="auto"/>
              </w:rPr>
            </w:pPr>
            <w:r>
              <w:rPr>
                <w:rFonts w:ascii="Arial" w:cs="Arial" w:eastAsia="Arial" w:hAnsi="Arial"/>
                <w:sz w:val="14"/>
                <w:szCs w:val="14"/>
                <w:color w:val="auto"/>
              </w:rPr>
              <w:t>8,340</w:t>
            </w:r>
          </w:p>
        </w:tc>
        <w:tc>
          <w:tcPr>
            <w:tcW w:w="940" w:type="dxa"/>
            <w:vAlign w:val="bottom"/>
            <w:shd w:val="clear" w:color="auto" w:fill="F2F2F2"/>
          </w:tcPr>
          <w:p>
            <w:pPr>
              <w:jc w:val="right"/>
              <w:ind w:right="45"/>
              <w:spacing w:after="0"/>
              <w:rPr>
                <w:sz w:val="20"/>
                <w:szCs w:val="20"/>
                <w:color w:val="auto"/>
              </w:rPr>
            </w:pPr>
            <w:r>
              <w:rPr>
                <w:rFonts w:ascii="Arial" w:cs="Arial" w:eastAsia="Arial" w:hAnsi="Arial"/>
                <w:sz w:val="14"/>
                <w:szCs w:val="14"/>
                <w:color w:val="auto"/>
              </w:rPr>
              <w:t>6,626</w:t>
            </w:r>
          </w:p>
        </w:tc>
        <w:tc>
          <w:tcPr>
            <w:tcW w:w="620" w:type="dxa"/>
            <w:vAlign w:val="bottom"/>
            <w:shd w:val="clear" w:color="auto" w:fill="F2F2F2"/>
          </w:tcPr>
          <w:p>
            <w:pPr>
              <w:jc w:val="right"/>
              <w:ind w:right="7"/>
              <w:spacing w:after="0"/>
              <w:rPr>
                <w:sz w:val="20"/>
                <w:szCs w:val="20"/>
                <w:color w:val="auto"/>
              </w:rPr>
            </w:pPr>
            <w:r>
              <w:rPr>
                <w:rFonts w:ascii="Arial" w:cs="Arial" w:eastAsia="Arial" w:hAnsi="Arial"/>
                <w:sz w:val="14"/>
                <w:szCs w:val="14"/>
                <w:color w:val="auto"/>
              </w:rPr>
              <w:t>14,966</w:t>
            </w:r>
          </w:p>
        </w:tc>
        <w:tc>
          <w:tcPr>
            <w:tcW w:w="640" w:type="dxa"/>
            <w:vAlign w:val="bottom"/>
          </w:tcPr>
          <w:p>
            <w:pPr>
              <w:jc w:val="right"/>
              <w:ind w:right="27"/>
              <w:spacing w:after="0"/>
              <w:rPr>
                <w:sz w:val="20"/>
                <w:szCs w:val="20"/>
                <w:color w:val="auto"/>
              </w:rPr>
            </w:pPr>
            <w:r>
              <w:rPr>
                <w:rFonts w:ascii="Arial" w:cs="Arial" w:eastAsia="Arial" w:hAnsi="Arial"/>
                <w:sz w:val="14"/>
                <w:szCs w:val="14"/>
                <w:color w:val="auto"/>
              </w:rPr>
              <w:t>668</w:t>
            </w:r>
          </w:p>
        </w:tc>
        <w:tc>
          <w:tcPr>
            <w:tcW w:w="900" w:type="dxa"/>
            <w:vAlign w:val="bottom"/>
          </w:tcPr>
          <w:p>
            <w:pPr>
              <w:jc w:val="right"/>
              <w:ind w:right="45"/>
              <w:spacing w:after="0"/>
              <w:rPr>
                <w:sz w:val="20"/>
                <w:szCs w:val="20"/>
                <w:color w:val="auto"/>
              </w:rPr>
            </w:pPr>
            <w:r>
              <w:rPr>
                <w:rFonts w:ascii="Arial" w:cs="Arial" w:eastAsia="Arial" w:hAnsi="Arial"/>
                <w:sz w:val="14"/>
                <w:szCs w:val="14"/>
                <w:color w:val="auto"/>
              </w:rPr>
              <w:t>(1,014)</w:t>
            </w:r>
          </w:p>
        </w:tc>
        <w:tc>
          <w:tcPr>
            <w:tcW w:w="580" w:type="dxa"/>
            <w:vAlign w:val="bottom"/>
          </w:tcPr>
          <w:p>
            <w:pPr>
              <w:jc w:val="right"/>
              <w:ind w:right="47"/>
              <w:spacing w:after="0"/>
              <w:rPr>
                <w:sz w:val="20"/>
                <w:szCs w:val="20"/>
                <w:color w:val="auto"/>
              </w:rPr>
            </w:pPr>
            <w:r>
              <w:rPr>
                <w:rFonts w:ascii="Arial" w:cs="Arial" w:eastAsia="Arial" w:hAnsi="Arial"/>
                <w:sz w:val="14"/>
                <w:szCs w:val="14"/>
                <w:color w:val="auto"/>
              </w:rPr>
              <w:t>(347)</w:t>
            </w:r>
          </w:p>
        </w:tc>
        <w:tc>
          <w:tcPr>
            <w:tcW w:w="660" w:type="dxa"/>
            <w:vAlign w:val="bottom"/>
          </w:tcPr>
          <w:p>
            <w:pPr>
              <w:jc w:val="right"/>
              <w:ind w:right="27"/>
              <w:spacing w:after="0"/>
              <w:rPr>
                <w:sz w:val="20"/>
                <w:szCs w:val="20"/>
                <w:color w:val="auto"/>
              </w:rPr>
            </w:pPr>
            <w:r>
              <w:rPr>
                <w:rFonts w:ascii="Arial" w:cs="Arial" w:eastAsia="Arial" w:hAnsi="Arial"/>
                <w:sz w:val="14"/>
                <w:szCs w:val="14"/>
                <w:color w:val="auto"/>
              </w:rPr>
              <w:t>(1,342)</w:t>
            </w:r>
          </w:p>
        </w:tc>
        <w:tc>
          <w:tcPr>
            <w:tcW w:w="880" w:type="dxa"/>
            <w:vAlign w:val="bottom"/>
          </w:tcPr>
          <w:p>
            <w:pPr>
              <w:jc w:val="right"/>
              <w:ind w:right="25"/>
              <w:spacing w:after="0"/>
              <w:rPr>
                <w:sz w:val="20"/>
                <w:szCs w:val="20"/>
                <w:color w:val="auto"/>
              </w:rPr>
            </w:pPr>
            <w:r>
              <w:rPr>
                <w:rFonts w:ascii="Arial" w:cs="Arial" w:eastAsia="Arial" w:hAnsi="Arial"/>
                <w:sz w:val="14"/>
                <w:szCs w:val="14"/>
                <w:color w:val="auto"/>
              </w:rPr>
              <w:t>(1,230)</w:t>
            </w:r>
          </w:p>
        </w:tc>
        <w:tc>
          <w:tcPr>
            <w:tcW w:w="640" w:type="dxa"/>
            <w:vAlign w:val="bottom"/>
          </w:tcPr>
          <w:p>
            <w:pPr>
              <w:jc w:val="right"/>
              <w:ind w:right="7"/>
              <w:spacing w:after="0"/>
              <w:rPr>
                <w:sz w:val="20"/>
                <w:szCs w:val="20"/>
                <w:color w:val="auto"/>
              </w:rPr>
            </w:pPr>
            <w:r>
              <w:rPr>
                <w:rFonts w:ascii="Arial" w:cs="Arial" w:eastAsia="Arial" w:hAnsi="Arial"/>
                <w:sz w:val="14"/>
                <w:szCs w:val="14"/>
                <w:color w:val="auto"/>
              </w:rPr>
              <w:t>(2,572)</w:t>
            </w:r>
          </w:p>
        </w:tc>
        <w:tc>
          <w:tcPr>
            <w:tcW w:w="0" w:type="dxa"/>
            <w:vAlign w:val="bottom"/>
          </w:tcPr>
          <w:p>
            <w:pPr>
              <w:spacing w:after="0"/>
              <w:rPr>
                <w:sz w:val="1"/>
                <w:szCs w:val="1"/>
                <w:color w:val="auto"/>
              </w:rPr>
            </w:pPr>
          </w:p>
        </w:tc>
      </w:tr>
      <w:tr>
        <w:trPr>
          <w:trHeight w:val="162"/>
        </w:trPr>
        <w:tc>
          <w:tcPr>
            <w:tcW w:w="3280" w:type="dxa"/>
            <w:vAlign w:val="bottom"/>
          </w:tcPr>
          <w:p>
            <w:pPr>
              <w:ind w:left="140"/>
              <w:spacing w:after="0"/>
              <w:rPr>
                <w:sz w:val="20"/>
                <w:szCs w:val="20"/>
                <w:color w:val="auto"/>
              </w:rPr>
            </w:pPr>
            <w:r>
              <w:rPr>
                <w:rFonts w:ascii="Arial" w:cs="Arial" w:eastAsia="Arial" w:hAnsi="Arial"/>
                <w:sz w:val="14"/>
                <w:szCs w:val="14"/>
                <w:color w:val="auto"/>
              </w:rPr>
              <w:t>Impairments</w:t>
            </w:r>
          </w:p>
        </w:tc>
        <w:tc>
          <w:tcPr>
            <w:tcW w:w="160" w:type="dxa"/>
            <w:vAlign w:val="bottom"/>
            <w:shd w:val="clear" w:color="auto" w:fill="F2F2F2"/>
          </w:tcPr>
          <w:p>
            <w:pPr>
              <w:spacing w:after="0"/>
              <w:rPr>
                <w:sz w:val="14"/>
                <w:szCs w:val="14"/>
                <w:color w:val="auto"/>
              </w:rPr>
            </w:pPr>
          </w:p>
        </w:tc>
        <w:tc>
          <w:tcPr>
            <w:tcW w:w="420" w:type="dxa"/>
            <w:vAlign w:val="bottom"/>
            <w:gridSpan w:val="2"/>
            <w:shd w:val="clear" w:color="auto" w:fill="F2F2F2"/>
          </w:tcPr>
          <w:p>
            <w:pPr>
              <w:jc w:val="right"/>
              <w:ind w:right="60"/>
              <w:spacing w:after="0"/>
              <w:rPr>
                <w:sz w:val="20"/>
                <w:szCs w:val="20"/>
                <w:color w:val="auto"/>
              </w:rPr>
            </w:pPr>
            <w:r>
              <w:rPr>
                <w:rFonts w:ascii="Arial" w:cs="Arial" w:eastAsia="Arial" w:hAnsi="Arial"/>
                <w:sz w:val="14"/>
                <w:szCs w:val="14"/>
                <w:color w:val="auto"/>
              </w:rPr>
              <w:t>(58)</w:t>
            </w:r>
          </w:p>
        </w:tc>
        <w:tc>
          <w:tcPr>
            <w:tcW w:w="940" w:type="dxa"/>
            <w:vAlign w:val="bottom"/>
            <w:shd w:val="clear" w:color="auto" w:fill="F2F2F2"/>
          </w:tcPr>
          <w:p>
            <w:pPr>
              <w:jc w:val="right"/>
              <w:ind w:right="45"/>
              <w:spacing w:after="0"/>
              <w:rPr>
                <w:sz w:val="20"/>
                <w:szCs w:val="20"/>
                <w:color w:val="auto"/>
              </w:rPr>
            </w:pPr>
            <w:r>
              <w:rPr>
                <w:rFonts w:ascii="Arial" w:cs="Arial" w:eastAsia="Arial" w:hAnsi="Arial"/>
                <w:sz w:val="14"/>
                <w:szCs w:val="14"/>
                <w:color w:val="auto"/>
              </w:rPr>
              <w:t>(216)</w:t>
            </w:r>
          </w:p>
        </w:tc>
        <w:tc>
          <w:tcPr>
            <w:tcW w:w="620" w:type="dxa"/>
            <w:vAlign w:val="bottom"/>
            <w:shd w:val="clear" w:color="auto" w:fill="F2F2F2"/>
          </w:tcPr>
          <w:p>
            <w:pPr>
              <w:jc w:val="right"/>
              <w:ind w:right="7"/>
              <w:spacing w:after="0"/>
              <w:rPr>
                <w:sz w:val="20"/>
                <w:szCs w:val="20"/>
                <w:color w:val="auto"/>
              </w:rPr>
            </w:pPr>
            <w:r>
              <w:rPr>
                <w:rFonts w:ascii="Arial" w:cs="Arial" w:eastAsia="Arial" w:hAnsi="Arial"/>
                <w:sz w:val="14"/>
                <w:szCs w:val="14"/>
                <w:color w:val="auto"/>
              </w:rPr>
              <w:t>(274)</w:t>
            </w:r>
          </w:p>
        </w:tc>
        <w:tc>
          <w:tcPr>
            <w:tcW w:w="640" w:type="dxa"/>
            <w:vAlign w:val="bottom"/>
          </w:tcPr>
          <w:p>
            <w:pPr>
              <w:jc w:val="right"/>
              <w:ind w:right="27"/>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5"/>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7"/>
              <w:spacing w:after="0"/>
              <w:rPr>
                <w:sz w:val="20"/>
                <w:szCs w:val="20"/>
                <w:color w:val="auto"/>
              </w:rPr>
            </w:pPr>
            <w:r>
              <w:rPr>
                <w:rFonts w:ascii="Arial" w:cs="Arial" w:eastAsia="Arial" w:hAnsi="Arial"/>
                <w:sz w:val="14"/>
                <w:szCs w:val="14"/>
                <w:color w:val="auto"/>
              </w:rPr>
              <w:t>(4)</w:t>
            </w:r>
          </w:p>
        </w:tc>
        <w:tc>
          <w:tcPr>
            <w:tcW w:w="880" w:type="dxa"/>
            <w:vAlign w:val="bottom"/>
          </w:tcPr>
          <w:p>
            <w:pPr>
              <w:jc w:val="right"/>
              <w:ind w:right="25"/>
              <w:spacing w:after="0"/>
              <w:rPr>
                <w:sz w:val="20"/>
                <w:szCs w:val="20"/>
                <w:color w:val="auto"/>
              </w:rPr>
            </w:pPr>
            <w:r>
              <w:rPr>
                <w:rFonts w:ascii="Arial" w:cs="Arial" w:eastAsia="Arial" w:hAnsi="Arial"/>
                <w:sz w:val="14"/>
                <w:szCs w:val="14"/>
                <w:color w:val="auto"/>
              </w:rPr>
              <w:t>(374)</w:t>
            </w:r>
          </w:p>
        </w:tc>
        <w:tc>
          <w:tcPr>
            <w:tcW w:w="640" w:type="dxa"/>
            <w:vAlign w:val="bottom"/>
          </w:tcPr>
          <w:p>
            <w:pPr>
              <w:jc w:val="right"/>
              <w:ind w:right="7"/>
              <w:spacing w:after="0"/>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Tax-related items</w:t>
            </w:r>
          </w:p>
        </w:tc>
        <w:tc>
          <w:tcPr>
            <w:tcW w:w="160" w:type="dxa"/>
            <w:vAlign w:val="bottom"/>
            <w:tcBorders>
              <w:bottom w:val="single" w:sz="8" w:color="F2F2F2"/>
            </w:tcBorders>
            <w:shd w:val="clear" w:color="auto" w:fill="F2F2F2"/>
          </w:tcPr>
          <w:p>
            <w:pPr>
              <w:spacing w:after="0"/>
              <w:rPr>
                <w:sz w:val="18"/>
                <w:szCs w:val="18"/>
                <w:color w:val="auto"/>
              </w:rPr>
            </w:pPr>
          </w:p>
        </w:tc>
        <w:tc>
          <w:tcPr>
            <w:tcW w:w="3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F2F2F2"/>
            </w:tcBorders>
            <w:shd w:val="clear" w:color="auto" w:fill="F2F2F2"/>
          </w:tcPr>
          <w:p>
            <w:pPr>
              <w:spacing w:after="0"/>
              <w:rPr>
                <w:sz w:val="18"/>
                <w:szCs w:val="18"/>
                <w:color w:val="auto"/>
              </w:rPr>
            </w:pPr>
          </w:p>
        </w:tc>
        <w:tc>
          <w:tcPr>
            <w:tcW w:w="940" w:type="dxa"/>
            <w:vAlign w:val="bottom"/>
            <w:tcBorders>
              <w:bottom w:val="single" w:sz="8" w:color="F2F2F2"/>
            </w:tcBorders>
            <w:shd w:val="clear" w:color="auto" w:fill="F2F2F2"/>
          </w:tcPr>
          <w:p>
            <w:pPr>
              <w:jc w:val="right"/>
              <w:ind w:right="45"/>
              <w:spacing w:after="0"/>
              <w:rPr>
                <w:sz w:val="20"/>
                <w:szCs w:val="20"/>
                <w:color w:val="auto"/>
              </w:rPr>
            </w:pPr>
            <w:r>
              <w:rPr>
                <w:rFonts w:ascii="Arial" w:cs="Arial" w:eastAsia="Arial" w:hAnsi="Arial"/>
                <w:sz w:val="14"/>
                <w:szCs w:val="14"/>
                <w:color w:val="auto"/>
              </w:rPr>
              <w:t>(410)</w:t>
            </w:r>
          </w:p>
        </w:tc>
        <w:tc>
          <w:tcPr>
            <w:tcW w:w="620" w:type="dxa"/>
            <w:vAlign w:val="bottom"/>
            <w:tcBorders>
              <w:bottom w:val="single" w:sz="8" w:color="F2F2F2"/>
            </w:tcBorders>
            <w:shd w:val="clear" w:color="auto" w:fill="F2F2F2"/>
          </w:tcPr>
          <w:p>
            <w:pPr>
              <w:jc w:val="right"/>
              <w:ind w:right="7"/>
              <w:spacing w:after="0"/>
              <w:rPr>
                <w:sz w:val="20"/>
                <w:szCs w:val="20"/>
                <w:color w:val="auto"/>
              </w:rPr>
            </w:pPr>
            <w:r>
              <w:rPr>
                <w:rFonts w:ascii="Arial" w:cs="Arial" w:eastAsia="Arial" w:hAnsi="Arial"/>
                <w:sz w:val="14"/>
                <w:szCs w:val="14"/>
                <w:color w:val="auto"/>
              </w:rPr>
              <w:t>(410)</w:t>
            </w:r>
          </w:p>
        </w:tc>
        <w:tc>
          <w:tcPr>
            <w:tcW w:w="640" w:type="dxa"/>
            <w:vAlign w:val="bottom"/>
          </w:tcPr>
          <w:p>
            <w:pPr>
              <w:jc w:val="right"/>
              <w:ind w:right="27"/>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5"/>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7"/>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5"/>
              <w:spacing w:after="0"/>
              <w:rPr>
                <w:sz w:val="20"/>
                <w:szCs w:val="20"/>
                <w:color w:val="auto"/>
              </w:rPr>
            </w:pPr>
            <w:r>
              <w:rPr>
                <w:rFonts w:ascii="Arial" w:cs="Arial" w:eastAsia="Arial" w:hAnsi="Arial"/>
                <w:sz w:val="14"/>
                <w:szCs w:val="14"/>
                <w:color w:val="auto"/>
              </w:rPr>
              <w:t>(262)</w:t>
            </w:r>
          </w:p>
        </w:tc>
        <w:tc>
          <w:tcPr>
            <w:tcW w:w="640" w:type="dxa"/>
            <w:vAlign w:val="bottom"/>
          </w:tcPr>
          <w:p>
            <w:pPr>
              <w:jc w:val="right"/>
              <w:ind w:right="7"/>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209"/>
        </w:trPr>
        <w:tc>
          <w:tcPr>
            <w:tcW w:w="32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Identified Items</w:t>
            </w:r>
          </w:p>
        </w:tc>
        <w:tc>
          <w:tcPr>
            <w:tcW w:w="160" w:type="dxa"/>
            <w:vAlign w:val="bottom"/>
            <w:tcBorders>
              <w:top w:val="single" w:sz="8" w:color="auto"/>
              <w:bottom w:val="single" w:sz="8" w:color="F2F2F2"/>
            </w:tcBorders>
            <w:shd w:val="clear" w:color="auto" w:fill="F2F2F2"/>
          </w:tcPr>
          <w:p>
            <w:pPr>
              <w:spacing w:after="0"/>
              <w:rPr>
                <w:sz w:val="18"/>
                <w:szCs w:val="18"/>
                <w:color w:val="auto"/>
              </w:rPr>
            </w:pPr>
          </w:p>
        </w:tc>
        <w:tc>
          <w:tcPr>
            <w:tcW w:w="360" w:type="dxa"/>
            <w:vAlign w:val="bottom"/>
            <w:tcBorders>
              <w:top w:val="single" w:sz="8" w:color="auto"/>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(58)</w:t>
            </w:r>
          </w:p>
        </w:tc>
        <w:tc>
          <w:tcPr>
            <w:tcW w:w="60" w:type="dxa"/>
            <w:vAlign w:val="bottom"/>
            <w:tcBorders>
              <w:top w:val="single" w:sz="8" w:color="auto"/>
              <w:bottom w:val="single" w:sz="8" w:color="F2F2F2"/>
            </w:tcBorders>
            <w:shd w:val="clear" w:color="auto" w:fill="F2F2F2"/>
          </w:tcPr>
          <w:p>
            <w:pPr>
              <w:spacing w:after="0"/>
              <w:rPr>
                <w:sz w:val="18"/>
                <w:szCs w:val="18"/>
                <w:color w:val="auto"/>
              </w:rPr>
            </w:pPr>
          </w:p>
        </w:tc>
        <w:tc>
          <w:tcPr>
            <w:tcW w:w="940" w:type="dxa"/>
            <w:vAlign w:val="bottom"/>
            <w:tcBorders>
              <w:top w:val="single" w:sz="8" w:color="auto"/>
              <w:bottom w:val="single" w:sz="8" w:color="F2F2F2"/>
            </w:tcBorders>
            <w:shd w:val="clear" w:color="auto" w:fill="F2F2F2"/>
          </w:tcPr>
          <w:p>
            <w:pPr>
              <w:jc w:val="right"/>
              <w:ind w:right="45"/>
              <w:spacing w:after="0"/>
              <w:rPr>
                <w:sz w:val="20"/>
                <w:szCs w:val="20"/>
                <w:color w:val="auto"/>
              </w:rPr>
            </w:pPr>
            <w:r>
              <w:rPr>
                <w:rFonts w:ascii="Arial" w:cs="Arial" w:eastAsia="Arial" w:hAnsi="Arial"/>
                <w:sz w:val="14"/>
                <w:szCs w:val="14"/>
                <w:color w:val="auto"/>
              </w:rPr>
              <w:t>(626)</w:t>
            </w:r>
          </w:p>
        </w:tc>
        <w:tc>
          <w:tcPr>
            <w:tcW w:w="620" w:type="dxa"/>
            <w:vAlign w:val="bottom"/>
            <w:tcBorders>
              <w:top w:val="single" w:sz="8" w:color="auto"/>
              <w:bottom w:val="single" w:sz="8" w:color="F2F2F2"/>
            </w:tcBorders>
            <w:shd w:val="clear" w:color="auto" w:fill="F2F2F2"/>
          </w:tcPr>
          <w:p>
            <w:pPr>
              <w:jc w:val="right"/>
              <w:ind w:right="7"/>
              <w:spacing w:after="0"/>
              <w:rPr>
                <w:sz w:val="20"/>
                <w:szCs w:val="20"/>
                <w:color w:val="auto"/>
              </w:rPr>
            </w:pPr>
            <w:r>
              <w:rPr>
                <w:rFonts w:ascii="Arial" w:cs="Arial" w:eastAsia="Arial" w:hAnsi="Arial"/>
                <w:sz w:val="14"/>
                <w:szCs w:val="14"/>
                <w:color w:val="auto"/>
              </w:rPr>
              <w:t>(684)</w:t>
            </w:r>
          </w:p>
        </w:tc>
        <w:tc>
          <w:tcPr>
            <w:tcW w:w="640" w:type="dxa"/>
            <w:vAlign w:val="bottom"/>
            <w:tcBorders>
              <w:top w:val="single" w:sz="8" w:color="auto"/>
            </w:tcBorders>
          </w:tcPr>
          <w:p>
            <w:pPr>
              <w:jc w:val="right"/>
              <w:ind w:right="27"/>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45"/>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ind w:right="27"/>
              <w:spacing w:after="0"/>
              <w:rPr>
                <w:sz w:val="20"/>
                <w:szCs w:val="20"/>
                <w:color w:val="auto"/>
              </w:rPr>
            </w:pPr>
            <w:r>
              <w:rPr>
                <w:rFonts w:ascii="Arial" w:cs="Arial" w:eastAsia="Arial" w:hAnsi="Arial"/>
                <w:sz w:val="14"/>
                <w:szCs w:val="14"/>
                <w:color w:val="auto"/>
              </w:rPr>
              <w:t>(4)</w:t>
            </w:r>
          </w:p>
        </w:tc>
        <w:tc>
          <w:tcPr>
            <w:tcW w:w="880" w:type="dxa"/>
            <w:vAlign w:val="bottom"/>
            <w:tcBorders>
              <w:top w:val="single" w:sz="8" w:color="auto"/>
            </w:tcBorders>
          </w:tcPr>
          <w:p>
            <w:pPr>
              <w:jc w:val="right"/>
              <w:ind w:right="25"/>
              <w:spacing w:after="0"/>
              <w:rPr>
                <w:sz w:val="20"/>
                <w:szCs w:val="20"/>
                <w:color w:val="auto"/>
              </w:rPr>
            </w:pPr>
            <w:r>
              <w:rPr>
                <w:rFonts w:ascii="Arial" w:cs="Arial" w:eastAsia="Arial" w:hAnsi="Arial"/>
                <w:sz w:val="14"/>
                <w:szCs w:val="14"/>
                <w:color w:val="auto"/>
              </w:rPr>
              <w:t>(636)</w:t>
            </w:r>
          </w:p>
        </w:tc>
        <w:tc>
          <w:tcPr>
            <w:tcW w:w="640" w:type="dxa"/>
            <w:vAlign w:val="bottom"/>
            <w:tcBorders>
              <w:top w:val="single" w:sz="8" w:color="auto"/>
            </w:tcBorders>
          </w:tcPr>
          <w:p>
            <w:pPr>
              <w:jc w:val="right"/>
              <w:ind w:right="7"/>
              <w:spacing w:after="0"/>
              <w:rPr>
                <w:sz w:val="20"/>
                <w:szCs w:val="20"/>
                <w:color w:val="auto"/>
              </w:rPr>
            </w:pPr>
            <w:r>
              <w:rPr>
                <w:rFonts w:ascii="Arial" w:cs="Arial" w:eastAsia="Arial" w:hAnsi="Arial"/>
                <w:sz w:val="14"/>
                <w:szCs w:val="14"/>
                <w:color w:val="auto"/>
              </w:rPr>
              <w:t>(640)</w:t>
            </w:r>
          </w:p>
        </w:tc>
        <w:tc>
          <w:tcPr>
            <w:tcW w:w="0" w:type="dxa"/>
            <w:vAlign w:val="bottom"/>
          </w:tcPr>
          <w:p>
            <w:pPr>
              <w:spacing w:after="0"/>
              <w:rPr>
                <w:sz w:val="1"/>
                <w:szCs w:val="1"/>
                <w:color w:val="auto"/>
              </w:rPr>
            </w:pPr>
          </w:p>
        </w:tc>
      </w:tr>
      <w:tr>
        <w:trPr>
          <w:trHeight w:val="146"/>
        </w:trPr>
        <w:tc>
          <w:tcPr>
            <w:tcW w:w="3280" w:type="dxa"/>
            <w:vAlign w:val="bottom"/>
            <w:tcBorders>
              <w:top w:val="single" w:sz="8" w:color="auto"/>
            </w:tcBorders>
          </w:tcPr>
          <w:p>
            <w:pPr>
              <w:ind w:left="20"/>
              <w:spacing w:after="0" w:line="147" w:lineRule="exact"/>
              <w:rPr>
                <w:sz w:val="20"/>
                <w:szCs w:val="20"/>
                <w:color w:val="auto"/>
              </w:rPr>
            </w:pPr>
            <w:r>
              <w:rPr>
                <w:rFonts w:ascii="Arial" w:cs="Arial" w:eastAsia="Arial" w:hAnsi="Arial"/>
                <w:sz w:val="14"/>
                <w:szCs w:val="14"/>
                <w:b w:val="1"/>
                <w:bCs w:val="1"/>
                <w:color w:val="auto"/>
              </w:rPr>
              <w:t>Earnings (loss) excluding Identified Items</w:t>
            </w:r>
          </w:p>
        </w:tc>
        <w:tc>
          <w:tcPr>
            <w:tcW w:w="160" w:type="dxa"/>
            <w:vAlign w:val="bottom"/>
            <w:tcBorders>
              <w:top w:val="single" w:sz="8" w:color="auto"/>
            </w:tcBorders>
            <w:shd w:val="clear" w:color="auto" w:fill="F2F2F2"/>
          </w:tcPr>
          <w:p>
            <w:pPr>
              <w:spacing w:after="0"/>
              <w:rPr>
                <w:sz w:val="12"/>
                <w:szCs w:val="12"/>
                <w:color w:val="auto"/>
              </w:rPr>
            </w:pPr>
          </w:p>
        </w:tc>
        <w:tc>
          <w:tcPr>
            <w:tcW w:w="360" w:type="dxa"/>
            <w:vAlign w:val="bottom"/>
            <w:tcBorders>
              <w:top w:val="single" w:sz="8" w:color="auto"/>
            </w:tcBorders>
            <w:vMerge w:val="restart"/>
            <w:shd w:val="clear" w:color="auto" w:fill="F2F2F2"/>
          </w:tcPr>
          <w:p>
            <w:pPr>
              <w:jc w:val="right"/>
              <w:spacing w:after="0"/>
              <w:rPr>
                <w:sz w:val="20"/>
                <w:szCs w:val="20"/>
                <w:color w:val="auto"/>
              </w:rPr>
            </w:pPr>
            <w:r>
              <w:rPr>
                <w:rFonts w:ascii="Arial" w:cs="Arial" w:eastAsia="Arial" w:hAnsi="Arial"/>
                <w:sz w:val="14"/>
                <w:szCs w:val="14"/>
                <w:b w:val="1"/>
                <w:bCs w:val="1"/>
                <w:color w:val="auto"/>
                <w:w w:val="96"/>
              </w:rPr>
              <w:t>8,398</w:t>
            </w:r>
          </w:p>
        </w:tc>
        <w:tc>
          <w:tcPr>
            <w:tcW w:w="60" w:type="dxa"/>
            <w:vAlign w:val="bottom"/>
            <w:tcBorders>
              <w:top w:val="single" w:sz="8" w:color="auto"/>
            </w:tcBorders>
            <w:shd w:val="clear" w:color="auto" w:fill="F2F2F2"/>
          </w:tcPr>
          <w:p>
            <w:pPr>
              <w:spacing w:after="0"/>
              <w:rPr>
                <w:sz w:val="12"/>
                <w:szCs w:val="12"/>
                <w:color w:val="auto"/>
              </w:rPr>
            </w:pPr>
          </w:p>
        </w:tc>
        <w:tc>
          <w:tcPr>
            <w:tcW w:w="940" w:type="dxa"/>
            <w:vAlign w:val="bottom"/>
            <w:tcBorders>
              <w:top w:val="single" w:sz="8" w:color="auto"/>
            </w:tcBorders>
            <w:vMerge w:val="restart"/>
            <w:shd w:val="clear" w:color="auto" w:fill="F2F2F2"/>
          </w:tcPr>
          <w:p>
            <w:pPr>
              <w:jc w:val="right"/>
              <w:ind w:right="45"/>
              <w:spacing w:after="0"/>
              <w:rPr>
                <w:sz w:val="20"/>
                <w:szCs w:val="20"/>
                <w:color w:val="auto"/>
              </w:rPr>
            </w:pPr>
            <w:r>
              <w:rPr>
                <w:rFonts w:ascii="Arial" w:cs="Arial" w:eastAsia="Arial" w:hAnsi="Arial"/>
                <w:sz w:val="14"/>
                <w:szCs w:val="14"/>
                <w:b w:val="1"/>
                <w:bCs w:val="1"/>
                <w:color w:val="auto"/>
              </w:rPr>
              <w:t>7,252</w:t>
            </w:r>
          </w:p>
        </w:tc>
        <w:tc>
          <w:tcPr>
            <w:tcW w:w="620" w:type="dxa"/>
            <w:vAlign w:val="bottom"/>
            <w:tcBorders>
              <w:top w:val="single" w:sz="8" w:color="auto"/>
            </w:tcBorders>
            <w:vMerge w:val="restart"/>
            <w:shd w:val="clear" w:color="auto" w:fill="F2F2F2"/>
          </w:tcPr>
          <w:p>
            <w:pPr>
              <w:jc w:val="right"/>
              <w:ind w:right="7"/>
              <w:spacing w:after="0"/>
              <w:rPr>
                <w:sz w:val="20"/>
                <w:szCs w:val="20"/>
                <w:color w:val="auto"/>
              </w:rPr>
            </w:pPr>
            <w:r>
              <w:rPr>
                <w:rFonts w:ascii="Arial" w:cs="Arial" w:eastAsia="Arial" w:hAnsi="Arial"/>
                <w:sz w:val="14"/>
                <w:szCs w:val="14"/>
                <w:b w:val="1"/>
                <w:bCs w:val="1"/>
                <w:color w:val="auto"/>
              </w:rPr>
              <w:t>15,650</w:t>
            </w:r>
          </w:p>
        </w:tc>
        <w:tc>
          <w:tcPr>
            <w:tcW w:w="640" w:type="dxa"/>
            <w:vAlign w:val="bottom"/>
            <w:tcBorders>
              <w:top w:val="single" w:sz="8" w:color="auto"/>
            </w:tcBorders>
            <w:vMerge w:val="restart"/>
          </w:tcPr>
          <w:p>
            <w:pPr>
              <w:jc w:val="right"/>
              <w:ind w:right="27"/>
              <w:spacing w:after="0"/>
              <w:rPr>
                <w:sz w:val="20"/>
                <w:szCs w:val="20"/>
                <w:color w:val="auto"/>
              </w:rPr>
            </w:pPr>
            <w:r>
              <w:rPr>
                <w:rFonts w:ascii="Arial" w:cs="Arial" w:eastAsia="Arial" w:hAnsi="Arial"/>
                <w:sz w:val="14"/>
                <w:szCs w:val="14"/>
                <w:b w:val="1"/>
                <w:bCs w:val="1"/>
                <w:color w:val="auto"/>
              </w:rPr>
              <w:t>668</w:t>
            </w:r>
          </w:p>
        </w:tc>
        <w:tc>
          <w:tcPr>
            <w:tcW w:w="900" w:type="dxa"/>
            <w:vAlign w:val="bottom"/>
            <w:tcBorders>
              <w:top w:val="single" w:sz="8" w:color="auto"/>
            </w:tcBorders>
            <w:vMerge w:val="restart"/>
          </w:tcPr>
          <w:p>
            <w:pPr>
              <w:jc w:val="right"/>
              <w:ind w:right="45"/>
              <w:spacing w:after="0"/>
              <w:rPr>
                <w:sz w:val="20"/>
                <w:szCs w:val="20"/>
                <w:color w:val="auto"/>
              </w:rPr>
            </w:pPr>
            <w:r>
              <w:rPr>
                <w:rFonts w:ascii="Arial" w:cs="Arial" w:eastAsia="Arial" w:hAnsi="Arial"/>
                <w:sz w:val="14"/>
                <w:szCs w:val="14"/>
                <w:b w:val="1"/>
                <w:bCs w:val="1"/>
                <w:color w:val="auto"/>
              </w:rPr>
              <w:t>(1,014)</w:t>
            </w:r>
          </w:p>
        </w:tc>
        <w:tc>
          <w:tcPr>
            <w:tcW w:w="580" w:type="dxa"/>
            <w:vAlign w:val="bottom"/>
            <w:tcBorders>
              <w:top w:val="single" w:sz="8" w:color="auto"/>
            </w:tcBorders>
            <w:vMerge w:val="restart"/>
          </w:tcPr>
          <w:p>
            <w:pPr>
              <w:jc w:val="right"/>
              <w:ind w:right="47"/>
              <w:spacing w:after="0"/>
              <w:rPr>
                <w:sz w:val="20"/>
                <w:szCs w:val="20"/>
                <w:color w:val="auto"/>
              </w:rPr>
            </w:pPr>
            <w:r>
              <w:rPr>
                <w:rFonts w:ascii="Arial" w:cs="Arial" w:eastAsia="Arial" w:hAnsi="Arial"/>
                <w:sz w:val="14"/>
                <w:szCs w:val="14"/>
                <w:b w:val="1"/>
                <w:bCs w:val="1"/>
                <w:color w:val="auto"/>
              </w:rPr>
              <w:t>(347)</w:t>
            </w:r>
          </w:p>
        </w:tc>
        <w:tc>
          <w:tcPr>
            <w:tcW w:w="660" w:type="dxa"/>
            <w:vAlign w:val="bottom"/>
            <w:tcBorders>
              <w:top w:val="single" w:sz="8" w:color="auto"/>
            </w:tcBorders>
            <w:vMerge w:val="restart"/>
          </w:tcPr>
          <w:p>
            <w:pPr>
              <w:jc w:val="right"/>
              <w:ind w:right="27"/>
              <w:spacing w:after="0"/>
              <w:rPr>
                <w:sz w:val="20"/>
                <w:szCs w:val="20"/>
                <w:color w:val="auto"/>
              </w:rPr>
            </w:pPr>
            <w:r>
              <w:rPr>
                <w:rFonts w:ascii="Arial" w:cs="Arial" w:eastAsia="Arial" w:hAnsi="Arial"/>
                <w:sz w:val="14"/>
                <w:szCs w:val="14"/>
                <w:b w:val="1"/>
                <w:bCs w:val="1"/>
                <w:color w:val="auto"/>
              </w:rPr>
              <w:t>(1,338)</w:t>
            </w:r>
          </w:p>
        </w:tc>
        <w:tc>
          <w:tcPr>
            <w:tcW w:w="880" w:type="dxa"/>
            <w:vAlign w:val="bottom"/>
            <w:tcBorders>
              <w:top w:val="single" w:sz="8" w:color="auto"/>
            </w:tcBorders>
            <w:vMerge w:val="restart"/>
          </w:tcPr>
          <w:p>
            <w:pPr>
              <w:jc w:val="right"/>
              <w:ind w:right="25"/>
              <w:spacing w:after="0"/>
              <w:rPr>
                <w:sz w:val="20"/>
                <w:szCs w:val="20"/>
                <w:color w:val="auto"/>
              </w:rPr>
            </w:pPr>
            <w:r>
              <w:rPr>
                <w:rFonts w:ascii="Arial" w:cs="Arial" w:eastAsia="Arial" w:hAnsi="Arial"/>
                <w:sz w:val="14"/>
                <w:szCs w:val="14"/>
                <w:b w:val="1"/>
                <w:bCs w:val="1"/>
                <w:color w:val="auto"/>
              </w:rPr>
              <w:t>(594)</w:t>
            </w:r>
          </w:p>
        </w:tc>
        <w:tc>
          <w:tcPr>
            <w:tcW w:w="640" w:type="dxa"/>
            <w:vAlign w:val="bottom"/>
            <w:tcBorders>
              <w:top w:val="single" w:sz="8" w:color="auto"/>
            </w:tcBorders>
            <w:vMerge w:val="restart"/>
          </w:tcPr>
          <w:p>
            <w:pPr>
              <w:jc w:val="right"/>
              <w:ind w:right="7"/>
              <w:spacing w:after="0"/>
              <w:rPr>
                <w:sz w:val="20"/>
                <w:szCs w:val="20"/>
                <w:color w:val="auto"/>
              </w:rPr>
            </w:pPr>
            <w:r>
              <w:rPr>
                <w:rFonts w:ascii="Arial" w:cs="Arial" w:eastAsia="Arial" w:hAnsi="Arial"/>
                <w:sz w:val="14"/>
                <w:szCs w:val="14"/>
                <w:b w:val="1"/>
                <w:bCs w:val="1"/>
                <w:color w:val="auto"/>
              </w:rPr>
              <w:t>(1,932)</w:t>
            </w:r>
          </w:p>
        </w:tc>
        <w:tc>
          <w:tcPr>
            <w:tcW w:w="0" w:type="dxa"/>
            <w:vAlign w:val="bottom"/>
          </w:tcPr>
          <w:p>
            <w:pPr>
              <w:spacing w:after="0"/>
              <w:rPr>
                <w:sz w:val="1"/>
                <w:szCs w:val="1"/>
                <w:color w:val="auto"/>
              </w:rPr>
            </w:pPr>
          </w:p>
        </w:tc>
      </w:tr>
      <w:tr>
        <w:trPr>
          <w:trHeight w:val="115"/>
        </w:trPr>
        <w:tc>
          <w:tcPr>
            <w:tcW w:w="3280" w:type="dxa"/>
            <w:vAlign w:val="bottom"/>
            <w:vMerge w:val="restart"/>
          </w:tcPr>
          <w:p>
            <w:pPr>
              <w:ind w:left="20"/>
              <w:spacing w:after="0"/>
              <w:rPr>
                <w:sz w:val="20"/>
                <w:szCs w:val="20"/>
                <w:color w:val="auto"/>
              </w:rPr>
            </w:pPr>
            <w:r>
              <w:rPr>
                <w:rFonts w:ascii="Arial" w:cs="Arial" w:eastAsia="Arial" w:hAnsi="Arial"/>
                <w:sz w:val="14"/>
                <w:szCs w:val="14"/>
                <w:color w:val="auto"/>
              </w:rPr>
              <w:t>(Non-GAAP)</w:t>
            </w:r>
          </w:p>
        </w:tc>
        <w:tc>
          <w:tcPr>
            <w:tcW w:w="160" w:type="dxa"/>
            <w:vAlign w:val="bottom"/>
            <w:shd w:val="clear" w:color="auto" w:fill="F2F2F2"/>
          </w:tcPr>
          <w:p>
            <w:pPr>
              <w:spacing w:after="0"/>
              <w:rPr>
                <w:sz w:val="10"/>
                <w:szCs w:val="10"/>
                <w:color w:val="auto"/>
              </w:rPr>
            </w:pPr>
          </w:p>
        </w:tc>
        <w:tc>
          <w:tcPr>
            <w:tcW w:w="360" w:type="dxa"/>
            <w:vAlign w:val="bottom"/>
            <w:vMerge w:val="continue"/>
            <w:shd w:val="clear" w:color="auto" w:fill="F2F2F2"/>
          </w:tcPr>
          <w:p>
            <w:pPr>
              <w:spacing w:after="0"/>
              <w:rPr>
                <w:sz w:val="10"/>
                <w:szCs w:val="10"/>
                <w:color w:val="auto"/>
              </w:rPr>
            </w:pPr>
          </w:p>
        </w:tc>
        <w:tc>
          <w:tcPr>
            <w:tcW w:w="60" w:type="dxa"/>
            <w:vAlign w:val="bottom"/>
            <w:shd w:val="clear" w:color="auto" w:fill="F2F2F2"/>
          </w:tcPr>
          <w:p>
            <w:pPr>
              <w:spacing w:after="0"/>
              <w:rPr>
                <w:sz w:val="10"/>
                <w:szCs w:val="10"/>
                <w:color w:val="auto"/>
              </w:rPr>
            </w:pPr>
          </w:p>
        </w:tc>
        <w:tc>
          <w:tcPr>
            <w:tcW w:w="940" w:type="dxa"/>
            <w:vAlign w:val="bottom"/>
            <w:vMerge w:val="continue"/>
            <w:shd w:val="clear" w:color="auto" w:fill="F2F2F2"/>
          </w:tcPr>
          <w:p>
            <w:pPr>
              <w:spacing w:after="0"/>
              <w:rPr>
                <w:sz w:val="10"/>
                <w:szCs w:val="10"/>
                <w:color w:val="auto"/>
              </w:rPr>
            </w:pPr>
          </w:p>
        </w:tc>
        <w:tc>
          <w:tcPr>
            <w:tcW w:w="620" w:type="dxa"/>
            <w:vAlign w:val="bottom"/>
            <w:vMerge w:val="continue"/>
            <w:shd w:val="clear" w:color="auto" w:fill="F2F2F2"/>
          </w:tcPr>
          <w:p>
            <w:pPr>
              <w:spacing w:after="0"/>
              <w:rPr>
                <w:sz w:val="10"/>
                <w:szCs w:val="10"/>
                <w:color w:val="auto"/>
              </w:rPr>
            </w:pPr>
          </w:p>
        </w:tc>
        <w:tc>
          <w:tcPr>
            <w:tcW w:w="6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328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tcBorders>
            <w:shd w:val="clear" w:color="auto" w:fill="F2F2F2"/>
          </w:tcPr>
          <w:p>
            <w:pPr>
              <w:spacing w:after="0"/>
              <w:rPr>
                <w:sz w:val="6"/>
                <w:szCs w:val="6"/>
                <w:color w:val="auto"/>
              </w:rPr>
            </w:pPr>
          </w:p>
        </w:tc>
        <w:tc>
          <w:tcPr>
            <w:tcW w:w="360" w:type="dxa"/>
            <w:vAlign w:val="bottom"/>
            <w:tcBorders>
              <w:bottom w:val="single" w:sz="8" w:color="auto"/>
            </w:tcBorders>
            <w:shd w:val="clear" w:color="auto" w:fill="F2F2F2"/>
          </w:tcPr>
          <w:p>
            <w:pPr>
              <w:spacing w:after="0"/>
              <w:rPr>
                <w:sz w:val="6"/>
                <w:szCs w:val="6"/>
                <w:color w:val="auto"/>
              </w:rPr>
            </w:pPr>
          </w:p>
        </w:tc>
        <w:tc>
          <w:tcPr>
            <w:tcW w:w="60" w:type="dxa"/>
            <w:vAlign w:val="bottom"/>
            <w:tcBorders>
              <w:bottom w:val="single" w:sz="8" w:color="auto"/>
            </w:tcBorders>
            <w:shd w:val="clear" w:color="auto" w:fill="F2F2F2"/>
          </w:tcPr>
          <w:p>
            <w:pPr>
              <w:spacing w:after="0"/>
              <w:rPr>
                <w:sz w:val="6"/>
                <w:szCs w:val="6"/>
                <w:color w:val="auto"/>
              </w:rPr>
            </w:pPr>
          </w:p>
        </w:tc>
        <w:tc>
          <w:tcPr>
            <w:tcW w:w="940" w:type="dxa"/>
            <w:vAlign w:val="bottom"/>
            <w:tcBorders>
              <w:bottom w:val="single" w:sz="8" w:color="auto"/>
            </w:tcBorders>
            <w:shd w:val="clear" w:color="auto" w:fill="F2F2F2"/>
          </w:tcPr>
          <w:p>
            <w:pPr>
              <w:spacing w:after="0"/>
              <w:rPr>
                <w:sz w:val="6"/>
                <w:szCs w:val="6"/>
                <w:color w:val="auto"/>
              </w:rPr>
            </w:pPr>
          </w:p>
        </w:tc>
        <w:tc>
          <w:tcPr>
            <w:tcW w:w="620" w:type="dxa"/>
            <w:vAlign w:val="bottom"/>
            <w:tcBorders>
              <w:bottom w:val="single" w:sz="8" w:color="auto"/>
            </w:tcBorders>
            <w:shd w:val="clear" w:color="auto" w:fill="F2F2F2"/>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tbl>
      <w:tblPr>
        <w:tblLayout w:type="fixed"/>
        <w:tblInd w:w="760" w:type="dxa"/>
        <w:tblCellMar>
          <w:top w:w="0" w:type="dxa"/>
          <w:left w:w="0" w:type="dxa"/>
          <w:bottom w:w="0" w:type="dxa"/>
          <w:right w:w="0" w:type="dxa"/>
        </w:tblCellMar>
      </w:tblPr>
      <w:tr>
        <w:trPr>
          <w:trHeight w:val="189"/>
        </w:trPr>
        <w:tc>
          <w:tcPr>
            <w:tcW w:w="2820" w:type="dxa"/>
            <w:vAlign w:val="bottom"/>
            <w:shd w:val="clear" w:color="auto" w:fill="000000"/>
          </w:tcPr>
          <w:p>
            <w:pPr>
              <w:ind w:left="20"/>
              <w:spacing w:after="0"/>
              <w:rPr>
                <w:sz w:val="20"/>
                <w:szCs w:val="20"/>
                <w:color w:val="auto"/>
              </w:rPr>
            </w:pPr>
            <w:r>
              <w:rPr>
                <w:rFonts w:ascii="Arial" w:cs="Arial" w:eastAsia="Arial" w:hAnsi="Arial"/>
                <w:sz w:val="16"/>
                <w:szCs w:val="16"/>
                <w:b w:val="1"/>
                <w:bCs w:val="1"/>
                <w:color w:val="FFFFFF"/>
              </w:rPr>
              <w:t>Chemical Products</w:t>
            </w:r>
          </w:p>
        </w:tc>
        <w:tc>
          <w:tcPr>
            <w:tcW w:w="220" w:type="dxa"/>
            <w:vAlign w:val="bottom"/>
            <w:shd w:val="clear" w:color="auto" w:fill="000000"/>
          </w:tcPr>
          <w:p>
            <w:pPr>
              <w:spacing w:after="0"/>
              <w:rPr>
                <w:sz w:val="16"/>
                <w:szCs w:val="16"/>
                <w:color w:val="auto"/>
              </w:rPr>
            </w:pPr>
          </w:p>
        </w:tc>
        <w:tc>
          <w:tcPr>
            <w:tcW w:w="360" w:type="dxa"/>
            <w:vAlign w:val="bottom"/>
            <w:shd w:val="clear" w:color="auto" w:fill="000000"/>
          </w:tcPr>
          <w:p>
            <w:pPr>
              <w:spacing w:after="0"/>
              <w:rPr>
                <w:sz w:val="16"/>
                <w:szCs w:val="16"/>
                <w:color w:val="auto"/>
              </w:rPr>
            </w:pPr>
          </w:p>
        </w:tc>
        <w:tc>
          <w:tcPr>
            <w:tcW w:w="60" w:type="dxa"/>
            <w:vAlign w:val="bottom"/>
            <w:shd w:val="clear" w:color="auto" w:fill="000000"/>
          </w:tcPr>
          <w:p>
            <w:pPr>
              <w:spacing w:after="0"/>
              <w:rPr>
                <w:sz w:val="16"/>
                <w:szCs w:val="16"/>
                <w:color w:val="auto"/>
              </w:rPr>
            </w:pPr>
          </w:p>
        </w:tc>
        <w:tc>
          <w:tcPr>
            <w:tcW w:w="1020" w:type="dxa"/>
            <w:vAlign w:val="bottom"/>
            <w:shd w:val="clear" w:color="auto" w:fill="000000"/>
          </w:tcPr>
          <w:p>
            <w:pPr>
              <w:jc w:val="right"/>
              <w:ind w:right="205"/>
              <w:spacing w:after="0"/>
              <w:rPr>
                <w:sz w:val="20"/>
                <w:szCs w:val="20"/>
                <w:color w:val="auto"/>
              </w:rPr>
            </w:pPr>
            <w:r>
              <w:rPr>
                <w:rFonts w:ascii="Arial" w:cs="Arial" w:eastAsia="Arial" w:hAnsi="Arial"/>
                <w:sz w:val="16"/>
                <w:szCs w:val="16"/>
                <w:b w:val="1"/>
                <w:bCs w:val="1"/>
                <w:color w:val="FFFFFF"/>
              </w:rPr>
              <w:t>2022</w:t>
            </w:r>
          </w:p>
        </w:tc>
        <w:tc>
          <w:tcPr>
            <w:tcW w:w="620" w:type="dxa"/>
            <w:vAlign w:val="bottom"/>
            <w:shd w:val="clear" w:color="auto" w:fill="000000"/>
          </w:tcPr>
          <w:p>
            <w:pPr>
              <w:spacing w:after="0"/>
              <w:rPr>
                <w:sz w:val="16"/>
                <w:szCs w:val="16"/>
                <w:color w:val="auto"/>
              </w:rPr>
            </w:pPr>
          </w:p>
        </w:tc>
        <w:tc>
          <w:tcPr>
            <w:tcW w:w="760" w:type="dxa"/>
            <w:vAlign w:val="bottom"/>
            <w:shd w:val="clear" w:color="auto" w:fill="000000"/>
          </w:tcPr>
          <w:p>
            <w:pPr>
              <w:spacing w:after="0"/>
              <w:rPr>
                <w:sz w:val="16"/>
                <w:szCs w:val="16"/>
                <w:color w:val="auto"/>
              </w:rPr>
            </w:pPr>
          </w:p>
        </w:tc>
        <w:tc>
          <w:tcPr>
            <w:tcW w:w="960" w:type="dxa"/>
            <w:vAlign w:val="bottom"/>
            <w:shd w:val="clear" w:color="auto" w:fill="000000"/>
          </w:tcPr>
          <w:p>
            <w:pPr>
              <w:jc w:val="right"/>
              <w:ind w:right="225"/>
              <w:spacing w:after="0"/>
              <w:rPr>
                <w:sz w:val="20"/>
                <w:szCs w:val="20"/>
                <w:color w:val="auto"/>
              </w:rPr>
            </w:pPr>
            <w:r>
              <w:rPr>
                <w:rFonts w:ascii="Arial" w:cs="Arial" w:eastAsia="Arial" w:hAnsi="Arial"/>
                <w:sz w:val="16"/>
                <w:szCs w:val="16"/>
                <w:b w:val="1"/>
                <w:bCs w:val="1"/>
                <w:color w:val="FFFFFF"/>
              </w:rPr>
              <w:t>2021</w:t>
            </w:r>
          </w:p>
        </w:tc>
        <w:tc>
          <w:tcPr>
            <w:tcW w:w="680" w:type="dxa"/>
            <w:vAlign w:val="bottom"/>
            <w:shd w:val="clear" w:color="auto" w:fill="000000"/>
          </w:tcPr>
          <w:p>
            <w:pPr>
              <w:spacing w:after="0"/>
              <w:rPr>
                <w:sz w:val="16"/>
                <w:szCs w:val="16"/>
                <w:color w:val="auto"/>
              </w:rPr>
            </w:pPr>
          </w:p>
        </w:tc>
        <w:tc>
          <w:tcPr>
            <w:tcW w:w="680" w:type="dxa"/>
            <w:vAlign w:val="bottom"/>
            <w:shd w:val="clear" w:color="auto" w:fill="000000"/>
          </w:tcPr>
          <w:p>
            <w:pPr>
              <w:spacing w:after="0"/>
              <w:rPr>
                <w:sz w:val="16"/>
                <w:szCs w:val="16"/>
                <w:color w:val="auto"/>
              </w:rPr>
            </w:pPr>
          </w:p>
        </w:tc>
        <w:tc>
          <w:tcPr>
            <w:tcW w:w="940" w:type="dxa"/>
            <w:vAlign w:val="bottom"/>
            <w:shd w:val="clear" w:color="auto" w:fill="000000"/>
          </w:tcPr>
          <w:p>
            <w:pPr>
              <w:jc w:val="right"/>
              <w:ind w:right="205"/>
              <w:spacing w:after="0"/>
              <w:rPr>
                <w:sz w:val="20"/>
                <w:szCs w:val="20"/>
                <w:color w:val="auto"/>
              </w:rPr>
            </w:pPr>
            <w:r>
              <w:rPr>
                <w:rFonts w:ascii="Arial" w:cs="Arial" w:eastAsia="Arial" w:hAnsi="Arial"/>
                <w:sz w:val="16"/>
                <w:szCs w:val="16"/>
                <w:b w:val="1"/>
                <w:bCs w:val="1"/>
                <w:color w:val="FFFFFF"/>
              </w:rPr>
              <w:t>2020</w:t>
            </w:r>
          </w:p>
        </w:tc>
        <w:tc>
          <w:tcPr>
            <w:tcW w:w="60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820" w:type="dxa"/>
            <w:vAlign w:val="bottom"/>
            <w:tcBorders>
              <w:bottom w:val="single" w:sz="8" w:color="auto"/>
            </w:tcBorders>
            <w:shd w:val="clear" w:color="auto" w:fill="000000"/>
          </w:tcPr>
          <w:p>
            <w:pPr>
              <w:ind w:left="20"/>
              <w:spacing w:after="0"/>
              <w:rPr>
                <w:sz w:val="20"/>
                <w:szCs w:val="20"/>
                <w:color w:val="auto"/>
              </w:rPr>
            </w:pPr>
            <w:r>
              <w:rPr>
                <w:rFonts w:ascii="Arial" w:cs="Arial" w:eastAsia="Arial" w:hAnsi="Arial"/>
                <w:sz w:val="14"/>
                <w:szCs w:val="14"/>
                <w:i w:val="1"/>
                <w:iCs w:val="1"/>
                <w:color w:val="FFFFFF"/>
              </w:rPr>
              <w:t>(millions of dollars)</w:t>
            </w:r>
          </w:p>
        </w:tc>
        <w:tc>
          <w:tcPr>
            <w:tcW w:w="220" w:type="dxa"/>
            <w:vAlign w:val="bottom"/>
            <w:tcBorders>
              <w:bottom w:val="single" w:sz="8" w:color="auto"/>
            </w:tcBorders>
            <w:shd w:val="clear" w:color="auto" w:fill="000000"/>
          </w:tcPr>
          <w:p>
            <w:pPr>
              <w:spacing w:after="0"/>
              <w:rPr>
                <w:sz w:val="19"/>
                <w:szCs w:val="19"/>
                <w:color w:val="auto"/>
              </w:rPr>
            </w:pPr>
          </w:p>
        </w:tc>
        <w:tc>
          <w:tcPr>
            <w:tcW w:w="420" w:type="dxa"/>
            <w:vAlign w:val="bottom"/>
            <w:tcBorders>
              <w:bottom w:val="single" w:sz="8" w:color="auto"/>
            </w:tcBorders>
            <w:gridSpan w:val="2"/>
            <w:shd w:val="clear" w:color="auto" w:fill="000000"/>
          </w:tcPr>
          <w:p>
            <w:pPr>
              <w:jc w:val="right"/>
              <w:ind w:right="80"/>
              <w:spacing w:after="0"/>
              <w:rPr>
                <w:sz w:val="20"/>
                <w:szCs w:val="20"/>
                <w:color w:val="auto"/>
              </w:rPr>
            </w:pPr>
            <w:r>
              <w:rPr>
                <w:rFonts w:ascii="Arial" w:cs="Arial" w:eastAsia="Arial" w:hAnsi="Arial"/>
                <w:sz w:val="16"/>
                <w:szCs w:val="16"/>
                <w:b w:val="1"/>
                <w:bCs w:val="1"/>
                <w:color w:val="FFFFFF"/>
                <w:highlight w:val="black"/>
              </w:rPr>
              <w:t>U.S.</w:t>
            </w:r>
          </w:p>
        </w:tc>
        <w:tc>
          <w:tcPr>
            <w:tcW w:w="1020" w:type="dxa"/>
            <w:vAlign w:val="bottom"/>
            <w:tcBorders>
              <w:bottom w:val="single" w:sz="8" w:color="auto"/>
            </w:tcBorders>
            <w:shd w:val="clear" w:color="auto" w:fill="000000"/>
          </w:tcPr>
          <w:p>
            <w:pPr>
              <w:jc w:val="right"/>
              <w:ind w:right="45"/>
              <w:spacing w:after="0"/>
              <w:rPr>
                <w:sz w:val="20"/>
                <w:szCs w:val="20"/>
                <w:color w:val="auto"/>
              </w:rPr>
            </w:pPr>
            <w:r>
              <w:rPr>
                <w:rFonts w:ascii="Arial" w:cs="Arial" w:eastAsia="Arial" w:hAnsi="Arial"/>
                <w:sz w:val="16"/>
                <w:szCs w:val="16"/>
                <w:b w:val="1"/>
                <w:bCs w:val="1"/>
                <w:color w:val="FFFFFF"/>
                <w:highlight w:val="black"/>
              </w:rPr>
              <w:t>Non-U.S.</w:t>
            </w:r>
          </w:p>
        </w:tc>
        <w:tc>
          <w:tcPr>
            <w:tcW w:w="620" w:type="dxa"/>
            <w:vAlign w:val="bottom"/>
            <w:tcBorders>
              <w:bottom w:val="single" w:sz="8" w:color="auto"/>
            </w:tcBorders>
            <w:shd w:val="clear" w:color="auto" w:fill="000000"/>
          </w:tcPr>
          <w:p>
            <w:pPr>
              <w:jc w:val="right"/>
              <w:ind w:right="47"/>
              <w:spacing w:after="0"/>
              <w:rPr>
                <w:sz w:val="20"/>
                <w:szCs w:val="20"/>
                <w:color w:val="auto"/>
              </w:rPr>
            </w:pPr>
            <w:r>
              <w:rPr>
                <w:rFonts w:ascii="Arial" w:cs="Arial" w:eastAsia="Arial" w:hAnsi="Arial"/>
                <w:sz w:val="16"/>
                <w:szCs w:val="16"/>
                <w:b w:val="1"/>
                <w:bCs w:val="1"/>
                <w:color w:val="FFFFFF"/>
                <w:highlight w:val="black"/>
              </w:rPr>
              <w:t>Total</w:t>
            </w:r>
          </w:p>
        </w:tc>
        <w:tc>
          <w:tcPr>
            <w:tcW w:w="760" w:type="dxa"/>
            <w:vAlign w:val="bottom"/>
            <w:tcBorders>
              <w:bottom w:val="single" w:sz="8" w:color="auto"/>
            </w:tcBorders>
            <w:shd w:val="clear" w:color="auto" w:fill="000000"/>
          </w:tcPr>
          <w:p>
            <w:pPr>
              <w:jc w:val="right"/>
              <w:ind w:right="87"/>
              <w:spacing w:after="0"/>
              <w:rPr>
                <w:sz w:val="20"/>
                <w:szCs w:val="20"/>
                <w:color w:val="auto"/>
              </w:rPr>
            </w:pPr>
            <w:r>
              <w:rPr>
                <w:rFonts w:ascii="Arial" w:cs="Arial" w:eastAsia="Arial" w:hAnsi="Arial"/>
                <w:sz w:val="16"/>
                <w:szCs w:val="16"/>
                <w:b w:val="1"/>
                <w:bCs w:val="1"/>
                <w:color w:val="FFFFFF"/>
                <w:highlight w:val="black"/>
              </w:rPr>
              <w:t>U.S.</w:t>
            </w:r>
          </w:p>
        </w:tc>
        <w:tc>
          <w:tcPr>
            <w:tcW w:w="960" w:type="dxa"/>
            <w:vAlign w:val="bottom"/>
            <w:tcBorders>
              <w:bottom w:val="single" w:sz="8" w:color="auto"/>
            </w:tcBorders>
            <w:shd w:val="clear" w:color="auto" w:fill="000000"/>
          </w:tcPr>
          <w:p>
            <w:pPr>
              <w:jc w:val="right"/>
              <w:ind w:right="65"/>
              <w:spacing w:after="0"/>
              <w:rPr>
                <w:sz w:val="20"/>
                <w:szCs w:val="20"/>
                <w:color w:val="auto"/>
              </w:rPr>
            </w:pPr>
            <w:r>
              <w:rPr>
                <w:rFonts w:ascii="Arial" w:cs="Arial" w:eastAsia="Arial" w:hAnsi="Arial"/>
                <w:sz w:val="16"/>
                <w:szCs w:val="16"/>
                <w:b w:val="1"/>
                <w:bCs w:val="1"/>
                <w:color w:val="FFFFFF"/>
                <w:highlight w:val="black"/>
              </w:rPr>
              <w:t>Non-U.S.</w:t>
            </w:r>
          </w:p>
        </w:tc>
        <w:tc>
          <w:tcPr>
            <w:tcW w:w="680" w:type="dxa"/>
            <w:vAlign w:val="bottom"/>
            <w:tcBorders>
              <w:bottom w:val="single" w:sz="8" w:color="auto"/>
            </w:tcBorders>
            <w:shd w:val="clear" w:color="auto" w:fill="000000"/>
          </w:tcPr>
          <w:p>
            <w:pPr>
              <w:jc w:val="right"/>
              <w:ind w:right="87"/>
              <w:spacing w:after="0"/>
              <w:rPr>
                <w:sz w:val="20"/>
                <w:szCs w:val="20"/>
                <w:color w:val="auto"/>
              </w:rPr>
            </w:pPr>
            <w:r>
              <w:rPr>
                <w:rFonts w:ascii="Arial" w:cs="Arial" w:eastAsia="Arial" w:hAnsi="Arial"/>
                <w:sz w:val="16"/>
                <w:szCs w:val="16"/>
                <w:b w:val="1"/>
                <w:bCs w:val="1"/>
                <w:color w:val="FFFFFF"/>
                <w:highlight w:val="black"/>
              </w:rPr>
              <w:t>Total</w:t>
            </w:r>
          </w:p>
        </w:tc>
        <w:tc>
          <w:tcPr>
            <w:tcW w:w="680" w:type="dxa"/>
            <w:vAlign w:val="bottom"/>
            <w:tcBorders>
              <w:bottom w:val="single" w:sz="8" w:color="auto"/>
            </w:tcBorders>
            <w:shd w:val="clear" w:color="auto" w:fill="000000"/>
          </w:tcPr>
          <w:p>
            <w:pPr>
              <w:jc w:val="right"/>
              <w:ind w:right="127"/>
              <w:spacing w:after="0"/>
              <w:rPr>
                <w:sz w:val="20"/>
                <w:szCs w:val="20"/>
                <w:color w:val="auto"/>
              </w:rPr>
            </w:pPr>
            <w:r>
              <w:rPr>
                <w:rFonts w:ascii="Arial" w:cs="Arial" w:eastAsia="Arial" w:hAnsi="Arial"/>
                <w:sz w:val="16"/>
                <w:szCs w:val="16"/>
                <w:b w:val="1"/>
                <w:bCs w:val="1"/>
                <w:color w:val="FFFFFF"/>
                <w:highlight w:val="black"/>
              </w:rPr>
              <w:t>U.S.</w:t>
            </w:r>
          </w:p>
        </w:tc>
        <w:tc>
          <w:tcPr>
            <w:tcW w:w="940" w:type="dxa"/>
            <w:vAlign w:val="bottom"/>
            <w:tcBorders>
              <w:bottom w:val="single" w:sz="8" w:color="auto"/>
            </w:tcBorders>
            <w:shd w:val="clear" w:color="auto" w:fill="000000"/>
          </w:tcPr>
          <w:p>
            <w:pPr>
              <w:jc w:val="right"/>
              <w:ind w:right="45"/>
              <w:spacing w:after="0"/>
              <w:rPr>
                <w:sz w:val="20"/>
                <w:szCs w:val="20"/>
                <w:color w:val="auto"/>
              </w:rPr>
            </w:pPr>
            <w:r>
              <w:rPr>
                <w:rFonts w:ascii="Arial" w:cs="Arial" w:eastAsia="Arial" w:hAnsi="Arial"/>
                <w:sz w:val="16"/>
                <w:szCs w:val="16"/>
                <w:b w:val="1"/>
                <w:bCs w:val="1"/>
                <w:color w:val="FFFFFF"/>
                <w:highlight w:val="black"/>
              </w:rPr>
              <w:t>Non-U.S.</w:t>
            </w:r>
          </w:p>
        </w:tc>
        <w:tc>
          <w:tcPr>
            <w:tcW w:w="600" w:type="dxa"/>
            <w:vAlign w:val="bottom"/>
            <w:tcBorders>
              <w:bottom w:val="single" w:sz="8" w:color="auto"/>
            </w:tcBorders>
            <w:shd w:val="clear" w:color="auto" w:fill="000000"/>
          </w:tcPr>
          <w:p>
            <w:pPr>
              <w:jc w:val="right"/>
              <w:ind w:right="47"/>
              <w:spacing w:after="0"/>
              <w:rPr>
                <w:sz w:val="20"/>
                <w:szCs w:val="20"/>
                <w:color w:val="auto"/>
              </w:rPr>
            </w:pPr>
            <w:r>
              <w:rPr>
                <w:rFonts w:ascii="Arial" w:cs="Arial" w:eastAsia="Arial" w:hAnsi="Arial"/>
                <w:sz w:val="16"/>
                <w:szCs w:val="16"/>
                <w:b w:val="1"/>
                <w:bCs w:val="1"/>
                <w:color w:val="FFFFFF"/>
                <w:highlight w:val="black"/>
              </w:rPr>
              <w:t>Total</w:t>
            </w:r>
          </w:p>
        </w:tc>
        <w:tc>
          <w:tcPr>
            <w:tcW w:w="0" w:type="dxa"/>
            <w:vAlign w:val="bottom"/>
          </w:tcPr>
          <w:p>
            <w:pPr>
              <w:spacing w:after="0"/>
              <w:rPr>
                <w:sz w:val="1"/>
                <w:szCs w:val="1"/>
                <w:color w:val="auto"/>
              </w:rPr>
            </w:pPr>
          </w:p>
        </w:tc>
      </w:tr>
      <w:tr>
        <w:trPr>
          <w:trHeight w:val="162"/>
        </w:trPr>
        <w:tc>
          <w:tcPr>
            <w:tcW w:w="2820" w:type="dxa"/>
            <w:vAlign w:val="bottom"/>
          </w:tcPr>
          <w:p>
            <w:pPr>
              <w:ind w:left="20"/>
              <w:spacing w:after="0"/>
              <w:rPr>
                <w:sz w:val="20"/>
                <w:szCs w:val="20"/>
                <w:color w:val="auto"/>
              </w:rPr>
            </w:pPr>
            <w:r>
              <w:rPr>
                <w:rFonts w:ascii="Arial" w:cs="Arial" w:eastAsia="Arial" w:hAnsi="Arial"/>
                <w:sz w:val="14"/>
                <w:szCs w:val="14"/>
                <w:color w:val="auto"/>
              </w:rPr>
              <w:t>Earnings (loss) (U.S. GAAP)</w:t>
            </w:r>
          </w:p>
        </w:tc>
        <w:tc>
          <w:tcPr>
            <w:tcW w:w="640" w:type="dxa"/>
            <w:vAlign w:val="bottom"/>
            <w:gridSpan w:val="3"/>
            <w:shd w:val="clear" w:color="auto" w:fill="F2F2F2"/>
          </w:tcPr>
          <w:p>
            <w:pPr>
              <w:jc w:val="right"/>
              <w:ind w:right="60"/>
              <w:spacing w:after="0"/>
              <w:rPr>
                <w:sz w:val="20"/>
                <w:szCs w:val="20"/>
                <w:color w:val="auto"/>
              </w:rPr>
            </w:pPr>
            <w:r>
              <w:rPr>
                <w:rFonts w:ascii="Arial" w:cs="Arial" w:eastAsia="Arial" w:hAnsi="Arial"/>
                <w:sz w:val="14"/>
                <w:szCs w:val="14"/>
                <w:color w:val="auto"/>
              </w:rPr>
              <w:t>2,328</w:t>
            </w:r>
          </w:p>
        </w:tc>
        <w:tc>
          <w:tcPr>
            <w:tcW w:w="1020" w:type="dxa"/>
            <w:vAlign w:val="bottom"/>
            <w:shd w:val="clear" w:color="auto" w:fill="F2F2F2"/>
          </w:tcPr>
          <w:p>
            <w:pPr>
              <w:jc w:val="right"/>
              <w:ind w:right="45"/>
              <w:spacing w:after="0"/>
              <w:rPr>
                <w:sz w:val="20"/>
                <w:szCs w:val="20"/>
                <w:color w:val="auto"/>
              </w:rPr>
            </w:pPr>
            <w:r>
              <w:rPr>
                <w:rFonts w:ascii="Arial" w:cs="Arial" w:eastAsia="Arial" w:hAnsi="Arial"/>
                <w:sz w:val="14"/>
                <w:szCs w:val="14"/>
                <w:color w:val="auto"/>
              </w:rPr>
              <w:t>1,215</w:t>
            </w:r>
          </w:p>
        </w:tc>
        <w:tc>
          <w:tcPr>
            <w:tcW w:w="620" w:type="dxa"/>
            <w:vAlign w:val="bottom"/>
            <w:shd w:val="clear" w:color="auto" w:fill="F2F2F2"/>
          </w:tcPr>
          <w:p>
            <w:pPr>
              <w:jc w:val="right"/>
              <w:ind w:right="7"/>
              <w:spacing w:after="0"/>
              <w:rPr>
                <w:sz w:val="20"/>
                <w:szCs w:val="20"/>
                <w:color w:val="auto"/>
              </w:rPr>
            </w:pPr>
            <w:r>
              <w:rPr>
                <w:rFonts w:ascii="Arial" w:cs="Arial" w:eastAsia="Arial" w:hAnsi="Arial"/>
                <w:sz w:val="14"/>
                <w:szCs w:val="14"/>
                <w:color w:val="auto"/>
              </w:rPr>
              <w:t>3,543</w:t>
            </w:r>
          </w:p>
        </w:tc>
        <w:tc>
          <w:tcPr>
            <w:tcW w:w="760" w:type="dxa"/>
            <w:vAlign w:val="bottom"/>
          </w:tcPr>
          <w:p>
            <w:pPr>
              <w:jc w:val="right"/>
              <w:ind w:right="67"/>
              <w:spacing w:after="0"/>
              <w:rPr>
                <w:sz w:val="20"/>
                <w:szCs w:val="20"/>
                <w:color w:val="auto"/>
              </w:rPr>
            </w:pPr>
            <w:r>
              <w:rPr>
                <w:rFonts w:ascii="Arial" w:cs="Arial" w:eastAsia="Arial" w:hAnsi="Arial"/>
                <w:sz w:val="14"/>
                <w:szCs w:val="14"/>
                <w:color w:val="auto"/>
              </w:rPr>
              <w:t>3,697</w:t>
            </w:r>
          </w:p>
        </w:tc>
        <w:tc>
          <w:tcPr>
            <w:tcW w:w="960" w:type="dxa"/>
            <w:vAlign w:val="bottom"/>
          </w:tcPr>
          <w:p>
            <w:pPr>
              <w:jc w:val="right"/>
              <w:ind w:right="65"/>
              <w:spacing w:after="0"/>
              <w:rPr>
                <w:sz w:val="20"/>
                <w:szCs w:val="20"/>
                <w:color w:val="auto"/>
              </w:rPr>
            </w:pPr>
            <w:r>
              <w:rPr>
                <w:rFonts w:ascii="Arial" w:cs="Arial" w:eastAsia="Arial" w:hAnsi="Arial"/>
                <w:sz w:val="14"/>
                <w:szCs w:val="14"/>
                <w:color w:val="auto"/>
              </w:rPr>
              <w:t>3,292</w:t>
            </w:r>
          </w:p>
        </w:tc>
        <w:tc>
          <w:tcPr>
            <w:tcW w:w="680" w:type="dxa"/>
            <w:vAlign w:val="bottom"/>
          </w:tcPr>
          <w:p>
            <w:pPr>
              <w:jc w:val="right"/>
              <w:ind w:right="87"/>
              <w:spacing w:after="0"/>
              <w:rPr>
                <w:sz w:val="20"/>
                <w:szCs w:val="20"/>
                <w:color w:val="auto"/>
              </w:rPr>
            </w:pPr>
            <w:r>
              <w:rPr>
                <w:rFonts w:ascii="Arial" w:cs="Arial" w:eastAsia="Arial" w:hAnsi="Arial"/>
                <w:sz w:val="14"/>
                <w:szCs w:val="14"/>
                <w:color w:val="auto"/>
              </w:rPr>
              <w:t>6,989</w:t>
            </w:r>
          </w:p>
        </w:tc>
        <w:tc>
          <w:tcPr>
            <w:tcW w:w="680" w:type="dxa"/>
            <w:vAlign w:val="bottom"/>
          </w:tcPr>
          <w:p>
            <w:pPr>
              <w:jc w:val="right"/>
              <w:ind w:right="47"/>
              <w:spacing w:after="0"/>
              <w:rPr>
                <w:sz w:val="20"/>
                <w:szCs w:val="20"/>
                <w:color w:val="auto"/>
              </w:rPr>
            </w:pPr>
            <w:r>
              <w:rPr>
                <w:rFonts w:ascii="Arial" w:cs="Arial" w:eastAsia="Arial" w:hAnsi="Arial"/>
                <w:sz w:val="14"/>
                <w:szCs w:val="14"/>
                <w:color w:val="auto"/>
              </w:rPr>
              <w:t>1,196</w:t>
            </w:r>
          </w:p>
        </w:tc>
        <w:tc>
          <w:tcPr>
            <w:tcW w:w="940" w:type="dxa"/>
            <w:vAlign w:val="bottom"/>
          </w:tcPr>
          <w:p>
            <w:pPr>
              <w:jc w:val="right"/>
              <w:ind w:right="45"/>
              <w:spacing w:after="0"/>
              <w:rPr>
                <w:sz w:val="20"/>
                <w:szCs w:val="20"/>
                <w:color w:val="auto"/>
              </w:rPr>
            </w:pPr>
            <w:r>
              <w:rPr>
                <w:rFonts w:ascii="Arial" w:cs="Arial" w:eastAsia="Arial" w:hAnsi="Arial"/>
                <w:sz w:val="14"/>
                <w:szCs w:val="14"/>
                <w:color w:val="auto"/>
              </w:rPr>
              <w:t>1,061</w:t>
            </w:r>
          </w:p>
        </w:tc>
        <w:tc>
          <w:tcPr>
            <w:tcW w:w="600" w:type="dxa"/>
            <w:vAlign w:val="bottom"/>
          </w:tcPr>
          <w:p>
            <w:pPr>
              <w:jc w:val="right"/>
              <w:ind w:right="7"/>
              <w:spacing w:after="0"/>
              <w:rPr>
                <w:sz w:val="20"/>
                <w:szCs w:val="20"/>
                <w:color w:val="auto"/>
              </w:rPr>
            </w:pPr>
            <w:r>
              <w:rPr>
                <w:rFonts w:ascii="Arial" w:cs="Arial" w:eastAsia="Arial" w:hAnsi="Arial"/>
                <w:sz w:val="14"/>
                <w:szCs w:val="14"/>
                <w:color w:val="auto"/>
              </w:rPr>
              <w:t>2,257</w:t>
            </w:r>
          </w:p>
        </w:tc>
        <w:tc>
          <w:tcPr>
            <w:tcW w:w="0" w:type="dxa"/>
            <w:vAlign w:val="bottom"/>
          </w:tcPr>
          <w:p>
            <w:pPr>
              <w:spacing w:after="0"/>
              <w:rPr>
                <w:sz w:val="1"/>
                <w:szCs w:val="1"/>
                <w:color w:val="auto"/>
              </w:rPr>
            </w:pPr>
          </w:p>
        </w:tc>
      </w:tr>
      <w:tr>
        <w:trPr>
          <w:trHeight w:val="162"/>
        </w:trPr>
        <w:tc>
          <w:tcPr>
            <w:tcW w:w="2820" w:type="dxa"/>
            <w:vAlign w:val="bottom"/>
          </w:tcPr>
          <w:p>
            <w:pPr>
              <w:ind w:left="140"/>
              <w:spacing w:after="0"/>
              <w:rPr>
                <w:sz w:val="20"/>
                <w:szCs w:val="20"/>
                <w:color w:val="auto"/>
              </w:rPr>
            </w:pPr>
            <w:r>
              <w:rPr>
                <w:rFonts w:ascii="Arial" w:cs="Arial" w:eastAsia="Arial" w:hAnsi="Arial"/>
                <w:sz w:val="14"/>
                <w:szCs w:val="14"/>
                <w:color w:val="auto"/>
              </w:rPr>
              <w:t>Impairments</w:t>
            </w:r>
          </w:p>
        </w:tc>
        <w:tc>
          <w:tcPr>
            <w:tcW w:w="220" w:type="dxa"/>
            <w:vAlign w:val="bottom"/>
            <w:shd w:val="clear" w:color="auto" w:fill="F2F2F2"/>
          </w:tcPr>
          <w:p>
            <w:pPr>
              <w:spacing w:after="0"/>
              <w:rPr>
                <w:sz w:val="14"/>
                <w:szCs w:val="14"/>
                <w:color w:val="auto"/>
              </w:rPr>
            </w:pPr>
          </w:p>
        </w:tc>
        <w:tc>
          <w:tcPr>
            <w:tcW w:w="420" w:type="dxa"/>
            <w:vAlign w:val="bottom"/>
            <w:gridSpan w:val="2"/>
            <w:shd w:val="clear" w:color="auto" w:fill="F2F2F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F2F2F2"/>
          </w:tcPr>
          <w:p>
            <w:pPr>
              <w:jc w:val="right"/>
              <w:ind w:right="45"/>
              <w:spacing w:after="0"/>
              <w:rPr>
                <w:sz w:val="20"/>
                <w:szCs w:val="20"/>
                <w:color w:val="auto"/>
              </w:rPr>
            </w:pPr>
            <w:r>
              <w:rPr>
                <w:rFonts w:ascii="Arial" w:cs="Arial" w:eastAsia="Arial" w:hAnsi="Arial"/>
                <w:sz w:val="14"/>
                <w:szCs w:val="14"/>
                <w:color w:val="auto"/>
              </w:rPr>
              <w:t>—</w:t>
            </w:r>
          </w:p>
        </w:tc>
        <w:tc>
          <w:tcPr>
            <w:tcW w:w="620" w:type="dxa"/>
            <w:vAlign w:val="bottom"/>
            <w:shd w:val="clear" w:color="auto" w:fill="F2F2F2"/>
          </w:tcPr>
          <w:p>
            <w:pPr>
              <w:jc w:val="right"/>
              <w:ind w:right="7"/>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5"/>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7"/>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7"/>
              <w:spacing w:after="0"/>
              <w:rPr>
                <w:sz w:val="20"/>
                <w:szCs w:val="20"/>
                <w:color w:val="auto"/>
              </w:rPr>
            </w:pPr>
            <w:r>
              <w:rPr>
                <w:rFonts w:ascii="Arial" w:cs="Arial" w:eastAsia="Arial" w:hAnsi="Arial"/>
                <w:sz w:val="14"/>
                <w:szCs w:val="14"/>
                <w:color w:val="auto"/>
              </w:rPr>
              <w:t>(90)</w:t>
            </w:r>
          </w:p>
        </w:tc>
        <w:tc>
          <w:tcPr>
            <w:tcW w:w="940" w:type="dxa"/>
            <w:vAlign w:val="bottom"/>
          </w:tcPr>
          <w:p>
            <w:pPr>
              <w:jc w:val="right"/>
              <w:ind w:right="45"/>
              <w:spacing w:after="0"/>
              <w:rPr>
                <w:sz w:val="20"/>
                <w:szCs w:val="20"/>
                <w:color w:val="auto"/>
              </w:rPr>
            </w:pPr>
            <w:r>
              <w:rPr>
                <w:rFonts w:ascii="Arial" w:cs="Arial" w:eastAsia="Arial" w:hAnsi="Arial"/>
                <w:sz w:val="14"/>
                <w:szCs w:val="14"/>
                <w:color w:val="auto"/>
              </w:rPr>
              <w:t>(2)</w:t>
            </w:r>
          </w:p>
        </w:tc>
        <w:tc>
          <w:tcPr>
            <w:tcW w:w="600" w:type="dxa"/>
            <w:vAlign w:val="bottom"/>
          </w:tcPr>
          <w:p>
            <w:pPr>
              <w:jc w:val="right"/>
              <w:ind w:right="7"/>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16"/>
        </w:trPr>
        <w:tc>
          <w:tcPr>
            <w:tcW w:w="2820" w:type="dxa"/>
            <w:vAlign w:val="bottom"/>
          </w:tcPr>
          <w:p>
            <w:pPr>
              <w:ind w:left="140"/>
              <w:spacing w:after="0"/>
              <w:rPr>
                <w:sz w:val="20"/>
                <w:szCs w:val="20"/>
                <w:color w:val="auto"/>
              </w:rPr>
            </w:pPr>
            <w:r>
              <w:rPr>
                <w:rFonts w:ascii="Arial" w:cs="Arial" w:eastAsia="Arial" w:hAnsi="Arial"/>
                <w:sz w:val="14"/>
                <w:szCs w:val="14"/>
                <w:color w:val="auto"/>
              </w:rPr>
              <w:t>Tax-related items</w:t>
            </w:r>
          </w:p>
        </w:tc>
        <w:tc>
          <w:tcPr>
            <w:tcW w:w="220" w:type="dxa"/>
            <w:vAlign w:val="bottom"/>
            <w:tcBorders>
              <w:bottom w:val="single" w:sz="8" w:color="F2F2F2"/>
            </w:tcBorders>
            <w:shd w:val="clear" w:color="auto" w:fill="F2F2F2"/>
          </w:tcPr>
          <w:p>
            <w:pPr>
              <w:spacing w:after="0"/>
              <w:rPr>
                <w:sz w:val="18"/>
                <w:szCs w:val="18"/>
                <w:color w:val="auto"/>
              </w:rPr>
            </w:pPr>
          </w:p>
        </w:tc>
        <w:tc>
          <w:tcPr>
            <w:tcW w:w="3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F2F2F2"/>
            </w:tcBorders>
            <w:shd w:val="clear" w:color="auto" w:fill="F2F2F2"/>
          </w:tcPr>
          <w:p>
            <w:pPr>
              <w:spacing w:after="0"/>
              <w:rPr>
                <w:sz w:val="18"/>
                <w:szCs w:val="18"/>
                <w:color w:val="auto"/>
              </w:rPr>
            </w:pPr>
          </w:p>
        </w:tc>
        <w:tc>
          <w:tcPr>
            <w:tcW w:w="1020" w:type="dxa"/>
            <w:vAlign w:val="bottom"/>
            <w:tcBorders>
              <w:bottom w:val="single" w:sz="8" w:color="F2F2F2"/>
            </w:tcBorders>
            <w:shd w:val="clear" w:color="auto" w:fill="F2F2F2"/>
          </w:tcPr>
          <w:p>
            <w:pPr>
              <w:jc w:val="right"/>
              <w:ind w:right="45"/>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F2F2F2"/>
            </w:tcBorders>
            <w:shd w:val="clear" w:color="auto" w:fill="F2F2F2"/>
          </w:tcPr>
          <w:p>
            <w:pPr>
              <w:jc w:val="right"/>
              <w:ind w:right="7"/>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5"/>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7"/>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5"/>
              <w:spacing w:after="0"/>
              <w:rPr>
                <w:sz w:val="20"/>
                <w:szCs w:val="20"/>
                <w:color w:val="auto"/>
              </w:rPr>
            </w:pPr>
            <w:r>
              <w:rPr>
                <w:rFonts w:ascii="Arial" w:cs="Arial" w:eastAsia="Arial" w:hAnsi="Arial"/>
                <w:sz w:val="14"/>
                <w:szCs w:val="14"/>
                <w:color w:val="auto"/>
              </w:rPr>
              <w:t>(13)</w:t>
            </w:r>
          </w:p>
        </w:tc>
        <w:tc>
          <w:tcPr>
            <w:tcW w:w="600" w:type="dxa"/>
            <w:vAlign w:val="bottom"/>
          </w:tcPr>
          <w:p>
            <w:pPr>
              <w:jc w:val="right"/>
              <w:ind w:right="7"/>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10"/>
        </w:trPr>
        <w:tc>
          <w:tcPr>
            <w:tcW w:w="28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Identified Items</w:t>
            </w:r>
          </w:p>
        </w:tc>
        <w:tc>
          <w:tcPr>
            <w:tcW w:w="220" w:type="dxa"/>
            <w:vAlign w:val="bottom"/>
            <w:tcBorders>
              <w:top w:val="single" w:sz="8" w:color="auto"/>
              <w:bottom w:val="single" w:sz="8" w:color="F2F2F2"/>
            </w:tcBorders>
            <w:shd w:val="clear" w:color="auto" w:fill="F2F2F2"/>
          </w:tcPr>
          <w:p>
            <w:pPr>
              <w:spacing w:after="0"/>
              <w:rPr>
                <w:sz w:val="18"/>
                <w:szCs w:val="18"/>
                <w:color w:val="auto"/>
              </w:rPr>
            </w:pPr>
          </w:p>
        </w:tc>
        <w:tc>
          <w:tcPr>
            <w:tcW w:w="360" w:type="dxa"/>
            <w:vAlign w:val="bottom"/>
            <w:tcBorders>
              <w:top w:val="single" w:sz="8" w:color="auto"/>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auto"/>
              <w:bottom w:val="single" w:sz="8" w:color="F2F2F2"/>
            </w:tcBorders>
            <w:shd w:val="clear" w:color="auto" w:fill="F2F2F2"/>
          </w:tcPr>
          <w:p>
            <w:pPr>
              <w:spacing w:after="0"/>
              <w:rPr>
                <w:sz w:val="18"/>
                <w:szCs w:val="18"/>
                <w:color w:val="auto"/>
              </w:rPr>
            </w:pPr>
          </w:p>
        </w:tc>
        <w:tc>
          <w:tcPr>
            <w:tcW w:w="1020" w:type="dxa"/>
            <w:vAlign w:val="bottom"/>
            <w:tcBorders>
              <w:top w:val="single" w:sz="8" w:color="auto"/>
              <w:bottom w:val="single" w:sz="8" w:color="F2F2F2"/>
            </w:tcBorders>
            <w:shd w:val="clear" w:color="auto" w:fill="F2F2F2"/>
          </w:tcPr>
          <w:p>
            <w:pPr>
              <w:jc w:val="right"/>
              <w:ind w:right="45"/>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F2F2F2"/>
            </w:tcBorders>
            <w:shd w:val="clear" w:color="auto" w:fill="F2F2F2"/>
          </w:tcPr>
          <w:p>
            <w:pPr>
              <w:jc w:val="right"/>
              <w:ind w:right="7"/>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67"/>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65"/>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87"/>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(90)</w:t>
            </w:r>
          </w:p>
        </w:tc>
        <w:tc>
          <w:tcPr>
            <w:tcW w:w="940" w:type="dxa"/>
            <w:vAlign w:val="bottom"/>
            <w:tcBorders>
              <w:top w:val="single" w:sz="8" w:color="auto"/>
            </w:tcBorders>
          </w:tcPr>
          <w:p>
            <w:pPr>
              <w:jc w:val="right"/>
              <w:ind w:right="45"/>
              <w:spacing w:after="0"/>
              <w:rPr>
                <w:sz w:val="20"/>
                <w:szCs w:val="20"/>
                <w:color w:val="auto"/>
              </w:rPr>
            </w:pPr>
            <w:r>
              <w:rPr>
                <w:rFonts w:ascii="Arial" w:cs="Arial" w:eastAsia="Arial" w:hAnsi="Arial"/>
                <w:sz w:val="14"/>
                <w:szCs w:val="14"/>
                <w:color w:val="auto"/>
              </w:rPr>
              <w:t>(15)</w:t>
            </w:r>
          </w:p>
        </w:tc>
        <w:tc>
          <w:tcPr>
            <w:tcW w:w="600" w:type="dxa"/>
            <w:vAlign w:val="bottom"/>
            <w:tcBorders>
              <w:top w:val="single" w:sz="8" w:color="auto"/>
            </w:tcBorders>
          </w:tcPr>
          <w:p>
            <w:pPr>
              <w:jc w:val="right"/>
              <w:ind w:right="7"/>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46"/>
        </w:trPr>
        <w:tc>
          <w:tcPr>
            <w:tcW w:w="2820" w:type="dxa"/>
            <w:vAlign w:val="bottom"/>
            <w:tcBorders>
              <w:top w:val="single" w:sz="8" w:color="auto"/>
            </w:tcBorders>
          </w:tcPr>
          <w:p>
            <w:pPr>
              <w:ind w:left="20"/>
              <w:spacing w:after="0" w:line="147" w:lineRule="exact"/>
              <w:rPr>
                <w:sz w:val="20"/>
                <w:szCs w:val="20"/>
                <w:color w:val="auto"/>
              </w:rPr>
            </w:pPr>
            <w:r>
              <w:rPr>
                <w:rFonts w:ascii="Arial" w:cs="Arial" w:eastAsia="Arial" w:hAnsi="Arial"/>
                <w:sz w:val="14"/>
                <w:szCs w:val="14"/>
                <w:b w:val="1"/>
                <w:bCs w:val="1"/>
                <w:color w:val="auto"/>
              </w:rPr>
              <w:t>Earnings (loss) excluding Identified</w:t>
            </w:r>
          </w:p>
        </w:tc>
        <w:tc>
          <w:tcPr>
            <w:tcW w:w="220" w:type="dxa"/>
            <w:vAlign w:val="bottom"/>
            <w:tcBorders>
              <w:top w:val="single" w:sz="8" w:color="auto"/>
            </w:tcBorders>
            <w:shd w:val="clear" w:color="auto" w:fill="F2F2F2"/>
          </w:tcPr>
          <w:p>
            <w:pPr>
              <w:spacing w:after="0"/>
              <w:rPr>
                <w:sz w:val="12"/>
                <w:szCs w:val="12"/>
                <w:color w:val="auto"/>
              </w:rPr>
            </w:pPr>
          </w:p>
        </w:tc>
        <w:tc>
          <w:tcPr>
            <w:tcW w:w="360" w:type="dxa"/>
            <w:vAlign w:val="bottom"/>
            <w:tcBorders>
              <w:top w:val="single" w:sz="8" w:color="auto"/>
            </w:tcBorders>
            <w:vMerge w:val="restart"/>
            <w:shd w:val="clear" w:color="auto" w:fill="F2F2F2"/>
          </w:tcPr>
          <w:p>
            <w:pPr>
              <w:jc w:val="right"/>
              <w:spacing w:after="0"/>
              <w:rPr>
                <w:sz w:val="20"/>
                <w:szCs w:val="20"/>
                <w:color w:val="auto"/>
              </w:rPr>
            </w:pPr>
            <w:r>
              <w:rPr>
                <w:rFonts w:ascii="Arial" w:cs="Arial" w:eastAsia="Arial" w:hAnsi="Arial"/>
                <w:sz w:val="14"/>
                <w:szCs w:val="14"/>
                <w:b w:val="1"/>
                <w:bCs w:val="1"/>
                <w:color w:val="auto"/>
                <w:w w:val="96"/>
              </w:rPr>
              <w:t>2,328</w:t>
            </w:r>
          </w:p>
        </w:tc>
        <w:tc>
          <w:tcPr>
            <w:tcW w:w="60" w:type="dxa"/>
            <w:vAlign w:val="bottom"/>
            <w:tcBorders>
              <w:top w:val="single" w:sz="8" w:color="auto"/>
            </w:tcBorders>
            <w:shd w:val="clear" w:color="auto" w:fill="F2F2F2"/>
          </w:tcPr>
          <w:p>
            <w:pPr>
              <w:spacing w:after="0"/>
              <w:rPr>
                <w:sz w:val="12"/>
                <w:szCs w:val="12"/>
                <w:color w:val="auto"/>
              </w:rPr>
            </w:pPr>
          </w:p>
        </w:tc>
        <w:tc>
          <w:tcPr>
            <w:tcW w:w="1020" w:type="dxa"/>
            <w:vAlign w:val="bottom"/>
            <w:tcBorders>
              <w:top w:val="single" w:sz="8" w:color="auto"/>
            </w:tcBorders>
            <w:vMerge w:val="restart"/>
            <w:shd w:val="clear" w:color="auto" w:fill="F2F2F2"/>
          </w:tcPr>
          <w:p>
            <w:pPr>
              <w:jc w:val="right"/>
              <w:ind w:right="45"/>
              <w:spacing w:after="0"/>
              <w:rPr>
                <w:sz w:val="20"/>
                <w:szCs w:val="20"/>
                <w:color w:val="auto"/>
              </w:rPr>
            </w:pPr>
            <w:r>
              <w:rPr>
                <w:rFonts w:ascii="Arial" w:cs="Arial" w:eastAsia="Arial" w:hAnsi="Arial"/>
                <w:sz w:val="14"/>
                <w:szCs w:val="14"/>
                <w:b w:val="1"/>
                <w:bCs w:val="1"/>
                <w:color w:val="auto"/>
              </w:rPr>
              <w:t>1,215</w:t>
            </w:r>
          </w:p>
        </w:tc>
        <w:tc>
          <w:tcPr>
            <w:tcW w:w="620" w:type="dxa"/>
            <w:vAlign w:val="bottom"/>
            <w:tcBorders>
              <w:top w:val="single" w:sz="8" w:color="auto"/>
            </w:tcBorders>
            <w:vMerge w:val="restart"/>
            <w:shd w:val="clear" w:color="auto" w:fill="F2F2F2"/>
          </w:tcPr>
          <w:p>
            <w:pPr>
              <w:jc w:val="right"/>
              <w:ind w:right="7"/>
              <w:spacing w:after="0"/>
              <w:rPr>
                <w:sz w:val="20"/>
                <w:szCs w:val="20"/>
                <w:color w:val="auto"/>
              </w:rPr>
            </w:pPr>
            <w:r>
              <w:rPr>
                <w:rFonts w:ascii="Arial" w:cs="Arial" w:eastAsia="Arial" w:hAnsi="Arial"/>
                <w:sz w:val="14"/>
                <w:szCs w:val="14"/>
                <w:b w:val="1"/>
                <w:bCs w:val="1"/>
                <w:color w:val="auto"/>
              </w:rPr>
              <w:t>3,543</w:t>
            </w:r>
          </w:p>
        </w:tc>
        <w:tc>
          <w:tcPr>
            <w:tcW w:w="760" w:type="dxa"/>
            <w:vAlign w:val="bottom"/>
            <w:tcBorders>
              <w:top w:val="single" w:sz="8" w:color="auto"/>
            </w:tcBorders>
            <w:vMerge w:val="restart"/>
          </w:tcPr>
          <w:p>
            <w:pPr>
              <w:jc w:val="right"/>
              <w:ind w:right="67"/>
              <w:spacing w:after="0"/>
              <w:rPr>
                <w:sz w:val="20"/>
                <w:szCs w:val="20"/>
                <w:color w:val="auto"/>
              </w:rPr>
            </w:pPr>
            <w:r>
              <w:rPr>
                <w:rFonts w:ascii="Arial" w:cs="Arial" w:eastAsia="Arial" w:hAnsi="Arial"/>
                <w:sz w:val="14"/>
                <w:szCs w:val="14"/>
                <w:b w:val="1"/>
                <w:bCs w:val="1"/>
                <w:color w:val="auto"/>
              </w:rPr>
              <w:t>3,697</w:t>
            </w:r>
          </w:p>
        </w:tc>
        <w:tc>
          <w:tcPr>
            <w:tcW w:w="960" w:type="dxa"/>
            <w:vAlign w:val="bottom"/>
            <w:tcBorders>
              <w:top w:val="single" w:sz="8" w:color="auto"/>
            </w:tcBorders>
            <w:vMerge w:val="restart"/>
          </w:tcPr>
          <w:p>
            <w:pPr>
              <w:jc w:val="right"/>
              <w:ind w:right="65"/>
              <w:spacing w:after="0"/>
              <w:rPr>
                <w:sz w:val="20"/>
                <w:szCs w:val="20"/>
                <w:color w:val="auto"/>
              </w:rPr>
            </w:pPr>
            <w:r>
              <w:rPr>
                <w:rFonts w:ascii="Arial" w:cs="Arial" w:eastAsia="Arial" w:hAnsi="Arial"/>
                <w:sz w:val="14"/>
                <w:szCs w:val="14"/>
                <w:b w:val="1"/>
                <w:bCs w:val="1"/>
                <w:color w:val="auto"/>
              </w:rPr>
              <w:t>3,292</w:t>
            </w:r>
          </w:p>
        </w:tc>
        <w:tc>
          <w:tcPr>
            <w:tcW w:w="680" w:type="dxa"/>
            <w:vAlign w:val="bottom"/>
            <w:tcBorders>
              <w:top w:val="single" w:sz="8" w:color="auto"/>
            </w:tcBorders>
            <w:vMerge w:val="restart"/>
          </w:tcPr>
          <w:p>
            <w:pPr>
              <w:jc w:val="right"/>
              <w:ind w:right="87"/>
              <w:spacing w:after="0"/>
              <w:rPr>
                <w:sz w:val="20"/>
                <w:szCs w:val="20"/>
                <w:color w:val="auto"/>
              </w:rPr>
            </w:pPr>
            <w:r>
              <w:rPr>
                <w:rFonts w:ascii="Arial" w:cs="Arial" w:eastAsia="Arial" w:hAnsi="Arial"/>
                <w:sz w:val="14"/>
                <w:szCs w:val="14"/>
                <w:b w:val="1"/>
                <w:bCs w:val="1"/>
                <w:color w:val="auto"/>
              </w:rPr>
              <w:t>6,989</w:t>
            </w:r>
          </w:p>
        </w:tc>
        <w:tc>
          <w:tcPr>
            <w:tcW w:w="680" w:type="dxa"/>
            <w:vAlign w:val="bottom"/>
            <w:tcBorders>
              <w:top w:val="single" w:sz="8" w:color="auto"/>
            </w:tcBorders>
            <w:vMerge w:val="restart"/>
          </w:tcPr>
          <w:p>
            <w:pPr>
              <w:jc w:val="right"/>
              <w:ind w:right="47"/>
              <w:spacing w:after="0"/>
              <w:rPr>
                <w:sz w:val="20"/>
                <w:szCs w:val="20"/>
                <w:color w:val="auto"/>
              </w:rPr>
            </w:pPr>
            <w:r>
              <w:rPr>
                <w:rFonts w:ascii="Arial" w:cs="Arial" w:eastAsia="Arial" w:hAnsi="Arial"/>
                <w:sz w:val="14"/>
                <w:szCs w:val="14"/>
                <w:b w:val="1"/>
                <w:bCs w:val="1"/>
                <w:color w:val="auto"/>
              </w:rPr>
              <w:t>1,286</w:t>
            </w:r>
          </w:p>
        </w:tc>
        <w:tc>
          <w:tcPr>
            <w:tcW w:w="940" w:type="dxa"/>
            <w:vAlign w:val="bottom"/>
            <w:tcBorders>
              <w:top w:val="single" w:sz="8" w:color="auto"/>
            </w:tcBorders>
            <w:vMerge w:val="restart"/>
          </w:tcPr>
          <w:p>
            <w:pPr>
              <w:jc w:val="right"/>
              <w:ind w:right="45"/>
              <w:spacing w:after="0"/>
              <w:rPr>
                <w:sz w:val="20"/>
                <w:szCs w:val="20"/>
                <w:color w:val="auto"/>
              </w:rPr>
            </w:pPr>
            <w:r>
              <w:rPr>
                <w:rFonts w:ascii="Arial" w:cs="Arial" w:eastAsia="Arial" w:hAnsi="Arial"/>
                <w:sz w:val="14"/>
                <w:szCs w:val="14"/>
                <w:b w:val="1"/>
                <w:bCs w:val="1"/>
                <w:color w:val="auto"/>
              </w:rPr>
              <w:t>1,076</w:t>
            </w:r>
          </w:p>
        </w:tc>
        <w:tc>
          <w:tcPr>
            <w:tcW w:w="600" w:type="dxa"/>
            <w:vAlign w:val="bottom"/>
            <w:tcBorders>
              <w:top w:val="single" w:sz="8" w:color="auto"/>
            </w:tcBorders>
            <w:vMerge w:val="restart"/>
          </w:tcPr>
          <w:p>
            <w:pPr>
              <w:jc w:val="right"/>
              <w:ind w:right="7"/>
              <w:spacing w:after="0"/>
              <w:rPr>
                <w:sz w:val="20"/>
                <w:szCs w:val="20"/>
                <w:color w:val="auto"/>
              </w:rPr>
            </w:pPr>
            <w:r>
              <w:rPr>
                <w:rFonts w:ascii="Arial" w:cs="Arial" w:eastAsia="Arial" w:hAnsi="Arial"/>
                <w:sz w:val="14"/>
                <w:szCs w:val="14"/>
                <w:b w:val="1"/>
                <w:bCs w:val="1"/>
                <w:color w:val="auto"/>
              </w:rPr>
              <w:t>2,362</w:t>
            </w:r>
          </w:p>
        </w:tc>
        <w:tc>
          <w:tcPr>
            <w:tcW w:w="0" w:type="dxa"/>
            <w:vAlign w:val="bottom"/>
          </w:tcPr>
          <w:p>
            <w:pPr>
              <w:spacing w:after="0"/>
              <w:rPr>
                <w:sz w:val="1"/>
                <w:szCs w:val="1"/>
                <w:color w:val="auto"/>
              </w:rPr>
            </w:pPr>
          </w:p>
        </w:tc>
      </w:tr>
      <w:tr>
        <w:trPr>
          <w:trHeight w:val="115"/>
        </w:trPr>
        <w:tc>
          <w:tcPr>
            <w:tcW w:w="2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Items </w:t>
            </w:r>
            <w:r>
              <w:rPr>
                <w:rFonts w:ascii="Arial" w:cs="Arial" w:eastAsia="Arial" w:hAnsi="Arial"/>
                <w:sz w:val="14"/>
                <w:szCs w:val="14"/>
                <w:color w:val="auto"/>
              </w:rPr>
              <w:t>(Non-GAAP)</w:t>
            </w:r>
          </w:p>
        </w:tc>
        <w:tc>
          <w:tcPr>
            <w:tcW w:w="220" w:type="dxa"/>
            <w:vAlign w:val="bottom"/>
            <w:shd w:val="clear" w:color="auto" w:fill="F2F2F2"/>
          </w:tcPr>
          <w:p>
            <w:pPr>
              <w:spacing w:after="0"/>
              <w:rPr>
                <w:sz w:val="10"/>
                <w:szCs w:val="10"/>
                <w:color w:val="auto"/>
              </w:rPr>
            </w:pPr>
          </w:p>
        </w:tc>
        <w:tc>
          <w:tcPr>
            <w:tcW w:w="360" w:type="dxa"/>
            <w:vAlign w:val="bottom"/>
            <w:vMerge w:val="continue"/>
            <w:shd w:val="clear" w:color="auto" w:fill="F2F2F2"/>
          </w:tcPr>
          <w:p>
            <w:pPr>
              <w:spacing w:after="0"/>
              <w:rPr>
                <w:sz w:val="10"/>
                <w:szCs w:val="10"/>
                <w:color w:val="auto"/>
              </w:rPr>
            </w:pPr>
          </w:p>
        </w:tc>
        <w:tc>
          <w:tcPr>
            <w:tcW w:w="60" w:type="dxa"/>
            <w:vAlign w:val="bottom"/>
            <w:shd w:val="clear" w:color="auto" w:fill="F2F2F2"/>
          </w:tcPr>
          <w:p>
            <w:pPr>
              <w:spacing w:after="0"/>
              <w:rPr>
                <w:sz w:val="10"/>
                <w:szCs w:val="10"/>
                <w:color w:val="auto"/>
              </w:rPr>
            </w:pPr>
          </w:p>
        </w:tc>
        <w:tc>
          <w:tcPr>
            <w:tcW w:w="1020" w:type="dxa"/>
            <w:vAlign w:val="bottom"/>
            <w:vMerge w:val="continue"/>
            <w:shd w:val="clear" w:color="auto" w:fill="F2F2F2"/>
          </w:tcPr>
          <w:p>
            <w:pPr>
              <w:spacing w:after="0"/>
              <w:rPr>
                <w:sz w:val="10"/>
                <w:szCs w:val="10"/>
                <w:color w:val="auto"/>
              </w:rPr>
            </w:pPr>
          </w:p>
        </w:tc>
        <w:tc>
          <w:tcPr>
            <w:tcW w:w="620" w:type="dxa"/>
            <w:vAlign w:val="bottom"/>
            <w:vMerge w:val="continue"/>
            <w:shd w:val="clear" w:color="auto" w:fill="F2F2F2"/>
          </w:tcPr>
          <w:p>
            <w:pPr>
              <w:spacing w:after="0"/>
              <w:rPr>
                <w:sz w:val="10"/>
                <w:szCs w:val="10"/>
                <w:color w:val="auto"/>
              </w:rPr>
            </w:pPr>
          </w:p>
        </w:tc>
        <w:tc>
          <w:tcPr>
            <w:tcW w:w="7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2820" w:type="dxa"/>
            <w:vAlign w:val="bottom"/>
            <w:tcBorders>
              <w:bottom w:val="single" w:sz="8" w:color="auto"/>
            </w:tcBorders>
            <w:vMerge w:val="continue"/>
          </w:tcPr>
          <w:p>
            <w:pPr>
              <w:spacing w:after="0"/>
              <w:rPr>
                <w:sz w:val="7"/>
                <w:szCs w:val="7"/>
                <w:color w:val="auto"/>
              </w:rPr>
            </w:pPr>
          </w:p>
        </w:tc>
        <w:tc>
          <w:tcPr>
            <w:tcW w:w="220" w:type="dxa"/>
            <w:vAlign w:val="bottom"/>
            <w:tcBorders>
              <w:bottom w:val="single" w:sz="8" w:color="auto"/>
            </w:tcBorders>
            <w:shd w:val="clear" w:color="auto" w:fill="F2F2F2"/>
          </w:tcPr>
          <w:p>
            <w:pPr>
              <w:spacing w:after="0"/>
              <w:rPr>
                <w:sz w:val="7"/>
                <w:szCs w:val="7"/>
                <w:color w:val="auto"/>
              </w:rPr>
            </w:pPr>
          </w:p>
        </w:tc>
        <w:tc>
          <w:tcPr>
            <w:tcW w:w="360" w:type="dxa"/>
            <w:vAlign w:val="bottom"/>
            <w:tcBorders>
              <w:bottom w:val="single" w:sz="8" w:color="auto"/>
            </w:tcBorders>
            <w:shd w:val="clear" w:color="auto" w:fill="F2F2F2"/>
          </w:tcPr>
          <w:p>
            <w:pPr>
              <w:spacing w:after="0"/>
              <w:rPr>
                <w:sz w:val="7"/>
                <w:szCs w:val="7"/>
                <w:color w:val="auto"/>
              </w:rPr>
            </w:pPr>
          </w:p>
        </w:tc>
        <w:tc>
          <w:tcPr>
            <w:tcW w:w="60" w:type="dxa"/>
            <w:vAlign w:val="bottom"/>
            <w:tcBorders>
              <w:bottom w:val="single" w:sz="8" w:color="auto"/>
            </w:tcBorders>
            <w:shd w:val="clear" w:color="auto" w:fill="F2F2F2"/>
          </w:tcPr>
          <w:p>
            <w:pPr>
              <w:spacing w:after="0"/>
              <w:rPr>
                <w:sz w:val="7"/>
                <w:szCs w:val="7"/>
                <w:color w:val="auto"/>
              </w:rPr>
            </w:pPr>
          </w:p>
        </w:tc>
        <w:tc>
          <w:tcPr>
            <w:tcW w:w="1020" w:type="dxa"/>
            <w:vAlign w:val="bottom"/>
            <w:tcBorders>
              <w:bottom w:val="single" w:sz="8" w:color="auto"/>
            </w:tcBorders>
            <w:shd w:val="clear" w:color="auto" w:fill="F2F2F2"/>
          </w:tcPr>
          <w:p>
            <w:pPr>
              <w:spacing w:after="0"/>
              <w:rPr>
                <w:sz w:val="7"/>
                <w:szCs w:val="7"/>
                <w:color w:val="auto"/>
              </w:rPr>
            </w:pPr>
          </w:p>
        </w:tc>
        <w:tc>
          <w:tcPr>
            <w:tcW w:w="620" w:type="dxa"/>
            <w:vAlign w:val="bottom"/>
            <w:tcBorders>
              <w:bottom w:val="single" w:sz="8" w:color="auto"/>
            </w:tcBorders>
            <w:shd w:val="clear" w:color="auto" w:fill="F2F2F2"/>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tbl>
      <w:tblPr>
        <w:tblLayout w:type="fixed"/>
        <w:tblInd w:w="760" w:type="dxa"/>
        <w:tblCellMar>
          <w:top w:w="0" w:type="dxa"/>
          <w:left w:w="0" w:type="dxa"/>
          <w:bottom w:w="0" w:type="dxa"/>
          <w:right w:w="0" w:type="dxa"/>
        </w:tblCellMar>
      </w:tblPr>
      <w:tr>
        <w:trPr>
          <w:trHeight w:val="189"/>
        </w:trPr>
        <w:tc>
          <w:tcPr>
            <w:tcW w:w="2060" w:type="dxa"/>
            <w:vAlign w:val="bottom"/>
            <w:shd w:val="clear" w:color="auto" w:fill="000000"/>
          </w:tcPr>
          <w:p>
            <w:pPr>
              <w:ind w:left="20"/>
              <w:spacing w:after="0"/>
              <w:rPr>
                <w:sz w:val="20"/>
                <w:szCs w:val="20"/>
                <w:color w:val="auto"/>
              </w:rPr>
            </w:pPr>
            <w:r>
              <w:rPr>
                <w:rFonts w:ascii="Arial" w:cs="Arial" w:eastAsia="Arial" w:hAnsi="Arial"/>
                <w:sz w:val="16"/>
                <w:szCs w:val="16"/>
                <w:b w:val="1"/>
                <w:bCs w:val="1"/>
                <w:color w:val="FFFFFF"/>
              </w:rPr>
              <w:t>Specialty Products</w:t>
            </w:r>
          </w:p>
        </w:tc>
        <w:tc>
          <w:tcPr>
            <w:tcW w:w="720" w:type="dxa"/>
            <w:vAlign w:val="bottom"/>
            <w:shd w:val="clear" w:color="auto" w:fill="000000"/>
          </w:tcPr>
          <w:p>
            <w:pPr>
              <w:spacing w:after="0"/>
              <w:rPr>
                <w:sz w:val="16"/>
                <w:szCs w:val="16"/>
                <w:color w:val="auto"/>
              </w:rPr>
            </w:pPr>
          </w:p>
        </w:tc>
        <w:tc>
          <w:tcPr>
            <w:tcW w:w="200" w:type="dxa"/>
            <w:vAlign w:val="bottom"/>
            <w:shd w:val="clear" w:color="auto" w:fill="000000"/>
          </w:tcPr>
          <w:p>
            <w:pPr>
              <w:spacing w:after="0"/>
              <w:rPr>
                <w:sz w:val="16"/>
                <w:szCs w:val="16"/>
                <w:color w:val="auto"/>
              </w:rPr>
            </w:pPr>
          </w:p>
        </w:tc>
        <w:tc>
          <w:tcPr>
            <w:tcW w:w="380" w:type="dxa"/>
            <w:vAlign w:val="bottom"/>
            <w:shd w:val="clear" w:color="auto" w:fill="000000"/>
          </w:tcPr>
          <w:p>
            <w:pPr>
              <w:spacing w:after="0"/>
              <w:rPr>
                <w:sz w:val="16"/>
                <w:szCs w:val="16"/>
                <w:color w:val="auto"/>
              </w:rPr>
            </w:pPr>
          </w:p>
        </w:tc>
        <w:tc>
          <w:tcPr>
            <w:tcW w:w="40" w:type="dxa"/>
            <w:vAlign w:val="bottom"/>
            <w:shd w:val="clear" w:color="auto" w:fill="000000"/>
          </w:tcPr>
          <w:p>
            <w:pPr>
              <w:spacing w:after="0"/>
              <w:rPr>
                <w:sz w:val="16"/>
                <w:szCs w:val="16"/>
                <w:color w:val="auto"/>
              </w:rPr>
            </w:pPr>
          </w:p>
        </w:tc>
        <w:tc>
          <w:tcPr>
            <w:tcW w:w="1020" w:type="dxa"/>
            <w:vAlign w:val="bottom"/>
            <w:gridSpan w:val="2"/>
            <w:shd w:val="clear" w:color="auto" w:fill="000000"/>
          </w:tcPr>
          <w:p>
            <w:pPr>
              <w:jc w:val="right"/>
              <w:ind w:right="206"/>
              <w:spacing w:after="0"/>
              <w:rPr>
                <w:sz w:val="20"/>
                <w:szCs w:val="20"/>
                <w:color w:val="auto"/>
              </w:rPr>
            </w:pPr>
            <w:r>
              <w:rPr>
                <w:rFonts w:ascii="Arial" w:cs="Arial" w:eastAsia="Arial" w:hAnsi="Arial"/>
                <w:sz w:val="16"/>
                <w:szCs w:val="16"/>
                <w:b w:val="1"/>
                <w:bCs w:val="1"/>
                <w:color w:val="FFFFFF"/>
              </w:rPr>
              <w:t>2022</w:t>
            </w:r>
          </w:p>
        </w:tc>
        <w:tc>
          <w:tcPr>
            <w:tcW w:w="640" w:type="dxa"/>
            <w:vAlign w:val="bottom"/>
            <w:shd w:val="clear" w:color="auto" w:fill="000000"/>
          </w:tcPr>
          <w:p>
            <w:pPr>
              <w:spacing w:after="0"/>
              <w:rPr>
                <w:sz w:val="16"/>
                <w:szCs w:val="16"/>
                <w:color w:val="auto"/>
              </w:rPr>
            </w:pPr>
          </w:p>
        </w:tc>
        <w:tc>
          <w:tcPr>
            <w:tcW w:w="800" w:type="dxa"/>
            <w:vAlign w:val="bottom"/>
            <w:shd w:val="clear" w:color="auto" w:fill="000000"/>
          </w:tcPr>
          <w:p>
            <w:pPr>
              <w:spacing w:after="0"/>
              <w:rPr>
                <w:sz w:val="16"/>
                <w:szCs w:val="16"/>
                <w:color w:val="auto"/>
              </w:rPr>
            </w:pPr>
          </w:p>
        </w:tc>
        <w:tc>
          <w:tcPr>
            <w:tcW w:w="960" w:type="dxa"/>
            <w:vAlign w:val="bottom"/>
            <w:shd w:val="clear" w:color="auto" w:fill="000000"/>
          </w:tcPr>
          <w:p>
            <w:pPr>
              <w:jc w:val="right"/>
              <w:ind w:right="246"/>
              <w:spacing w:after="0"/>
              <w:rPr>
                <w:sz w:val="20"/>
                <w:szCs w:val="20"/>
                <w:color w:val="auto"/>
              </w:rPr>
            </w:pPr>
            <w:r>
              <w:rPr>
                <w:rFonts w:ascii="Arial" w:cs="Arial" w:eastAsia="Arial" w:hAnsi="Arial"/>
                <w:sz w:val="16"/>
                <w:szCs w:val="16"/>
                <w:b w:val="1"/>
                <w:bCs w:val="1"/>
                <w:color w:val="FFFFFF"/>
              </w:rPr>
              <w:t>2021</w:t>
            </w:r>
          </w:p>
        </w:tc>
        <w:tc>
          <w:tcPr>
            <w:tcW w:w="700" w:type="dxa"/>
            <w:vAlign w:val="bottom"/>
            <w:shd w:val="clear" w:color="auto" w:fill="000000"/>
          </w:tcPr>
          <w:p>
            <w:pPr>
              <w:spacing w:after="0"/>
              <w:rPr>
                <w:sz w:val="16"/>
                <w:szCs w:val="16"/>
                <w:color w:val="auto"/>
              </w:rPr>
            </w:pPr>
          </w:p>
        </w:tc>
        <w:tc>
          <w:tcPr>
            <w:tcW w:w="720" w:type="dxa"/>
            <w:vAlign w:val="bottom"/>
            <w:shd w:val="clear" w:color="auto" w:fill="000000"/>
          </w:tcPr>
          <w:p>
            <w:pPr>
              <w:spacing w:after="0"/>
              <w:rPr>
                <w:sz w:val="16"/>
                <w:szCs w:val="16"/>
                <w:color w:val="auto"/>
              </w:rPr>
            </w:pPr>
          </w:p>
        </w:tc>
        <w:tc>
          <w:tcPr>
            <w:tcW w:w="920" w:type="dxa"/>
            <w:vAlign w:val="bottom"/>
            <w:shd w:val="clear" w:color="auto" w:fill="000000"/>
          </w:tcPr>
          <w:p>
            <w:pPr>
              <w:jc w:val="right"/>
              <w:ind w:right="186"/>
              <w:spacing w:after="0"/>
              <w:rPr>
                <w:sz w:val="20"/>
                <w:szCs w:val="20"/>
                <w:color w:val="auto"/>
              </w:rPr>
            </w:pPr>
            <w:r>
              <w:rPr>
                <w:rFonts w:ascii="Arial" w:cs="Arial" w:eastAsia="Arial" w:hAnsi="Arial"/>
                <w:sz w:val="16"/>
                <w:szCs w:val="16"/>
                <w:b w:val="1"/>
                <w:bCs w:val="1"/>
                <w:color w:val="FFFFFF"/>
              </w:rPr>
              <w:t>2020</w:t>
            </w:r>
          </w:p>
        </w:tc>
        <w:tc>
          <w:tcPr>
            <w:tcW w:w="56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60" w:type="dxa"/>
            <w:vAlign w:val="bottom"/>
            <w:tcBorders>
              <w:bottom w:val="single" w:sz="8" w:color="auto"/>
            </w:tcBorders>
            <w:shd w:val="clear" w:color="auto" w:fill="000000"/>
          </w:tcPr>
          <w:p>
            <w:pPr>
              <w:spacing w:after="0"/>
              <w:rPr>
                <w:sz w:val="20"/>
                <w:szCs w:val="20"/>
                <w:color w:val="auto"/>
              </w:rPr>
            </w:pPr>
            <w:r>
              <w:rPr>
                <w:rFonts w:ascii="Arial" w:cs="Arial" w:eastAsia="Arial" w:hAnsi="Arial"/>
                <w:sz w:val="14"/>
                <w:szCs w:val="14"/>
                <w:i w:val="1"/>
                <w:iCs w:val="1"/>
                <w:color w:val="FFFFFF"/>
              </w:rPr>
              <w:t>(millions of dollars)</w:t>
            </w:r>
          </w:p>
        </w:tc>
        <w:tc>
          <w:tcPr>
            <w:tcW w:w="720" w:type="dxa"/>
            <w:vAlign w:val="bottom"/>
            <w:tcBorders>
              <w:bottom w:val="single" w:sz="8" w:color="auto"/>
            </w:tcBorders>
            <w:shd w:val="clear" w:color="auto" w:fill="000000"/>
          </w:tcPr>
          <w:p>
            <w:pPr>
              <w:spacing w:after="0"/>
              <w:rPr>
                <w:sz w:val="19"/>
                <w:szCs w:val="19"/>
                <w:color w:val="auto"/>
              </w:rPr>
            </w:pPr>
          </w:p>
        </w:tc>
        <w:tc>
          <w:tcPr>
            <w:tcW w:w="200" w:type="dxa"/>
            <w:vAlign w:val="bottom"/>
            <w:tcBorders>
              <w:bottom w:val="single" w:sz="8" w:color="auto"/>
            </w:tcBorders>
            <w:shd w:val="clear" w:color="auto" w:fill="000000"/>
          </w:tcPr>
          <w:p>
            <w:pPr>
              <w:spacing w:after="0"/>
              <w:rPr>
                <w:sz w:val="19"/>
                <w:szCs w:val="19"/>
                <w:color w:val="auto"/>
              </w:rPr>
            </w:pPr>
          </w:p>
        </w:tc>
        <w:tc>
          <w:tcPr>
            <w:tcW w:w="420" w:type="dxa"/>
            <w:vAlign w:val="bottom"/>
            <w:tcBorders>
              <w:bottom w:val="single" w:sz="8" w:color="auto"/>
            </w:tcBorders>
            <w:gridSpan w:val="2"/>
            <w:shd w:val="clear" w:color="auto" w:fill="000000"/>
          </w:tcPr>
          <w:p>
            <w:pPr>
              <w:ind w:left="40"/>
              <w:spacing w:after="0"/>
              <w:rPr>
                <w:sz w:val="20"/>
                <w:szCs w:val="20"/>
                <w:color w:val="auto"/>
              </w:rPr>
            </w:pPr>
            <w:r>
              <w:rPr>
                <w:rFonts w:ascii="Arial" w:cs="Arial" w:eastAsia="Arial" w:hAnsi="Arial"/>
                <w:sz w:val="16"/>
                <w:szCs w:val="16"/>
                <w:b w:val="1"/>
                <w:bCs w:val="1"/>
                <w:color w:val="FFFFFF"/>
              </w:rPr>
              <w:t>U.S.</w:t>
            </w:r>
          </w:p>
        </w:tc>
        <w:tc>
          <w:tcPr>
            <w:tcW w:w="160" w:type="dxa"/>
            <w:vAlign w:val="bottom"/>
            <w:tcBorders>
              <w:bottom w:val="single" w:sz="8" w:color="auto"/>
            </w:tcBorders>
            <w:shd w:val="clear" w:color="auto" w:fill="000000"/>
          </w:tcPr>
          <w:p>
            <w:pPr>
              <w:spacing w:after="0"/>
              <w:rPr>
                <w:sz w:val="19"/>
                <w:szCs w:val="19"/>
                <w:color w:val="auto"/>
              </w:rPr>
            </w:pPr>
          </w:p>
        </w:tc>
        <w:tc>
          <w:tcPr>
            <w:tcW w:w="860" w:type="dxa"/>
            <w:vAlign w:val="bottom"/>
            <w:tcBorders>
              <w:bottom w:val="single" w:sz="8" w:color="auto"/>
            </w:tcBorders>
            <w:shd w:val="clear" w:color="auto" w:fill="000000"/>
          </w:tcPr>
          <w:p>
            <w:pPr>
              <w:jc w:val="right"/>
              <w:ind w:right="46"/>
              <w:spacing w:after="0"/>
              <w:rPr>
                <w:sz w:val="20"/>
                <w:szCs w:val="20"/>
                <w:color w:val="auto"/>
              </w:rPr>
            </w:pPr>
            <w:r>
              <w:rPr>
                <w:rFonts w:ascii="Arial" w:cs="Arial" w:eastAsia="Arial" w:hAnsi="Arial"/>
                <w:sz w:val="16"/>
                <w:szCs w:val="16"/>
                <w:b w:val="1"/>
                <w:bCs w:val="1"/>
                <w:color w:val="FFFFFF"/>
              </w:rPr>
              <w:t>Non-U.S.</w:t>
            </w:r>
          </w:p>
        </w:tc>
        <w:tc>
          <w:tcPr>
            <w:tcW w:w="640" w:type="dxa"/>
            <w:vAlign w:val="bottom"/>
            <w:tcBorders>
              <w:bottom w:val="single" w:sz="8" w:color="auto"/>
            </w:tcBorders>
            <w:shd w:val="clear" w:color="auto" w:fill="000000"/>
          </w:tcPr>
          <w:p>
            <w:pPr>
              <w:jc w:val="right"/>
              <w:ind w:right="47"/>
              <w:spacing w:after="0"/>
              <w:rPr>
                <w:sz w:val="20"/>
                <w:szCs w:val="20"/>
                <w:color w:val="auto"/>
              </w:rPr>
            </w:pPr>
            <w:r>
              <w:rPr>
                <w:rFonts w:ascii="Arial" w:cs="Arial" w:eastAsia="Arial" w:hAnsi="Arial"/>
                <w:sz w:val="16"/>
                <w:szCs w:val="16"/>
                <w:b w:val="1"/>
                <w:bCs w:val="1"/>
                <w:color w:val="FFFFFF"/>
              </w:rPr>
              <w:t>Total</w:t>
            </w:r>
          </w:p>
        </w:tc>
        <w:tc>
          <w:tcPr>
            <w:tcW w:w="800" w:type="dxa"/>
            <w:vAlign w:val="bottom"/>
            <w:tcBorders>
              <w:bottom w:val="single" w:sz="8" w:color="auto"/>
            </w:tcBorders>
            <w:shd w:val="clear" w:color="auto" w:fill="000000"/>
          </w:tcPr>
          <w:p>
            <w:pPr>
              <w:jc w:val="right"/>
              <w:ind w:right="107"/>
              <w:spacing w:after="0"/>
              <w:rPr>
                <w:sz w:val="20"/>
                <w:szCs w:val="20"/>
                <w:color w:val="auto"/>
              </w:rPr>
            </w:pPr>
            <w:r>
              <w:rPr>
                <w:rFonts w:ascii="Arial" w:cs="Arial" w:eastAsia="Arial" w:hAnsi="Arial"/>
                <w:sz w:val="16"/>
                <w:szCs w:val="16"/>
                <w:b w:val="1"/>
                <w:bCs w:val="1"/>
                <w:color w:val="FFFFFF"/>
              </w:rPr>
              <w:t>U.S.</w:t>
            </w:r>
          </w:p>
        </w:tc>
        <w:tc>
          <w:tcPr>
            <w:tcW w:w="960" w:type="dxa"/>
            <w:vAlign w:val="bottom"/>
            <w:tcBorders>
              <w:bottom w:val="single" w:sz="8" w:color="auto"/>
            </w:tcBorders>
            <w:shd w:val="clear" w:color="auto" w:fill="000000"/>
          </w:tcPr>
          <w:p>
            <w:pPr>
              <w:jc w:val="right"/>
              <w:ind w:right="66"/>
              <w:spacing w:after="0"/>
              <w:rPr>
                <w:sz w:val="20"/>
                <w:szCs w:val="20"/>
                <w:color w:val="auto"/>
              </w:rPr>
            </w:pPr>
            <w:r>
              <w:rPr>
                <w:rFonts w:ascii="Arial" w:cs="Arial" w:eastAsia="Arial" w:hAnsi="Arial"/>
                <w:sz w:val="16"/>
                <w:szCs w:val="16"/>
                <w:b w:val="1"/>
                <w:bCs w:val="1"/>
                <w:color w:val="FFFFFF"/>
              </w:rPr>
              <w:t>Non-U.S.</w:t>
            </w:r>
          </w:p>
        </w:tc>
        <w:tc>
          <w:tcPr>
            <w:tcW w:w="700" w:type="dxa"/>
            <w:vAlign w:val="bottom"/>
            <w:tcBorders>
              <w:bottom w:val="single" w:sz="8" w:color="auto"/>
            </w:tcBorders>
            <w:shd w:val="clear" w:color="auto" w:fill="000000"/>
          </w:tcPr>
          <w:p>
            <w:pPr>
              <w:jc w:val="right"/>
              <w:ind w:right="107"/>
              <w:spacing w:after="0"/>
              <w:rPr>
                <w:sz w:val="20"/>
                <w:szCs w:val="20"/>
                <w:color w:val="auto"/>
              </w:rPr>
            </w:pPr>
            <w:r>
              <w:rPr>
                <w:rFonts w:ascii="Arial" w:cs="Arial" w:eastAsia="Arial" w:hAnsi="Arial"/>
                <w:sz w:val="16"/>
                <w:szCs w:val="16"/>
                <w:b w:val="1"/>
                <w:bCs w:val="1"/>
                <w:color w:val="FFFFFF"/>
              </w:rPr>
              <w:t>Total</w:t>
            </w:r>
          </w:p>
        </w:tc>
        <w:tc>
          <w:tcPr>
            <w:tcW w:w="720" w:type="dxa"/>
            <w:vAlign w:val="bottom"/>
            <w:tcBorders>
              <w:bottom w:val="single" w:sz="8" w:color="auto"/>
            </w:tcBorders>
            <w:shd w:val="clear" w:color="auto" w:fill="000000"/>
          </w:tcPr>
          <w:p>
            <w:pPr>
              <w:jc w:val="right"/>
              <w:ind w:right="147"/>
              <w:spacing w:after="0"/>
              <w:rPr>
                <w:sz w:val="20"/>
                <w:szCs w:val="20"/>
                <w:color w:val="auto"/>
              </w:rPr>
            </w:pPr>
            <w:r>
              <w:rPr>
                <w:rFonts w:ascii="Arial" w:cs="Arial" w:eastAsia="Arial" w:hAnsi="Arial"/>
                <w:sz w:val="16"/>
                <w:szCs w:val="16"/>
                <w:b w:val="1"/>
                <w:bCs w:val="1"/>
                <w:color w:val="FFFFFF"/>
              </w:rPr>
              <w:t>U.S.</w:t>
            </w:r>
          </w:p>
        </w:tc>
        <w:tc>
          <w:tcPr>
            <w:tcW w:w="920" w:type="dxa"/>
            <w:vAlign w:val="bottom"/>
            <w:tcBorders>
              <w:bottom w:val="single" w:sz="8" w:color="auto"/>
            </w:tcBorders>
            <w:shd w:val="clear" w:color="auto" w:fill="000000"/>
          </w:tcPr>
          <w:p>
            <w:pPr>
              <w:jc w:val="right"/>
              <w:ind w:right="26"/>
              <w:spacing w:after="0"/>
              <w:rPr>
                <w:sz w:val="20"/>
                <w:szCs w:val="20"/>
                <w:color w:val="auto"/>
              </w:rPr>
            </w:pPr>
            <w:r>
              <w:rPr>
                <w:rFonts w:ascii="Arial" w:cs="Arial" w:eastAsia="Arial" w:hAnsi="Arial"/>
                <w:sz w:val="16"/>
                <w:szCs w:val="16"/>
                <w:b w:val="1"/>
                <w:bCs w:val="1"/>
                <w:color w:val="FFFFFF"/>
              </w:rPr>
              <w:t>Non-U.S.</w:t>
            </w:r>
          </w:p>
        </w:tc>
        <w:tc>
          <w:tcPr>
            <w:tcW w:w="560" w:type="dxa"/>
            <w:vAlign w:val="bottom"/>
            <w:tcBorders>
              <w:bottom w:val="single" w:sz="8" w:color="auto"/>
            </w:tcBorders>
            <w:shd w:val="clear" w:color="auto" w:fill="000000"/>
          </w:tcPr>
          <w:p>
            <w:pPr>
              <w:jc w:val="right"/>
              <w:ind w:right="7"/>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162"/>
        </w:trPr>
        <w:tc>
          <w:tcPr>
            <w:tcW w:w="2060" w:type="dxa"/>
            <w:vAlign w:val="bottom"/>
          </w:tcPr>
          <w:p>
            <w:pPr>
              <w:ind w:left="20"/>
              <w:spacing w:after="0"/>
              <w:rPr>
                <w:sz w:val="20"/>
                <w:szCs w:val="20"/>
                <w:color w:val="auto"/>
              </w:rPr>
            </w:pPr>
            <w:r>
              <w:rPr>
                <w:rFonts w:ascii="Arial" w:cs="Arial" w:eastAsia="Arial" w:hAnsi="Arial"/>
                <w:sz w:val="14"/>
                <w:szCs w:val="14"/>
                <w:color w:val="auto"/>
              </w:rPr>
              <w:t>Earnings (loss) (U.S. GAAP)</w:t>
            </w:r>
          </w:p>
        </w:tc>
        <w:tc>
          <w:tcPr>
            <w:tcW w:w="720" w:type="dxa"/>
            <w:vAlign w:val="bottom"/>
          </w:tcPr>
          <w:p>
            <w:pPr>
              <w:spacing w:after="0"/>
              <w:rPr>
                <w:sz w:val="14"/>
                <w:szCs w:val="14"/>
                <w:color w:val="auto"/>
              </w:rPr>
            </w:pPr>
          </w:p>
        </w:tc>
        <w:tc>
          <w:tcPr>
            <w:tcW w:w="620" w:type="dxa"/>
            <w:vAlign w:val="bottom"/>
            <w:gridSpan w:val="3"/>
            <w:shd w:val="clear" w:color="auto" w:fill="F2F2F2"/>
          </w:tcPr>
          <w:p>
            <w:pPr>
              <w:jc w:val="right"/>
              <w:ind w:right="40"/>
              <w:spacing w:after="0"/>
              <w:rPr>
                <w:sz w:val="20"/>
                <w:szCs w:val="20"/>
                <w:color w:val="auto"/>
              </w:rPr>
            </w:pPr>
            <w:r>
              <w:rPr>
                <w:rFonts w:ascii="Arial" w:cs="Arial" w:eastAsia="Arial" w:hAnsi="Arial"/>
                <w:sz w:val="14"/>
                <w:szCs w:val="14"/>
                <w:color w:val="auto"/>
              </w:rPr>
              <w:t>1,190</w:t>
            </w:r>
          </w:p>
        </w:tc>
        <w:tc>
          <w:tcPr>
            <w:tcW w:w="1020" w:type="dxa"/>
            <w:vAlign w:val="bottom"/>
            <w:gridSpan w:val="2"/>
            <w:shd w:val="clear" w:color="auto" w:fill="F2F2F2"/>
          </w:tcPr>
          <w:p>
            <w:pPr>
              <w:jc w:val="right"/>
              <w:ind w:right="46"/>
              <w:spacing w:after="0"/>
              <w:rPr>
                <w:sz w:val="20"/>
                <w:szCs w:val="20"/>
                <w:color w:val="auto"/>
              </w:rPr>
            </w:pPr>
            <w:r>
              <w:rPr>
                <w:rFonts w:ascii="Arial" w:cs="Arial" w:eastAsia="Arial" w:hAnsi="Arial"/>
                <w:sz w:val="14"/>
                <w:szCs w:val="14"/>
                <w:color w:val="auto"/>
              </w:rPr>
              <w:t>1,225</w:t>
            </w:r>
          </w:p>
        </w:tc>
        <w:tc>
          <w:tcPr>
            <w:tcW w:w="640" w:type="dxa"/>
            <w:vAlign w:val="bottom"/>
            <w:shd w:val="clear" w:color="auto" w:fill="F2F2F2"/>
          </w:tcPr>
          <w:p>
            <w:pPr>
              <w:jc w:val="right"/>
              <w:ind w:right="7"/>
              <w:spacing w:after="0"/>
              <w:rPr>
                <w:sz w:val="20"/>
                <w:szCs w:val="20"/>
                <w:color w:val="auto"/>
              </w:rPr>
            </w:pPr>
            <w:r>
              <w:rPr>
                <w:rFonts w:ascii="Arial" w:cs="Arial" w:eastAsia="Arial" w:hAnsi="Arial"/>
                <w:sz w:val="14"/>
                <w:szCs w:val="14"/>
                <w:color w:val="auto"/>
              </w:rPr>
              <w:t>2,415</w:t>
            </w:r>
          </w:p>
        </w:tc>
        <w:tc>
          <w:tcPr>
            <w:tcW w:w="800" w:type="dxa"/>
            <w:vAlign w:val="bottom"/>
          </w:tcPr>
          <w:p>
            <w:pPr>
              <w:jc w:val="right"/>
              <w:ind w:right="67"/>
              <w:spacing w:after="0"/>
              <w:rPr>
                <w:sz w:val="20"/>
                <w:szCs w:val="20"/>
                <w:color w:val="auto"/>
              </w:rPr>
            </w:pPr>
            <w:r>
              <w:rPr>
                <w:rFonts w:ascii="Arial" w:cs="Arial" w:eastAsia="Arial" w:hAnsi="Arial"/>
                <w:sz w:val="14"/>
                <w:szCs w:val="14"/>
                <w:color w:val="auto"/>
              </w:rPr>
              <w:t>1,452</w:t>
            </w:r>
          </w:p>
        </w:tc>
        <w:tc>
          <w:tcPr>
            <w:tcW w:w="960" w:type="dxa"/>
            <w:vAlign w:val="bottom"/>
          </w:tcPr>
          <w:p>
            <w:pPr>
              <w:jc w:val="right"/>
              <w:ind w:right="66"/>
              <w:spacing w:after="0"/>
              <w:rPr>
                <w:sz w:val="20"/>
                <w:szCs w:val="20"/>
                <w:color w:val="auto"/>
              </w:rPr>
            </w:pPr>
            <w:r>
              <w:rPr>
                <w:rFonts w:ascii="Arial" w:cs="Arial" w:eastAsia="Arial" w:hAnsi="Arial"/>
                <w:sz w:val="14"/>
                <w:szCs w:val="14"/>
                <w:color w:val="auto"/>
              </w:rPr>
              <w:t>1,807</w:t>
            </w:r>
          </w:p>
        </w:tc>
        <w:tc>
          <w:tcPr>
            <w:tcW w:w="700" w:type="dxa"/>
            <w:vAlign w:val="bottom"/>
          </w:tcPr>
          <w:p>
            <w:pPr>
              <w:jc w:val="right"/>
              <w:ind w:right="107"/>
              <w:spacing w:after="0"/>
              <w:rPr>
                <w:sz w:val="20"/>
                <w:szCs w:val="20"/>
                <w:color w:val="auto"/>
              </w:rPr>
            </w:pPr>
            <w:r>
              <w:rPr>
                <w:rFonts w:ascii="Arial" w:cs="Arial" w:eastAsia="Arial" w:hAnsi="Arial"/>
                <w:sz w:val="14"/>
                <w:szCs w:val="14"/>
                <w:color w:val="auto"/>
              </w:rPr>
              <w:t>3,259</w:t>
            </w:r>
          </w:p>
        </w:tc>
        <w:tc>
          <w:tcPr>
            <w:tcW w:w="720" w:type="dxa"/>
            <w:vAlign w:val="bottom"/>
          </w:tcPr>
          <w:p>
            <w:pPr>
              <w:jc w:val="right"/>
              <w:ind w:right="67"/>
              <w:spacing w:after="0"/>
              <w:rPr>
                <w:sz w:val="20"/>
                <w:szCs w:val="20"/>
                <w:color w:val="auto"/>
              </w:rPr>
            </w:pPr>
            <w:r>
              <w:rPr>
                <w:rFonts w:ascii="Arial" w:cs="Arial" w:eastAsia="Arial" w:hAnsi="Arial"/>
                <w:sz w:val="14"/>
                <w:szCs w:val="14"/>
                <w:color w:val="auto"/>
              </w:rPr>
              <w:t>571</w:t>
            </w:r>
          </w:p>
        </w:tc>
        <w:tc>
          <w:tcPr>
            <w:tcW w:w="920" w:type="dxa"/>
            <w:vAlign w:val="bottom"/>
          </w:tcPr>
          <w:p>
            <w:pPr>
              <w:jc w:val="right"/>
              <w:ind w:right="26"/>
              <w:spacing w:after="0"/>
              <w:rPr>
                <w:sz w:val="20"/>
                <w:szCs w:val="20"/>
                <w:color w:val="auto"/>
              </w:rPr>
            </w:pPr>
            <w:r>
              <w:rPr>
                <w:rFonts w:ascii="Arial" w:cs="Arial" w:eastAsia="Arial" w:hAnsi="Arial"/>
                <w:sz w:val="14"/>
                <w:szCs w:val="14"/>
                <w:color w:val="auto"/>
              </w:rPr>
              <w:t>630</w:t>
            </w:r>
          </w:p>
        </w:tc>
        <w:tc>
          <w:tcPr>
            <w:tcW w:w="560" w:type="dxa"/>
            <w:vAlign w:val="bottom"/>
          </w:tcPr>
          <w:p>
            <w:pPr>
              <w:jc w:val="right"/>
              <w:ind w:right="7"/>
              <w:spacing w:after="0"/>
              <w:rPr>
                <w:sz w:val="20"/>
                <w:szCs w:val="20"/>
                <w:color w:val="auto"/>
              </w:rPr>
            </w:pPr>
            <w:r>
              <w:rPr>
                <w:rFonts w:ascii="Arial" w:cs="Arial" w:eastAsia="Arial" w:hAnsi="Arial"/>
                <w:sz w:val="14"/>
                <w:szCs w:val="14"/>
                <w:color w:val="auto"/>
              </w:rPr>
              <w:t>1,201</w:t>
            </w:r>
          </w:p>
        </w:tc>
        <w:tc>
          <w:tcPr>
            <w:tcW w:w="0" w:type="dxa"/>
            <w:vAlign w:val="bottom"/>
          </w:tcPr>
          <w:p>
            <w:pPr>
              <w:spacing w:after="0"/>
              <w:rPr>
                <w:sz w:val="1"/>
                <w:szCs w:val="1"/>
                <w:color w:val="auto"/>
              </w:rPr>
            </w:pPr>
          </w:p>
        </w:tc>
      </w:tr>
      <w:tr>
        <w:trPr>
          <w:trHeight w:val="162"/>
        </w:trPr>
        <w:tc>
          <w:tcPr>
            <w:tcW w:w="2060" w:type="dxa"/>
            <w:vAlign w:val="bottom"/>
          </w:tcPr>
          <w:p>
            <w:pPr>
              <w:ind w:left="140"/>
              <w:spacing w:after="0"/>
              <w:rPr>
                <w:sz w:val="20"/>
                <w:szCs w:val="20"/>
                <w:color w:val="auto"/>
              </w:rPr>
            </w:pPr>
            <w:r>
              <w:rPr>
                <w:rFonts w:ascii="Arial" w:cs="Arial" w:eastAsia="Arial" w:hAnsi="Arial"/>
                <w:sz w:val="14"/>
                <w:szCs w:val="14"/>
                <w:color w:val="auto"/>
              </w:rPr>
              <w:t>Impairments</w:t>
            </w:r>
          </w:p>
        </w:tc>
        <w:tc>
          <w:tcPr>
            <w:tcW w:w="720" w:type="dxa"/>
            <w:vAlign w:val="bottom"/>
          </w:tcPr>
          <w:p>
            <w:pPr>
              <w:spacing w:after="0"/>
              <w:rPr>
                <w:sz w:val="14"/>
                <w:szCs w:val="14"/>
                <w:color w:val="auto"/>
              </w:rPr>
            </w:pPr>
          </w:p>
        </w:tc>
        <w:tc>
          <w:tcPr>
            <w:tcW w:w="200" w:type="dxa"/>
            <w:vAlign w:val="bottom"/>
            <w:shd w:val="clear" w:color="auto" w:fill="F2F2F2"/>
          </w:tcPr>
          <w:p>
            <w:pPr>
              <w:spacing w:after="0"/>
              <w:rPr>
                <w:sz w:val="14"/>
                <w:szCs w:val="14"/>
                <w:color w:val="auto"/>
              </w:rPr>
            </w:pPr>
          </w:p>
        </w:tc>
        <w:tc>
          <w:tcPr>
            <w:tcW w:w="420" w:type="dxa"/>
            <w:vAlign w:val="bottom"/>
            <w:gridSpan w:val="2"/>
            <w:shd w:val="clear" w:color="auto" w:fill="F2F2F2"/>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F2F2F2"/>
          </w:tcPr>
          <w:p>
            <w:pPr>
              <w:jc w:val="right"/>
              <w:ind w:right="46"/>
              <w:spacing w:after="0"/>
              <w:rPr>
                <w:sz w:val="20"/>
                <w:szCs w:val="20"/>
                <w:color w:val="auto"/>
              </w:rPr>
            </w:pPr>
            <w:r>
              <w:rPr>
                <w:rFonts w:ascii="Arial" w:cs="Arial" w:eastAsia="Arial" w:hAnsi="Arial"/>
                <w:sz w:val="14"/>
                <w:szCs w:val="14"/>
                <w:color w:val="auto"/>
              </w:rPr>
              <w:t>(40)</w:t>
            </w:r>
          </w:p>
        </w:tc>
        <w:tc>
          <w:tcPr>
            <w:tcW w:w="640" w:type="dxa"/>
            <w:vAlign w:val="bottom"/>
            <w:shd w:val="clear" w:color="auto" w:fill="F2F2F2"/>
          </w:tcPr>
          <w:p>
            <w:pPr>
              <w:jc w:val="right"/>
              <w:ind w:right="7"/>
              <w:spacing w:after="0"/>
              <w:rPr>
                <w:sz w:val="20"/>
                <w:szCs w:val="20"/>
                <w:color w:val="auto"/>
              </w:rPr>
            </w:pPr>
            <w:r>
              <w:rPr>
                <w:rFonts w:ascii="Arial" w:cs="Arial" w:eastAsia="Arial" w:hAnsi="Arial"/>
                <w:sz w:val="14"/>
                <w:szCs w:val="14"/>
                <w:color w:val="auto"/>
              </w:rPr>
              <w:t>(40)</w:t>
            </w:r>
          </w:p>
        </w:tc>
        <w:tc>
          <w:tcPr>
            <w:tcW w:w="80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6"/>
              <w:spacing w:after="0"/>
              <w:rPr>
                <w:sz w:val="20"/>
                <w:szCs w:val="20"/>
                <w:color w:val="auto"/>
              </w:rPr>
            </w:pPr>
            <w:r>
              <w:rPr>
                <w:rFonts w:ascii="Arial" w:cs="Arial" w:eastAsia="Arial" w:hAnsi="Arial"/>
                <w:sz w:val="14"/>
                <w:szCs w:val="14"/>
                <w:color w:val="auto"/>
              </w:rPr>
              <w:t>(219)</w:t>
            </w:r>
          </w:p>
        </w:tc>
        <w:tc>
          <w:tcPr>
            <w:tcW w:w="560" w:type="dxa"/>
            <w:vAlign w:val="bottom"/>
          </w:tcPr>
          <w:p>
            <w:pPr>
              <w:jc w:val="right"/>
              <w:ind w:right="7"/>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62"/>
        </w:trPr>
        <w:tc>
          <w:tcPr>
            <w:tcW w:w="2060" w:type="dxa"/>
            <w:vAlign w:val="bottom"/>
          </w:tcPr>
          <w:p>
            <w:pPr>
              <w:ind w:left="140"/>
              <w:spacing w:after="0"/>
              <w:rPr>
                <w:sz w:val="20"/>
                <w:szCs w:val="20"/>
                <w:color w:val="auto"/>
              </w:rPr>
            </w:pPr>
            <w:r>
              <w:rPr>
                <w:rFonts w:ascii="Arial" w:cs="Arial" w:eastAsia="Arial" w:hAnsi="Arial"/>
                <w:sz w:val="14"/>
                <w:szCs w:val="14"/>
                <w:color w:val="auto"/>
              </w:rPr>
              <w:t>Gain/(loss) on sale of assets</w:t>
            </w:r>
          </w:p>
        </w:tc>
        <w:tc>
          <w:tcPr>
            <w:tcW w:w="720" w:type="dxa"/>
            <w:vAlign w:val="bottom"/>
          </w:tcPr>
          <w:p>
            <w:pPr>
              <w:spacing w:after="0"/>
              <w:rPr>
                <w:sz w:val="14"/>
                <w:szCs w:val="14"/>
                <w:color w:val="auto"/>
              </w:rPr>
            </w:pPr>
          </w:p>
        </w:tc>
        <w:tc>
          <w:tcPr>
            <w:tcW w:w="200" w:type="dxa"/>
            <w:vAlign w:val="bottom"/>
            <w:shd w:val="clear" w:color="auto" w:fill="F2F2F2"/>
          </w:tcPr>
          <w:p>
            <w:pPr>
              <w:spacing w:after="0"/>
              <w:rPr>
                <w:sz w:val="14"/>
                <w:szCs w:val="14"/>
                <w:color w:val="auto"/>
              </w:rPr>
            </w:pPr>
          </w:p>
        </w:tc>
        <w:tc>
          <w:tcPr>
            <w:tcW w:w="3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F2F2F2"/>
          </w:tcPr>
          <w:p>
            <w:pPr>
              <w:spacing w:after="0"/>
              <w:rPr>
                <w:sz w:val="14"/>
                <w:szCs w:val="14"/>
                <w:color w:val="auto"/>
              </w:rPr>
            </w:pPr>
          </w:p>
        </w:tc>
        <w:tc>
          <w:tcPr>
            <w:tcW w:w="160" w:type="dxa"/>
            <w:vAlign w:val="bottom"/>
            <w:shd w:val="clear" w:color="auto" w:fill="F2F2F2"/>
          </w:tcPr>
          <w:p>
            <w:pPr>
              <w:spacing w:after="0"/>
              <w:rPr>
                <w:sz w:val="14"/>
                <w:szCs w:val="14"/>
                <w:color w:val="auto"/>
              </w:rPr>
            </w:pPr>
          </w:p>
        </w:tc>
        <w:tc>
          <w:tcPr>
            <w:tcW w:w="860" w:type="dxa"/>
            <w:vAlign w:val="bottom"/>
            <w:shd w:val="clear" w:color="auto" w:fill="F2F2F2"/>
          </w:tcPr>
          <w:p>
            <w:pPr>
              <w:jc w:val="right"/>
              <w:ind w:right="46"/>
              <w:spacing w:after="0"/>
              <w:rPr>
                <w:sz w:val="20"/>
                <w:szCs w:val="20"/>
                <w:color w:val="auto"/>
              </w:rPr>
            </w:pPr>
            <w:r>
              <w:rPr>
                <w:rFonts w:ascii="Arial" w:cs="Arial" w:eastAsia="Arial" w:hAnsi="Arial"/>
                <w:sz w:val="14"/>
                <w:szCs w:val="14"/>
                <w:color w:val="auto"/>
              </w:rPr>
              <w:t>—</w:t>
            </w:r>
          </w:p>
        </w:tc>
        <w:tc>
          <w:tcPr>
            <w:tcW w:w="640" w:type="dxa"/>
            <w:vAlign w:val="bottom"/>
            <w:shd w:val="clear" w:color="auto" w:fill="F2F2F2"/>
          </w:tcPr>
          <w:p>
            <w:pPr>
              <w:jc w:val="right"/>
              <w:ind w:right="7"/>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7"/>
              <w:spacing w:after="0"/>
              <w:rPr>
                <w:sz w:val="20"/>
                <w:szCs w:val="20"/>
                <w:color w:val="auto"/>
              </w:rPr>
            </w:pPr>
            <w:r>
              <w:rPr>
                <w:rFonts w:ascii="Arial" w:cs="Arial" w:eastAsia="Arial" w:hAnsi="Arial"/>
                <w:sz w:val="14"/>
                <w:szCs w:val="14"/>
                <w:color w:val="auto"/>
              </w:rPr>
              <w:t>498</w:t>
            </w:r>
          </w:p>
        </w:tc>
        <w:tc>
          <w:tcPr>
            <w:tcW w:w="960" w:type="dxa"/>
            <w:vAlign w:val="bottom"/>
          </w:tcPr>
          <w:p>
            <w:pPr>
              <w:jc w:val="right"/>
              <w:ind w:right="66"/>
              <w:spacing w:after="0"/>
              <w:rPr>
                <w:sz w:val="20"/>
                <w:szCs w:val="20"/>
                <w:color w:val="auto"/>
              </w:rPr>
            </w:pPr>
            <w:r>
              <w:rPr>
                <w:rFonts w:ascii="Arial" w:cs="Arial" w:eastAsia="Arial" w:hAnsi="Arial"/>
                <w:sz w:val="14"/>
                <w:szCs w:val="14"/>
                <w:color w:val="auto"/>
              </w:rPr>
              <w:t>136</w:t>
            </w:r>
          </w:p>
        </w:tc>
        <w:tc>
          <w:tcPr>
            <w:tcW w:w="700" w:type="dxa"/>
            <w:vAlign w:val="bottom"/>
          </w:tcPr>
          <w:p>
            <w:pPr>
              <w:jc w:val="right"/>
              <w:ind w:right="107"/>
              <w:spacing w:after="0"/>
              <w:rPr>
                <w:sz w:val="20"/>
                <w:szCs w:val="20"/>
                <w:color w:val="auto"/>
              </w:rPr>
            </w:pPr>
            <w:r>
              <w:rPr>
                <w:rFonts w:ascii="Arial" w:cs="Arial" w:eastAsia="Arial" w:hAnsi="Arial"/>
                <w:sz w:val="14"/>
                <w:szCs w:val="14"/>
                <w:color w:val="auto"/>
              </w:rPr>
              <w:t>634</w:t>
            </w:r>
          </w:p>
        </w:tc>
        <w:tc>
          <w:tcPr>
            <w:tcW w:w="72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6"/>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Tax-related items</w:t>
            </w: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shd w:val="clear" w:color="auto" w:fill="F2F2F2"/>
          </w:tcPr>
          <w:p>
            <w:pPr>
              <w:spacing w:after="0"/>
              <w:rPr>
                <w:sz w:val="16"/>
                <w:szCs w:val="16"/>
                <w:color w:val="auto"/>
              </w:rPr>
            </w:pPr>
          </w:p>
        </w:tc>
        <w:tc>
          <w:tcPr>
            <w:tcW w:w="38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F2F2F2"/>
          </w:tcPr>
          <w:p>
            <w:pPr>
              <w:spacing w:after="0"/>
              <w:rPr>
                <w:sz w:val="16"/>
                <w:szCs w:val="16"/>
                <w:color w:val="auto"/>
              </w:rPr>
            </w:pPr>
          </w:p>
        </w:tc>
        <w:tc>
          <w:tcPr>
            <w:tcW w:w="160" w:type="dxa"/>
            <w:vAlign w:val="bottom"/>
            <w:tcBorders>
              <w:bottom w:val="single" w:sz="8" w:color="auto"/>
            </w:tcBorders>
            <w:shd w:val="clear" w:color="auto" w:fill="F2F2F2"/>
          </w:tcPr>
          <w:p>
            <w:pPr>
              <w:spacing w:after="0"/>
              <w:rPr>
                <w:sz w:val="16"/>
                <w:szCs w:val="16"/>
                <w:color w:val="auto"/>
              </w:rPr>
            </w:pPr>
          </w:p>
        </w:tc>
        <w:tc>
          <w:tcPr>
            <w:tcW w:w="860" w:type="dxa"/>
            <w:vAlign w:val="bottom"/>
            <w:tcBorders>
              <w:bottom w:val="single" w:sz="8" w:color="auto"/>
            </w:tcBorders>
            <w:shd w:val="clear" w:color="auto" w:fill="F2F2F2"/>
          </w:tcPr>
          <w:p>
            <w:pPr>
              <w:jc w:val="right"/>
              <w:ind w:right="46"/>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F2F2F2"/>
          </w:tcPr>
          <w:p>
            <w:pPr>
              <w:jc w:val="right"/>
              <w:ind w:right="7"/>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(9)</w:t>
            </w: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3"/>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Identified Items</w:t>
            </w: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shd w:val="clear" w:color="auto" w:fill="F2F2F2"/>
          </w:tcPr>
          <w:p>
            <w:pPr>
              <w:spacing w:after="0"/>
              <w:rPr>
                <w:sz w:val="15"/>
                <w:szCs w:val="15"/>
                <w:color w:val="auto"/>
              </w:rPr>
            </w:pPr>
          </w:p>
        </w:tc>
        <w:tc>
          <w:tcPr>
            <w:tcW w:w="38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F2F2F2"/>
          </w:tcPr>
          <w:p>
            <w:pPr>
              <w:spacing w:after="0"/>
              <w:rPr>
                <w:sz w:val="15"/>
                <w:szCs w:val="15"/>
                <w:color w:val="auto"/>
              </w:rPr>
            </w:pPr>
          </w:p>
        </w:tc>
        <w:tc>
          <w:tcPr>
            <w:tcW w:w="160" w:type="dxa"/>
            <w:vAlign w:val="bottom"/>
            <w:tcBorders>
              <w:bottom w:val="single" w:sz="8" w:color="auto"/>
            </w:tcBorders>
            <w:shd w:val="clear" w:color="auto" w:fill="F2F2F2"/>
          </w:tcPr>
          <w:p>
            <w:pPr>
              <w:spacing w:after="0"/>
              <w:rPr>
                <w:sz w:val="15"/>
                <w:szCs w:val="15"/>
                <w:color w:val="auto"/>
              </w:rPr>
            </w:pPr>
          </w:p>
        </w:tc>
        <w:tc>
          <w:tcPr>
            <w:tcW w:w="860" w:type="dxa"/>
            <w:vAlign w:val="bottom"/>
            <w:tcBorders>
              <w:bottom w:val="single" w:sz="8" w:color="auto"/>
            </w:tcBorders>
            <w:shd w:val="clear" w:color="auto" w:fill="F2F2F2"/>
          </w:tcPr>
          <w:p>
            <w:pPr>
              <w:jc w:val="right"/>
              <w:ind w:right="46"/>
              <w:spacing w:after="0"/>
              <w:rPr>
                <w:sz w:val="20"/>
                <w:szCs w:val="20"/>
                <w:color w:val="auto"/>
              </w:rPr>
            </w:pPr>
            <w:r>
              <w:rPr>
                <w:rFonts w:ascii="Arial" w:cs="Arial" w:eastAsia="Arial" w:hAnsi="Arial"/>
                <w:sz w:val="14"/>
                <w:szCs w:val="14"/>
                <w:color w:val="auto"/>
              </w:rPr>
              <w:t>(40)</w:t>
            </w:r>
          </w:p>
        </w:tc>
        <w:tc>
          <w:tcPr>
            <w:tcW w:w="640" w:type="dxa"/>
            <w:vAlign w:val="bottom"/>
            <w:tcBorders>
              <w:bottom w:val="single" w:sz="8" w:color="auto"/>
            </w:tcBorders>
            <w:shd w:val="clear" w:color="auto" w:fill="F2F2F2"/>
          </w:tcPr>
          <w:p>
            <w:pPr>
              <w:jc w:val="right"/>
              <w:ind w:right="7"/>
              <w:spacing w:after="0"/>
              <w:rPr>
                <w:sz w:val="20"/>
                <w:szCs w:val="20"/>
                <w:color w:val="auto"/>
              </w:rPr>
            </w:pPr>
            <w:r>
              <w:rPr>
                <w:rFonts w:ascii="Arial" w:cs="Arial" w:eastAsia="Arial" w:hAnsi="Arial"/>
                <w:sz w:val="14"/>
                <w:szCs w:val="14"/>
                <w:color w:val="auto"/>
              </w:rPr>
              <w:t>(40)</w:t>
            </w:r>
          </w:p>
        </w:tc>
        <w:tc>
          <w:tcPr>
            <w:tcW w:w="80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498</w:t>
            </w:r>
          </w:p>
        </w:tc>
        <w:tc>
          <w:tcPr>
            <w:tcW w:w="96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136</w:t>
            </w:r>
          </w:p>
        </w:tc>
        <w:tc>
          <w:tcPr>
            <w:tcW w:w="70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634</w:t>
            </w:r>
          </w:p>
        </w:tc>
        <w:tc>
          <w:tcPr>
            <w:tcW w:w="72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(228)</w:t>
            </w: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46"/>
        </w:trPr>
        <w:tc>
          <w:tcPr>
            <w:tcW w:w="278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Earnings (loss) excluding Identified</w:t>
            </w:r>
          </w:p>
        </w:tc>
        <w:tc>
          <w:tcPr>
            <w:tcW w:w="200" w:type="dxa"/>
            <w:vAlign w:val="bottom"/>
            <w:shd w:val="clear" w:color="auto" w:fill="F2F2F2"/>
          </w:tcPr>
          <w:p>
            <w:pPr>
              <w:spacing w:after="0"/>
              <w:rPr>
                <w:sz w:val="12"/>
                <w:szCs w:val="12"/>
                <w:color w:val="auto"/>
              </w:rPr>
            </w:pPr>
          </w:p>
        </w:tc>
        <w:tc>
          <w:tcPr>
            <w:tcW w:w="380" w:type="dxa"/>
            <w:vAlign w:val="bottom"/>
            <w:vMerge w:val="restart"/>
            <w:shd w:val="clear" w:color="auto" w:fill="F2F2F2"/>
          </w:tcPr>
          <w:p>
            <w:pPr>
              <w:jc w:val="right"/>
              <w:spacing w:after="0"/>
              <w:rPr>
                <w:sz w:val="20"/>
                <w:szCs w:val="20"/>
                <w:color w:val="auto"/>
              </w:rPr>
            </w:pPr>
            <w:r>
              <w:rPr>
                <w:rFonts w:ascii="Arial" w:cs="Arial" w:eastAsia="Arial" w:hAnsi="Arial"/>
                <w:sz w:val="14"/>
                <w:szCs w:val="14"/>
                <w:b w:val="1"/>
                <w:bCs w:val="1"/>
                <w:color w:val="auto"/>
              </w:rPr>
              <w:t>1,190</w:t>
            </w:r>
          </w:p>
        </w:tc>
        <w:tc>
          <w:tcPr>
            <w:tcW w:w="40" w:type="dxa"/>
            <w:vAlign w:val="bottom"/>
            <w:shd w:val="clear" w:color="auto" w:fill="F2F2F2"/>
          </w:tcPr>
          <w:p>
            <w:pPr>
              <w:spacing w:after="0"/>
              <w:rPr>
                <w:sz w:val="12"/>
                <w:szCs w:val="12"/>
                <w:color w:val="auto"/>
              </w:rPr>
            </w:pPr>
          </w:p>
        </w:tc>
        <w:tc>
          <w:tcPr>
            <w:tcW w:w="160" w:type="dxa"/>
            <w:vAlign w:val="bottom"/>
            <w:shd w:val="clear" w:color="auto" w:fill="F2F2F2"/>
          </w:tcPr>
          <w:p>
            <w:pPr>
              <w:spacing w:after="0"/>
              <w:rPr>
                <w:sz w:val="12"/>
                <w:szCs w:val="12"/>
                <w:color w:val="auto"/>
              </w:rPr>
            </w:pPr>
          </w:p>
        </w:tc>
        <w:tc>
          <w:tcPr>
            <w:tcW w:w="860" w:type="dxa"/>
            <w:vAlign w:val="bottom"/>
            <w:vMerge w:val="restart"/>
            <w:shd w:val="clear" w:color="auto" w:fill="F2F2F2"/>
          </w:tcPr>
          <w:p>
            <w:pPr>
              <w:jc w:val="right"/>
              <w:ind w:right="46"/>
              <w:spacing w:after="0"/>
              <w:rPr>
                <w:sz w:val="20"/>
                <w:szCs w:val="20"/>
                <w:color w:val="auto"/>
              </w:rPr>
            </w:pPr>
            <w:r>
              <w:rPr>
                <w:rFonts w:ascii="Arial" w:cs="Arial" w:eastAsia="Arial" w:hAnsi="Arial"/>
                <w:sz w:val="14"/>
                <w:szCs w:val="14"/>
                <w:b w:val="1"/>
                <w:bCs w:val="1"/>
                <w:color w:val="auto"/>
              </w:rPr>
              <w:t>1,265</w:t>
            </w:r>
          </w:p>
        </w:tc>
        <w:tc>
          <w:tcPr>
            <w:tcW w:w="640" w:type="dxa"/>
            <w:vAlign w:val="bottom"/>
            <w:vMerge w:val="restart"/>
            <w:shd w:val="clear" w:color="auto" w:fill="F2F2F2"/>
          </w:tcPr>
          <w:p>
            <w:pPr>
              <w:jc w:val="right"/>
              <w:ind w:right="7"/>
              <w:spacing w:after="0"/>
              <w:rPr>
                <w:sz w:val="20"/>
                <w:szCs w:val="20"/>
                <w:color w:val="auto"/>
              </w:rPr>
            </w:pPr>
            <w:r>
              <w:rPr>
                <w:rFonts w:ascii="Arial" w:cs="Arial" w:eastAsia="Arial" w:hAnsi="Arial"/>
                <w:sz w:val="14"/>
                <w:szCs w:val="14"/>
                <w:b w:val="1"/>
                <w:bCs w:val="1"/>
                <w:color w:val="auto"/>
              </w:rPr>
              <w:t>2,455</w:t>
            </w:r>
          </w:p>
        </w:tc>
        <w:tc>
          <w:tcPr>
            <w:tcW w:w="800" w:type="dxa"/>
            <w:vAlign w:val="bottom"/>
            <w:vMerge w:val="restart"/>
          </w:tcPr>
          <w:p>
            <w:pPr>
              <w:jc w:val="right"/>
              <w:ind w:right="67"/>
              <w:spacing w:after="0"/>
              <w:rPr>
                <w:sz w:val="20"/>
                <w:szCs w:val="20"/>
                <w:color w:val="auto"/>
              </w:rPr>
            </w:pPr>
            <w:r>
              <w:rPr>
                <w:rFonts w:ascii="Arial" w:cs="Arial" w:eastAsia="Arial" w:hAnsi="Arial"/>
                <w:sz w:val="14"/>
                <w:szCs w:val="14"/>
                <w:b w:val="1"/>
                <w:bCs w:val="1"/>
                <w:color w:val="auto"/>
              </w:rPr>
              <w:t>954</w:t>
            </w:r>
          </w:p>
        </w:tc>
        <w:tc>
          <w:tcPr>
            <w:tcW w:w="960" w:type="dxa"/>
            <w:vAlign w:val="bottom"/>
            <w:vMerge w:val="restart"/>
          </w:tcPr>
          <w:p>
            <w:pPr>
              <w:jc w:val="right"/>
              <w:ind w:right="66"/>
              <w:spacing w:after="0"/>
              <w:rPr>
                <w:sz w:val="20"/>
                <w:szCs w:val="20"/>
                <w:color w:val="auto"/>
              </w:rPr>
            </w:pPr>
            <w:r>
              <w:rPr>
                <w:rFonts w:ascii="Arial" w:cs="Arial" w:eastAsia="Arial" w:hAnsi="Arial"/>
                <w:sz w:val="14"/>
                <w:szCs w:val="14"/>
                <w:b w:val="1"/>
                <w:bCs w:val="1"/>
                <w:color w:val="auto"/>
              </w:rPr>
              <w:t>1,672</w:t>
            </w:r>
          </w:p>
        </w:tc>
        <w:tc>
          <w:tcPr>
            <w:tcW w:w="700" w:type="dxa"/>
            <w:vAlign w:val="bottom"/>
            <w:vMerge w:val="restart"/>
          </w:tcPr>
          <w:p>
            <w:pPr>
              <w:jc w:val="right"/>
              <w:ind w:right="107"/>
              <w:spacing w:after="0"/>
              <w:rPr>
                <w:sz w:val="20"/>
                <w:szCs w:val="20"/>
                <w:color w:val="auto"/>
              </w:rPr>
            </w:pPr>
            <w:r>
              <w:rPr>
                <w:rFonts w:ascii="Arial" w:cs="Arial" w:eastAsia="Arial" w:hAnsi="Arial"/>
                <w:sz w:val="14"/>
                <w:szCs w:val="14"/>
                <w:b w:val="1"/>
                <w:bCs w:val="1"/>
                <w:color w:val="auto"/>
              </w:rPr>
              <w:t>2,625</w:t>
            </w:r>
          </w:p>
        </w:tc>
        <w:tc>
          <w:tcPr>
            <w:tcW w:w="720" w:type="dxa"/>
            <w:vAlign w:val="bottom"/>
            <w:vMerge w:val="restart"/>
          </w:tcPr>
          <w:p>
            <w:pPr>
              <w:jc w:val="right"/>
              <w:ind w:right="67"/>
              <w:spacing w:after="0"/>
              <w:rPr>
                <w:sz w:val="20"/>
                <w:szCs w:val="20"/>
                <w:color w:val="auto"/>
              </w:rPr>
            </w:pPr>
            <w:r>
              <w:rPr>
                <w:rFonts w:ascii="Arial" w:cs="Arial" w:eastAsia="Arial" w:hAnsi="Arial"/>
                <w:sz w:val="14"/>
                <w:szCs w:val="14"/>
                <w:b w:val="1"/>
                <w:bCs w:val="1"/>
                <w:color w:val="auto"/>
              </w:rPr>
              <w:t>571</w:t>
            </w:r>
          </w:p>
        </w:tc>
        <w:tc>
          <w:tcPr>
            <w:tcW w:w="920" w:type="dxa"/>
            <w:vAlign w:val="bottom"/>
            <w:vMerge w:val="restart"/>
          </w:tcPr>
          <w:p>
            <w:pPr>
              <w:jc w:val="right"/>
              <w:ind w:right="26"/>
              <w:spacing w:after="0"/>
              <w:rPr>
                <w:sz w:val="20"/>
                <w:szCs w:val="20"/>
                <w:color w:val="auto"/>
              </w:rPr>
            </w:pPr>
            <w:r>
              <w:rPr>
                <w:rFonts w:ascii="Arial" w:cs="Arial" w:eastAsia="Arial" w:hAnsi="Arial"/>
                <w:sz w:val="14"/>
                <w:szCs w:val="14"/>
                <w:b w:val="1"/>
                <w:bCs w:val="1"/>
                <w:color w:val="auto"/>
              </w:rPr>
              <w:t>858</w:t>
            </w:r>
          </w:p>
        </w:tc>
        <w:tc>
          <w:tcPr>
            <w:tcW w:w="560" w:type="dxa"/>
            <w:vAlign w:val="bottom"/>
            <w:vMerge w:val="restart"/>
          </w:tcPr>
          <w:p>
            <w:pPr>
              <w:jc w:val="right"/>
              <w:ind w:right="7"/>
              <w:spacing w:after="0"/>
              <w:rPr>
                <w:sz w:val="20"/>
                <w:szCs w:val="20"/>
                <w:color w:val="auto"/>
              </w:rPr>
            </w:pPr>
            <w:r>
              <w:rPr>
                <w:rFonts w:ascii="Arial" w:cs="Arial" w:eastAsia="Arial" w:hAnsi="Arial"/>
                <w:sz w:val="14"/>
                <w:szCs w:val="14"/>
                <w:b w:val="1"/>
                <w:bCs w:val="1"/>
                <w:color w:val="auto"/>
              </w:rPr>
              <w:t>1,429</w:t>
            </w:r>
          </w:p>
        </w:tc>
        <w:tc>
          <w:tcPr>
            <w:tcW w:w="0" w:type="dxa"/>
            <w:vAlign w:val="bottom"/>
          </w:tcPr>
          <w:p>
            <w:pPr>
              <w:spacing w:after="0"/>
              <w:rPr>
                <w:sz w:val="1"/>
                <w:szCs w:val="1"/>
                <w:color w:val="auto"/>
              </w:rPr>
            </w:pPr>
          </w:p>
        </w:tc>
      </w:tr>
      <w:tr>
        <w:trPr>
          <w:trHeight w:val="115"/>
        </w:trPr>
        <w:tc>
          <w:tcPr>
            <w:tcW w:w="2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Items </w:t>
            </w:r>
            <w:r>
              <w:rPr>
                <w:rFonts w:ascii="Arial" w:cs="Arial" w:eastAsia="Arial" w:hAnsi="Arial"/>
                <w:sz w:val="14"/>
                <w:szCs w:val="14"/>
                <w:color w:val="auto"/>
              </w:rPr>
              <w:t>(Non-GAAP)</w:t>
            </w:r>
          </w:p>
        </w:tc>
        <w:tc>
          <w:tcPr>
            <w:tcW w:w="720" w:type="dxa"/>
            <w:vAlign w:val="bottom"/>
          </w:tcPr>
          <w:p>
            <w:pPr>
              <w:spacing w:after="0"/>
              <w:rPr>
                <w:sz w:val="10"/>
                <w:szCs w:val="10"/>
                <w:color w:val="auto"/>
              </w:rPr>
            </w:pPr>
          </w:p>
        </w:tc>
        <w:tc>
          <w:tcPr>
            <w:tcW w:w="200" w:type="dxa"/>
            <w:vAlign w:val="bottom"/>
            <w:shd w:val="clear" w:color="auto" w:fill="F2F2F2"/>
          </w:tcPr>
          <w:p>
            <w:pPr>
              <w:spacing w:after="0"/>
              <w:rPr>
                <w:sz w:val="10"/>
                <w:szCs w:val="10"/>
                <w:color w:val="auto"/>
              </w:rPr>
            </w:pPr>
          </w:p>
        </w:tc>
        <w:tc>
          <w:tcPr>
            <w:tcW w:w="380" w:type="dxa"/>
            <w:vAlign w:val="bottom"/>
            <w:vMerge w:val="continue"/>
            <w:shd w:val="clear" w:color="auto" w:fill="F2F2F2"/>
          </w:tcPr>
          <w:p>
            <w:pPr>
              <w:spacing w:after="0"/>
              <w:rPr>
                <w:sz w:val="10"/>
                <w:szCs w:val="10"/>
                <w:color w:val="auto"/>
              </w:rPr>
            </w:pPr>
          </w:p>
        </w:tc>
        <w:tc>
          <w:tcPr>
            <w:tcW w:w="40" w:type="dxa"/>
            <w:vAlign w:val="bottom"/>
            <w:shd w:val="clear" w:color="auto" w:fill="F2F2F2"/>
          </w:tcPr>
          <w:p>
            <w:pPr>
              <w:spacing w:after="0"/>
              <w:rPr>
                <w:sz w:val="10"/>
                <w:szCs w:val="10"/>
                <w:color w:val="auto"/>
              </w:rPr>
            </w:pPr>
          </w:p>
        </w:tc>
        <w:tc>
          <w:tcPr>
            <w:tcW w:w="160" w:type="dxa"/>
            <w:vAlign w:val="bottom"/>
            <w:shd w:val="clear" w:color="auto" w:fill="F2F2F2"/>
          </w:tcPr>
          <w:p>
            <w:pPr>
              <w:spacing w:after="0"/>
              <w:rPr>
                <w:sz w:val="10"/>
                <w:szCs w:val="10"/>
                <w:color w:val="auto"/>
              </w:rPr>
            </w:pPr>
          </w:p>
        </w:tc>
        <w:tc>
          <w:tcPr>
            <w:tcW w:w="860" w:type="dxa"/>
            <w:vAlign w:val="bottom"/>
            <w:vMerge w:val="continue"/>
            <w:shd w:val="clear" w:color="auto" w:fill="F2F2F2"/>
          </w:tcPr>
          <w:p>
            <w:pPr>
              <w:spacing w:after="0"/>
              <w:rPr>
                <w:sz w:val="10"/>
                <w:szCs w:val="10"/>
                <w:color w:val="auto"/>
              </w:rPr>
            </w:pPr>
          </w:p>
        </w:tc>
        <w:tc>
          <w:tcPr>
            <w:tcW w:w="640" w:type="dxa"/>
            <w:vAlign w:val="bottom"/>
            <w:vMerge w:val="continue"/>
            <w:shd w:val="clear" w:color="auto" w:fill="F2F2F2"/>
          </w:tcPr>
          <w:p>
            <w:pPr>
              <w:spacing w:after="0"/>
              <w:rPr>
                <w:sz w:val="10"/>
                <w:szCs w:val="10"/>
                <w:color w:val="auto"/>
              </w:rPr>
            </w:pPr>
          </w:p>
        </w:tc>
        <w:tc>
          <w:tcPr>
            <w:tcW w:w="80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2060" w:type="dxa"/>
            <w:vAlign w:val="bottom"/>
            <w:tcBorders>
              <w:bottom w:val="single" w:sz="8" w:color="auto"/>
            </w:tcBorders>
            <w:vMerge w:val="continue"/>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shd w:val="clear" w:color="auto" w:fill="F2F2F2"/>
          </w:tcPr>
          <w:p>
            <w:pPr>
              <w:spacing w:after="0"/>
              <w:rPr>
                <w:sz w:val="7"/>
                <w:szCs w:val="7"/>
                <w:color w:val="auto"/>
              </w:rPr>
            </w:pPr>
          </w:p>
        </w:tc>
        <w:tc>
          <w:tcPr>
            <w:tcW w:w="380" w:type="dxa"/>
            <w:vAlign w:val="bottom"/>
            <w:tcBorders>
              <w:bottom w:val="single" w:sz="8" w:color="auto"/>
            </w:tcBorders>
            <w:shd w:val="clear" w:color="auto" w:fill="F2F2F2"/>
          </w:tcPr>
          <w:p>
            <w:pPr>
              <w:spacing w:after="0"/>
              <w:rPr>
                <w:sz w:val="7"/>
                <w:szCs w:val="7"/>
                <w:color w:val="auto"/>
              </w:rPr>
            </w:pPr>
          </w:p>
        </w:tc>
        <w:tc>
          <w:tcPr>
            <w:tcW w:w="40" w:type="dxa"/>
            <w:vAlign w:val="bottom"/>
            <w:tcBorders>
              <w:bottom w:val="single" w:sz="8" w:color="auto"/>
            </w:tcBorders>
            <w:shd w:val="clear" w:color="auto" w:fill="F2F2F2"/>
          </w:tcPr>
          <w:p>
            <w:pPr>
              <w:spacing w:after="0"/>
              <w:rPr>
                <w:sz w:val="7"/>
                <w:szCs w:val="7"/>
                <w:color w:val="auto"/>
              </w:rPr>
            </w:pPr>
          </w:p>
        </w:tc>
        <w:tc>
          <w:tcPr>
            <w:tcW w:w="160" w:type="dxa"/>
            <w:vAlign w:val="bottom"/>
            <w:tcBorders>
              <w:bottom w:val="single" w:sz="8" w:color="auto"/>
            </w:tcBorders>
            <w:shd w:val="clear" w:color="auto" w:fill="F2F2F2"/>
          </w:tcPr>
          <w:p>
            <w:pPr>
              <w:spacing w:after="0"/>
              <w:rPr>
                <w:sz w:val="7"/>
                <w:szCs w:val="7"/>
                <w:color w:val="auto"/>
              </w:rPr>
            </w:pPr>
          </w:p>
        </w:tc>
        <w:tc>
          <w:tcPr>
            <w:tcW w:w="860" w:type="dxa"/>
            <w:vAlign w:val="bottom"/>
            <w:tcBorders>
              <w:bottom w:val="single" w:sz="8" w:color="auto"/>
            </w:tcBorders>
            <w:shd w:val="clear" w:color="auto" w:fill="F2F2F2"/>
          </w:tcPr>
          <w:p>
            <w:pPr>
              <w:spacing w:after="0"/>
              <w:rPr>
                <w:sz w:val="7"/>
                <w:szCs w:val="7"/>
                <w:color w:val="auto"/>
              </w:rPr>
            </w:pPr>
          </w:p>
        </w:tc>
        <w:tc>
          <w:tcPr>
            <w:tcW w:w="640" w:type="dxa"/>
            <w:vAlign w:val="bottom"/>
            <w:tcBorders>
              <w:bottom w:val="single" w:sz="8" w:color="auto"/>
            </w:tcBorders>
            <w:shd w:val="clear" w:color="auto" w:fill="F2F2F2"/>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63"/>
        </w:trPr>
        <w:tc>
          <w:tcPr>
            <w:tcW w:w="2060" w:type="dxa"/>
            <w:vAlign w:val="bottom"/>
          </w:tcPr>
          <w:p>
            <w:pPr>
              <w:ind w:left="20"/>
              <w:spacing w:after="0"/>
              <w:rPr>
                <w:sz w:val="20"/>
                <w:szCs w:val="20"/>
                <w:color w:val="auto"/>
              </w:rPr>
            </w:pPr>
            <w:r>
              <w:rPr>
                <w:rFonts w:ascii="Arial" w:cs="Arial" w:eastAsia="Arial" w:hAnsi="Arial"/>
                <w:sz w:val="18"/>
                <w:szCs w:val="18"/>
                <w:color w:val="auto"/>
              </w:rPr>
              <w:t>112</w:t>
            </w:r>
          </w:p>
        </w:tc>
        <w:tc>
          <w:tcPr>
            <w:tcW w:w="2360" w:type="dxa"/>
            <w:vAlign w:val="bottom"/>
            <w:gridSpan w:val="6"/>
          </w:tcPr>
          <w:p>
            <w:pPr>
              <w:jc w:val="right"/>
              <w:ind w:right="606"/>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-139065</wp:posOffset>
            </wp:positionV>
            <wp:extent cx="737235" cy="14541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480"/>
          </w:cols>
          <w:pgMar w:left="320" w:top="482" w:right="10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8" w:lineRule="exact"/>
        <w:rPr>
          <w:sz w:val="20"/>
          <w:szCs w:val="20"/>
          <w:color w:val="auto"/>
        </w:rPr>
      </w:pPr>
    </w:p>
    <w:tbl>
      <w:tblPr>
        <w:tblLayout w:type="fixed"/>
        <w:tblInd w:w="760" w:type="dxa"/>
        <w:tblCellMar>
          <w:top w:w="0" w:type="dxa"/>
          <w:left w:w="0" w:type="dxa"/>
          <w:bottom w:w="0" w:type="dxa"/>
          <w:right w:w="0" w:type="dxa"/>
        </w:tblCellMar>
      </w:tblPr>
      <w:tr>
        <w:trPr>
          <w:trHeight w:val="209"/>
        </w:trPr>
        <w:tc>
          <w:tcPr>
            <w:tcW w:w="7080" w:type="dxa"/>
            <w:vAlign w:val="bottom"/>
            <w:tcBorders>
              <w:right w:val="single" w:sz="8" w:color="auto"/>
            </w:tcBorders>
            <w:shd w:val="clear" w:color="auto" w:fill="000000"/>
          </w:tcPr>
          <w:p>
            <w:pPr>
              <w:ind w:left="20"/>
              <w:spacing w:after="0"/>
              <w:rPr>
                <w:sz w:val="20"/>
                <w:szCs w:val="20"/>
                <w:color w:val="auto"/>
              </w:rPr>
            </w:pPr>
            <w:r>
              <w:rPr>
                <w:rFonts w:ascii="Arial" w:cs="Arial" w:eastAsia="Arial" w:hAnsi="Arial"/>
                <w:sz w:val="16"/>
                <w:szCs w:val="16"/>
                <w:b w:val="1"/>
                <w:bCs w:val="1"/>
                <w:color w:val="FFFFFF"/>
              </w:rPr>
              <w:t>Corporate and Financing</w:t>
            </w:r>
          </w:p>
        </w:tc>
        <w:tc>
          <w:tcPr>
            <w:tcW w:w="600" w:type="dxa"/>
            <w:vAlign w:val="bottom"/>
            <w:vMerge w:val="restart"/>
            <w:shd w:val="clear" w:color="auto" w:fill="000000"/>
          </w:tcPr>
          <w:p>
            <w:pPr>
              <w:jc w:val="right"/>
              <w:ind w:right="7"/>
              <w:spacing w:after="0"/>
              <w:rPr>
                <w:sz w:val="20"/>
                <w:szCs w:val="20"/>
                <w:color w:val="auto"/>
              </w:rPr>
            </w:pPr>
            <w:r>
              <w:rPr>
                <w:rFonts w:ascii="Arial" w:cs="Arial" w:eastAsia="Arial" w:hAnsi="Arial"/>
                <w:sz w:val="16"/>
                <w:szCs w:val="16"/>
                <w:b w:val="1"/>
                <w:bCs w:val="1"/>
                <w:color w:val="FFFFFF"/>
              </w:rPr>
              <w:t>2022</w:t>
            </w:r>
          </w:p>
        </w:tc>
        <w:tc>
          <w:tcPr>
            <w:tcW w:w="80" w:type="dxa"/>
            <w:vAlign w:val="bottom"/>
            <w:shd w:val="clear" w:color="auto" w:fill="000000"/>
          </w:tcPr>
          <w:p>
            <w:pPr>
              <w:spacing w:after="0"/>
              <w:rPr>
                <w:sz w:val="18"/>
                <w:szCs w:val="18"/>
                <w:color w:val="auto"/>
              </w:rPr>
            </w:pPr>
          </w:p>
        </w:tc>
        <w:tc>
          <w:tcPr>
            <w:tcW w:w="980" w:type="dxa"/>
            <w:vAlign w:val="bottom"/>
            <w:tcBorders>
              <w:left w:val="single" w:sz="8" w:color="auto"/>
            </w:tcBorders>
            <w:vMerge w:val="restart"/>
            <w:shd w:val="clear" w:color="auto" w:fill="000000"/>
          </w:tcPr>
          <w:p>
            <w:pPr>
              <w:jc w:val="right"/>
              <w:ind w:right="267"/>
              <w:spacing w:after="0"/>
              <w:rPr>
                <w:sz w:val="20"/>
                <w:szCs w:val="20"/>
                <w:color w:val="auto"/>
              </w:rPr>
            </w:pPr>
            <w:r>
              <w:rPr>
                <w:rFonts w:ascii="Arial" w:cs="Arial" w:eastAsia="Arial" w:hAnsi="Arial"/>
                <w:sz w:val="16"/>
                <w:szCs w:val="16"/>
                <w:b w:val="1"/>
                <w:bCs w:val="1"/>
                <w:color w:val="FFFFFF"/>
              </w:rPr>
              <w:t>2021</w:t>
            </w:r>
          </w:p>
        </w:tc>
        <w:tc>
          <w:tcPr>
            <w:tcW w:w="980" w:type="dxa"/>
            <w:vAlign w:val="bottom"/>
            <w:vMerge w:val="restart"/>
            <w:shd w:val="clear" w:color="auto" w:fill="000000"/>
          </w:tcPr>
          <w:p>
            <w:pPr>
              <w:jc w:val="right"/>
              <w:ind w:right="207"/>
              <w:spacing w:after="0"/>
              <w:rPr>
                <w:sz w:val="20"/>
                <w:szCs w:val="20"/>
                <w:color w:val="auto"/>
              </w:rPr>
            </w:pPr>
            <w:r>
              <w:rPr>
                <w:rFonts w:ascii="Arial" w:cs="Arial" w:eastAsia="Arial" w:hAnsi="Arial"/>
                <w:sz w:val="16"/>
                <w:szCs w:val="16"/>
                <w:b w:val="1"/>
                <w:bCs w:val="1"/>
                <w:color w:val="FFFFFF"/>
              </w:rPr>
              <w:t>2020</w:t>
            </w:r>
          </w:p>
        </w:tc>
        <w:tc>
          <w:tcPr>
            <w:tcW w:w="0" w:type="dxa"/>
            <w:vAlign w:val="bottom"/>
          </w:tcPr>
          <w:p>
            <w:pPr>
              <w:spacing w:after="0"/>
              <w:rPr>
                <w:sz w:val="1"/>
                <w:szCs w:val="1"/>
                <w:color w:val="auto"/>
              </w:rPr>
            </w:pPr>
          </w:p>
        </w:tc>
      </w:tr>
      <w:tr>
        <w:trPr>
          <w:trHeight w:val="121"/>
        </w:trPr>
        <w:tc>
          <w:tcPr>
            <w:tcW w:w="7080" w:type="dxa"/>
            <w:vAlign w:val="bottom"/>
            <w:tcBorders>
              <w:right w:val="single" w:sz="8" w:color="auto"/>
            </w:tcBorders>
            <w:vMerge w:val="restart"/>
            <w:shd w:val="clear" w:color="auto" w:fill="000000"/>
          </w:tcPr>
          <w:p>
            <w:pPr>
              <w:ind w:left="20"/>
              <w:spacing w:after="0"/>
              <w:rPr>
                <w:sz w:val="20"/>
                <w:szCs w:val="20"/>
                <w:color w:val="auto"/>
              </w:rPr>
            </w:pPr>
            <w:r>
              <w:rPr>
                <w:rFonts w:ascii="Arial" w:cs="Arial" w:eastAsia="Arial" w:hAnsi="Arial"/>
                <w:sz w:val="14"/>
                <w:szCs w:val="14"/>
                <w:i w:val="1"/>
                <w:iCs w:val="1"/>
                <w:color w:val="FFFFFF"/>
              </w:rPr>
              <w:t>(millions of dollars)</w:t>
            </w:r>
          </w:p>
        </w:tc>
        <w:tc>
          <w:tcPr>
            <w:tcW w:w="600" w:type="dxa"/>
            <w:vAlign w:val="bottom"/>
            <w:vMerge w:val="continue"/>
            <w:shd w:val="clear" w:color="auto" w:fill="000000"/>
          </w:tcPr>
          <w:p>
            <w:pPr>
              <w:spacing w:after="0"/>
              <w:rPr>
                <w:sz w:val="10"/>
                <w:szCs w:val="10"/>
                <w:color w:val="auto"/>
              </w:rPr>
            </w:pPr>
          </w:p>
        </w:tc>
        <w:tc>
          <w:tcPr>
            <w:tcW w:w="80" w:type="dxa"/>
            <w:vAlign w:val="bottom"/>
            <w:shd w:val="clear" w:color="auto" w:fill="000000"/>
          </w:tcPr>
          <w:p>
            <w:pPr>
              <w:spacing w:after="0"/>
              <w:rPr>
                <w:sz w:val="10"/>
                <w:szCs w:val="10"/>
                <w:color w:val="auto"/>
              </w:rPr>
            </w:pPr>
          </w:p>
        </w:tc>
        <w:tc>
          <w:tcPr>
            <w:tcW w:w="980" w:type="dxa"/>
            <w:vAlign w:val="bottom"/>
            <w:tcBorders>
              <w:left w:val="single" w:sz="8" w:color="auto"/>
            </w:tcBorders>
            <w:vMerge w:val="continue"/>
            <w:shd w:val="clear" w:color="auto" w:fill="000000"/>
          </w:tcPr>
          <w:p>
            <w:pPr>
              <w:spacing w:after="0"/>
              <w:rPr>
                <w:sz w:val="10"/>
                <w:szCs w:val="10"/>
                <w:color w:val="auto"/>
              </w:rPr>
            </w:pPr>
          </w:p>
        </w:tc>
        <w:tc>
          <w:tcPr>
            <w:tcW w:w="980" w:type="dxa"/>
            <w:vAlign w:val="bottom"/>
            <w:vMerge w:val="continue"/>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7080" w:type="dxa"/>
            <w:vAlign w:val="bottom"/>
            <w:tcBorders>
              <w:right w:val="single" w:sz="8" w:color="auto"/>
            </w:tcBorders>
            <w:vMerge w:val="continue"/>
            <w:shd w:val="clear" w:color="auto" w:fill="000000"/>
          </w:tcPr>
          <w:p>
            <w:pPr>
              <w:spacing w:after="0"/>
              <w:rPr>
                <w:sz w:val="6"/>
                <w:szCs w:val="6"/>
                <w:color w:val="auto"/>
              </w:rPr>
            </w:pPr>
          </w:p>
        </w:tc>
        <w:tc>
          <w:tcPr>
            <w:tcW w:w="60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980" w:type="dxa"/>
            <w:vAlign w:val="bottom"/>
            <w:tcBorders>
              <w:left w:val="single" w:sz="8" w:color="auto"/>
            </w:tcBorders>
            <w:shd w:val="clear" w:color="auto" w:fill="000000"/>
          </w:tcPr>
          <w:p>
            <w:pPr>
              <w:spacing w:after="0"/>
              <w:rPr>
                <w:sz w:val="6"/>
                <w:szCs w:val="6"/>
                <w:color w:val="auto"/>
              </w:rPr>
            </w:pPr>
          </w:p>
        </w:tc>
        <w:tc>
          <w:tcPr>
            <w:tcW w:w="98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7080" w:type="dxa"/>
            <w:vAlign w:val="bottom"/>
            <w:tcBorders>
              <w:right w:val="single" w:sz="8" w:color="F2F2F2"/>
            </w:tcBorders>
          </w:tcPr>
          <w:p>
            <w:pPr>
              <w:ind w:left="20"/>
              <w:spacing w:after="0"/>
              <w:rPr>
                <w:sz w:val="20"/>
                <w:szCs w:val="20"/>
                <w:color w:val="auto"/>
              </w:rPr>
            </w:pPr>
            <w:r>
              <w:rPr>
                <w:rFonts w:ascii="Arial" w:cs="Arial" w:eastAsia="Arial" w:hAnsi="Arial"/>
                <w:sz w:val="14"/>
                <w:szCs w:val="14"/>
                <w:color w:val="auto"/>
              </w:rPr>
              <w:t>Earnings (loss) (U.S. GAAP)</w:t>
            </w:r>
          </w:p>
        </w:tc>
        <w:tc>
          <w:tcPr>
            <w:tcW w:w="6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(1,663)</w:t>
            </w:r>
          </w:p>
        </w:tc>
        <w:tc>
          <w:tcPr>
            <w:tcW w:w="80" w:type="dxa"/>
            <w:vAlign w:val="bottom"/>
            <w:shd w:val="clear" w:color="auto" w:fill="F2F2F2"/>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Arial" w:cs="Arial" w:eastAsia="Arial" w:hAnsi="Arial"/>
                <w:sz w:val="14"/>
                <w:szCs w:val="14"/>
                <w:color w:val="auto"/>
              </w:rPr>
              <w:t>(2,636)</w:t>
            </w:r>
          </w:p>
        </w:tc>
        <w:tc>
          <w:tcPr>
            <w:tcW w:w="980" w:type="dxa"/>
            <w:vAlign w:val="bottom"/>
          </w:tcPr>
          <w:p>
            <w:pPr>
              <w:jc w:val="right"/>
              <w:ind w:right="107"/>
              <w:spacing w:after="0"/>
              <w:rPr>
                <w:sz w:val="20"/>
                <w:szCs w:val="20"/>
                <w:color w:val="auto"/>
              </w:rPr>
            </w:pPr>
            <w:r>
              <w:rPr>
                <w:rFonts w:ascii="Arial" w:cs="Arial" w:eastAsia="Arial" w:hAnsi="Arial"/>
                <w:sz w:val="14"/>
                <w:szCs w:val="14"/>
                <w:color w:val="auto"/>
              </w:rPr>
              <w:t>(3,296)</w:t>
            </w:r>
          </w:p>
        </w:tc>
        <w:tc>
          <w:tcPr>
            <w:tcW w:w="0" w:type="dxa"/>
            <w:vAlign w:val="bottom"/>
          </w:tcPr>
          <w:p>
            <w:pPr>
              <w:spacing w:after="0"/>
              <w:rPr>
                <w:sz w:val="1"/>
                <w:szCs w:val="1"/>
                <w:color w:val="auto"/>
              </w:rPr>
            </w:pPr>
          </w:p>
        </w:tc>
      </w:tr>
      <w:tr>
        <w:trPr>
          <w:trHeight w:val="162"/>
        </w:trPr>
        <w:tc>
          <w:tcPr>
            <w:tcW w:w="7080" w:type="dxa"/>
            <w:vAlign w:val="bottom"/>
            <w:tcBorders>
              <w:right w:val="single" w:sz="8" w:color="F2F2F2"/>
            </w:tcBorders>
          </w:tcPr>
          <w:p>
            <w:pPr>
              <w:ind w:left="140"/>
              <w:spacing w:after="0"/>
              <w:rPr>
                <w:sz w:val="20"/>
                <w:szCs w:val="20"/>
                <w:color w:val="auto"/>
              </w:rPr>
            </w:pPr>
            <w:r>
              <w:rPr>
                <w:rFonts w:ascii="Arial" w:cs="Arial" w:eastAsia="Arial" w:hAnsi="Arial"/>
                <w:sz w:val="14"/>
                <w:szCs w:val="14"/>
                <w:color w:val="auto"/>
              </w:rPr>
              <w:t>Impairments</w:t>
            </w:r>
          </w:p>
        </w:tc>
        <w:tc>
          <w:tcPr>
            <w:tcW w:w="6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(98)</w:t>
            </w:r>
          </w:p>
        </w:tc>
        <w:tc>
          <w:tcPr>
            <w:tcW w:w="80" w:type="dxa"/>
            <w:vAlign w:val="bottom"/>
            <w:shd w:val="clear" w:color="auto" w:fill="F2F2F2"/>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7"/>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62"/>
        </w:trPr>
        <w:tc>
          <w:tcPr>
            <w:tcW w:w="7080" w:type="dxa"/>
            <w:vAlign w:val="bottom"/>
            <w:tcBorders>
              <w:right w:val="single" w:sz="8" w:color="F2F2F2"/>
            </w:tcBorders>
          </w:tcPr>
          <w:p>
            <w:pPr>
              <w:ind w:left="140"/>
              <w:spacing w:after="0"/>
              <w:rPr>
                <w:sz w:val="20"/>
                <w:szCs w:val="20"/>
                <w:color w:val="auto"/>
              </w:rPr>
            </w:pPr>
            <w:r>
              <w:rPr>
                <w:rFonts w:ascii="Arial" w:cs="Arial" w:eastAsia="Arial" w:hAnsi="Arial"/>
                <w:sz w:val="14"/>
                <w:szCs w:val="14"/>
                <w:color w:val="auto"/>
              </w:rPr>
              <w:t>Gain/(loss) on sale of assets</w:t>
            </w:r>
          </w:p>
        </w:tc>
        <w:tc>
          <w:tcPr>
            <w:tcW w:w="6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F2F2F2"/>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Arial" w:cs="Arial" w:eastAsia="Arial" w:hAnsi="Arial"/>
                <w:sz w:val="14"/>
                <w:szCs w:val="14"/>
                <w:color w:val="auto"/>
              </w:rPr>
              <w:t>(12)</w:t>
            </w:r>
          </w:p>
        </w:tc>
        <w:tc>
          <w:tcPr>
            <w:tcW w:w="98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7080" w:type="dxa"/>
            <w:vAlign w:val="bottom"/>
            <w:tcBorders>
              <w:right w:val="single" w:sz="8" w:color="F2F2F2"/>
            </w:tcBorders>
          </w:tcPr>
          <w:p>
            <w:pPr>
              <w:ind w:left="140"/>
              <w:spacing w:after="0" w:line="153" w:lineRule="exact"/>
              <w:rPr>
                <w:sz w:val="20"/>
                <w:szCs w:val="20"/>
                <w:color w:val="auto"/>
              </w:rPr>
            </w:pPr>
            <w:r>
              <w:rPr>
                <w:rFonts w:ascii="Arial" w:cs="Arial" w:eastAsia="Arial" w:hAnsi="Arial"/>
                <w:sz w:val="14"/>
                <w:szCs w:val="14"/>
                <w:color w:val="auto"/>
              </w:rPr>
              <w:t>Tax-related items</w:t>
            </w:r>
          </w:p>
        </w:tc>
        <w:tc>
          <w:tcPr>
            <w:tcW w:w="600" w:type="dxa"/>
            <w:vAlign w:val="bottom"/>
            <w:shd w:val="clear" w:color="auto" w:fill="F2F2F2"/>
          </w:tcPr>
          <w:p>
            <w:pPr>
              <w:jc w:val="right"/>
              <w:spacing w:after="0" w:line="153" w:lineRule="exact"/>
              <w:rPr>
                <w:sz w:val="20"/>
                <w:szCs w:val="20"/>
                <w:color w:val="auto"/>
              </w:rPr>
            </w:pPr>
            <w:r>
              <w:rPr>
                <w:rFonts w:ascii="Arial" w:cs="Arial" w:eastAsia="Arial" w:hAnsi="Arial"/>
                <w:sz w:val="14"/>
                <w:szCs w:val="14"/>
                <w:color w:val="auto"/>
              </w:rPr>
              <w:t>324</w:t>
            </w:r>
          </w:p>
        </w:tc>
        <w:tc>
          <w:tcPr>
            <w:tcW w:w="80" w:type="dxa"/>
            <w:vAlign w:val="bottom"/>
            <w:shd w:val="clear" w:color="auto" w:fill="F2F2F2"/>
          </w:tcPr>
          <w:p>
            <w:pPr>
              <w:spacing w:after="0"/>
              <w:rPr>
                <w:sz w:val="13"/>
                <w:szCs w:val="13"/>
                <w:color w:val="auto"/>
              </w:rPr>
            </w:pPr>
          </w:p>
        </w:tc>
        <w:tc>
          <w:tcPr>
            <w:tcW w:w="980" w:type="dxa"/>
            <w:vAlign w:val="bottom"/>
          </w:tcPr>
          <w:p>
            <w:pPr>
              <w:jc w:val="right"/>
              <w:ind w:right="207"/>
              <w:spacing w:after="0" w:line="153"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107"/>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080" w:type="dxa"/>
            <w:vAlign w:val="bottom"/>
            <w:tcBorders>
              <w:right w:val="single" w:sz="8" w:color="F2F2F2"/>
            </w:tcBorders>
          </w:tcPr>
          <w:p>
            <w:pPr>
              <w:ind w:left="140"/>
              <w:spacing w:after="0"/>
              <w:rPr>
                <w:sz w:val="20"/>
                <w:szCs w:val="20"/>
                <w:color w:val="auto"/>
              </w:rPr>
            </w:pPr>
            <w:r>
              <w:rPr>
                <w:rFonts w:ascii="Arial" w:cs="Arial" w:eastAsia="Arial" w:hAnsi="Arial"/>
                <w:sz w:val="14"/>
                <w:szCs w:val="14"/>
                <w:color w:val="auto"/>
              </w:rPr>
              <w:t>Severance charges</w:t>
            </w:r>
          </w:p>
        </w:tc>
        <w:tc>
          <w:tcPr>
            <w:tcW w:w="6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F2F2F2"/>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Arial" w:cs="Arial" w:eastAsia="Arial" w:hAnsi="Arial"/>
                <w:sz w:val="14"/>
                <w:szCs w:val="14"/>
                <w:color w:val="auto"/>
              </w:rPr>
              <w:t>(52)</w:t>
            </w:r>
          </w:p>
        </w:tc>
        <w:tc>
          <w:tcPr>
            <w:tcW w:w="980" w:type="dxa"/>
            <w:vAlign w:val="bottom"/>
          </w:tcPr>
          <w:p>
            <w:pPr>
              <w:jc w:val="right"/>
              <w:ind w:right="107"/>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225"/>
        </w:trPr>
        <w:tc>
          <w:tcPr>
            <w:tcW w:w="7080" w:type="dxa"/>
            <w:vAlign w:val="bottom"/>
            <w:tcBorders>
              <w:right w:val="single" w:sz="8" w:color="F2F2F2"/>
            </w:tcBorders>
          </w:tcPr>
          <w:p>
            <w:pPr>
              <w:ind w:left="140"/>
              <w:spacing w:after="0"/>
              <w:rPr>
                <w:sz w:val="20"/>
                <w:szCs w:val="20"/>
                <w:color w:val="auto"/>
              </w:rPr>
            </w:pPr>
            <w:r>
              <w:rPr>
                <w:rFonts w:ascii="Arial" w:cs="Arial" w:eastAsia="Arial" w:hAnsi="Arial"/>
                <w:sz w:val="14"/>
                <w:szCs w:val="14"/>
                <w:color w:val="auto"/>
              </w:rPr>
              <w:t>Other</w:t>
            </w:r>
          </w:p>
        </w:tc>
        <w:tc>
          <w:tcPr>
            <w:tcW w:w="6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76</w:t>
            </w:r>
          </w:p>
        </w:tc>
        <w:tc>
          <w:tcPr>
            <w:tcW w:w="80" w:type="dxa"/>
            <w:vAlign w:val="bottom"/>
            <w:tcBorders>
              <w:bottom w:val="single" w:sz="8" w:color="F2F2F2"/>
            </w:tcBorders>
            <w:shd w:val="clear" w:color="auto" w:fill="F2F2F2"/>
          </w:tcPr>
          <w:p>
            <w:pPr>
              <w:spacing w:after="0"/>
              <w:rPr>
                <w:sz w:val="19"/>
                <w:szCs w:val="19"/>
                <w:color w:val="auto"/>
              </w:rPr>
            </w:pPr>
          </w:p>
        </w:tc>
        <w:tc>
          <w:tcPr>
            <w:tcW w:w="980" w:type="dxa"/>
            <w:vAlign w:val="bottom"/>
          </w:tcPr>
          <w:p>
            <w:pPr>
              <w:jc w:val="right"/>
              <w:ind w:right="207"/>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7080" w:type="dxa"/>
            <w:vAlign w:val="bottom"/>
            <w:tcBorders>
              <w:top w:val="single" w:sz="8" w:color="auto"/>
              <w:right w:val="single" w:sz="8" w:color="F2F2F2"/>
            </w:tcBorders>
          </w:tcPr>
          <w:p>
            <w:pPr>
              <w:ind w:left="20"/>
              <w:spacing w:after="0"/>
              <w:rPr>
                <w:sz w:val="20"/>
                <w:szCs w:val="20"/>
                <w:color w:val="auto"/>
              </w:rPr>
            </w:pPr>
            <w:r>
              <w:rPr>
                <w:rFonts w:ascii="Arial" w:cs="Arial" w:eastAsia="Arial" w:hAnsi="Arial"/>
                <w:sz w:val="14"/>
                <w:szCs w:val="14"/>
                <w:color w:val="auto"/>
              </w:rPr>
              <w:t>Identified Items</w:t>
            </w:r>
          </w:p>
        </w:tc>
        <w:tc>
          <w:tcPr>
            <w:tcW w:w="600" w:type="dxa"/>
            <w:vAlign w:val="bottom"/>
            <w:tcBorders>
              <w:top w:val="single" w:sz="8" w:color="auto"/>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302</w:t>
            </w:r>
          </w:p>
        </w:tc>
        <w:tc>
          <w:tcPr>
            <w:tcW w:w="80" w:type="dxa"/>
            <w:vAlign w:val="bottom"/>
            <w:tcBorders>
              <w:top w:val="single" w:sz="8" w:color="auto"/>
              <w:bottom w:val="single" w:sz="8" w:color="F2F2F2"/>
            </w:tcBorders>
            <w:shd w:val="clear" w:color="auto" w:fill="F2F2F2"/>
          </w:tcPr>
          <w:p>
            <w:pPr>
              <w:spacing w:after="0"/>
              <w:rPr>
                <w:sz w:val="18"/>
                <w:szCs w:val="18"/>
                <w:color w:val="auto"/>
              </w:rPr>
            </w:pPr>
          </w:p>
        </w:tc>
        <w:tc>
          <w:tcPr>
            <w:tcW w:w="980" w:type="dxa"/>
            <w:vAlign w:val="bottom"/>
            <w:tcBorders>
              <w:top w:val="single" w:sz="8" w:color="auto"/>
            </w:tcBorders>
          </w:tcPr>
          <w:p>
            <w:pPr>
              <w:jc w:val="right"/>
              <w:ind w:right="207"/>
              <w:spacing w:after="0"/>
              <w:rPr>
                <w:sz w:val="20"/>
                <w:szCs w:val="20"/>
                <w:color w:val="auto"/>
              </w:rPr>
            </w:pPr>
            <w:r>
              <w:rPr>
                <w:rFonts w:ascii="Arial" w:cs="Arial" w:eastAsia="Arial" w:hAnsi="Arial"/>
                <w:sz w:val="14"/>
                <w:szCs w:val="14"/>
                <w:color w:val="auto"/>
              </w:rPr>
              <w:t>(64)</w:t>
            </w:r>
          </w:p>
        </w:tc>
        <w:tc>
          <w:tcPr>
            <w:tcW w:w="980" w:type="dxa"/>
            <w:vAlign w:val="bottom"/>
            <w:tcBorders>
              <w:top w:val="single" w:sz="8" w:color="auto"/>
            </w:tcBorders>
          </w:tcPr>
          <w:p>
            <w:pPr>
              <w:jc w:val="right"/>
              <w:ind w:right="107"/>
              <w:spacing w:after="0"/>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203"/>
        </w:trPr>
        <w:tc>
          <w:tcPr>
            <w:tcW w:w="7080" w:type="dxa"/>
            <w:vAlign w:val="bottom"/>
            <w:tcBorders>
              <w:top w:val="single" w:sz="8" w:color="auto"/>
              <w:bottom w:val="single" w:sz="8" w:color="auto"/>
              <w:right w:val="single" w:sz="8" w:color="F2F2F2"/>
            </w:tcBorders>
          </w:tcPr>
          <w:p>
            <w:pPr>
              <w:ind w:left="20"/>
              <w:spacing w:after="0"/>
              <w:rPr>
                <w:sz w:val="20"/>
                <w:szCs w:val="20"/>
                <w:color w:val="auto"/>
              </w:rPr>
            </w:pPr>
            <w:r>
              <w:rPr>
                <w:rFonts w:ascii="Arial" w:cs="Arial" w:eastAsia="Arial" w:hAnsi="Arial"/>
                <w:sz w:val="14"/>
                <w:szCs w:val="14"/>
                <w:b w:val="1"/>
                <w:bCs w:val="1"/>
                <w:color w:val="auto"/>
              </w:rPr>
              <w:t xml:space="preserve">Earnings (loss) excluding Identified Items </w:t>
            </w:r>
            <w:r>
              <w:rPr>
                <w:rFonts w:ascii="Arial" w:cs="Arial" w:eastAsia="Arial" w:hAnsi="Arial"/>
                <w:sz w:val="14"/>
                <w:szCs w:val="14"/>
                <w:color w:val="auto"/>
              </w:rPr>
              <w:t>(Non-GAAP)</w:t>
            </w:r>
          </w:p>
        </w:tc>
        <w:tc>
          <w:tcPr>
            <w:tcW w:w="600" w:type="dxa"/>
            <w:vAlign w:val="bottom"/>
            <w:tcBorders>
              <w:top w:val="single" w:sz="8" w:color="auto"/>
              <w:bottom w:val="single" w:sz="8" w:color="auto"/>
            </w:tcBorders>
            <w:shd w:val="clear" w:color="auto" w:fill="F2F2F2"/>
          </w:tcPr>
          <w:p>
            <w:pPr>
              <w:jc w:val="right"/>
              <w:spacing w:after="0"/>
              <w:rPr>
                <w:sz w:val="20"/>
                <w:szCs w:val="20"/>
                <w:color w:val="auto"/>
              </w:rPr>
            </w:pPr>
            <w:r>
              <w:rPr>
                <w:rFonts w:ascii="Arial" w:cs="Arial" w:eastAsia="Arial" w:hAnsi="Arial"/>
                <w:sz w:val="14"/>
                <w:szCs w:val="14"/>
                <w:b w:val="1"/>
                <w:bCs w:val="1"/>
                <w:color w:val="auto"/>
              </w:rPr>
              <w:t>(1,965)</w:t>
            </w:r>
          </w:p>
        </w:tc>
        <w:tc>
          <w:tcPr>
            <w:tcW w:w="80" w:type="dxa"/>
            <w:vAlign w:val="bottom"/>
            <w:tcBorders>
              <w:top w:val="single" w:sz="8" w:color="auto"/>
              <w:bottom w:val="single" w:sz="8" w:color="auto"/>
            </w:tcBorders>
            <w:shd w:val="clear" w:color="auto" w:fill="F2F2F2"/>
          </w:tcPr>
          <w:p>
            <w:pPr>
              <w:spacing w:after="0"/>
              <w:rPr>
                <w:sz w:val="17"/>
                <w:szCs w:val="17"/>
                <w:color w:val="auto"/>
              </w:rPr>
            </w:pPr>
          </w:p>
        </w:tc>
        <w:tc>
          <w:tcPr>
            <w:tcW w:w="98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4"/>
                <w:szCs w:val="14"/>
                <w:b w:val="1"/>
                <w:bCs w:val="1"/>
                <w:color w:val="auto"/>
              </w:rPr>
              <w:t>(2,572)</w:t>
            </w:r>
          </w:p>
        </w:tc>
        <w:tc>
          <w:tcPr>
            <w:tcW w:w="98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4"/>
                <w:szCs w:val="14"/>
                <w:b w:val="1"/>
                <w:bCs w:val="1"/>
                <w:color w:val="auto"/>
              </w:rPr>
              <w:t>(2,935)</w:t>
            </w:r>
          </w:p>
        </w:tc>
        <w:tc>
          <w:tcPr>
            <w:tcW w:w="0" w:type="dxa"/>
            <w:vAlign w:val="bottom"/>
          </w:tcPr>
          <w:p>
            <w:pPr>
              <w:spacing w:after="0"/>
              <w:rPr>
                <w:sz w:val="1"/>
                <w:szCs w:val="1"/>
                <w:color w:val="auto"/>
              </w:rPr>
            </w:pPr>
          </w:p>
        </w:tc>
      </w:tr>
      <w:tr>
        <w:trPr>
          <w:trHeight w:val="243"/>
        </w:trPr>
        <w:tc>
          <w:tcPr>
            <w:tcW w:w="7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7080" w:type="dxa"/>
            <w:vAlign w:val="bottom"/>
            <w:tcBorders>
              <w:right w:val="single" w:sz="8" w:color="auto"/>
            </w:tcBorders>
            <w:shd w:val="clear" w:color="auto" w:fill="000000"/>
          </w:tcPr>
          <w:p>
            <w:pPr>
              <w:ind w:left="20"/>
              <w:spacing w:after="0"/>
              <w:rPr>
                <w:sz w:val="20"/>
                <w:szCs w:val="20"/>
                <w:color w:val="auto"/>
              </w:rPr>
            </w:pPr>
            <w:r>
              <w:rPr>
                <w:rFonts w:ascii="Arial" w:cs="Arial" w:eastAsia="Arial" w:hAnsi="Arial"/>
                <w:sz w:val="16"/>
                <w:szCs w:val="16"/>
                <w:b w:val="1"/>
                <w:bCs w:val="1"/>
                <w:color w:val="FFFFFF"/>
              </w:rPr>
              <w:t>Corporate Total</w:t>
            </w:r>
          </w:p>
        </w:tc>
        <w:tc>
          <w:tcPr>
            <w:tcW w:w="600" w:type="dxa"/>
            <w:vAlign w:val="bottom"/>
            <w:vMerge w:val="restart"/>
            <w:shd w:val="clear" w:color="auto" w:fill="000000"/>
          </w:tcPr>
          <w:p>
            <w:pPr>
              <w:jc w:val="right"/>
              <w:spacing w:after="0"/>
              <w:rPr>
                <w:sz w:val="20"/>
                <w:szCs w:val="20"/>
                <w:color w:val="auto"/>
              </w:rPr>
            </w:pPr>
            <w:r>
              <w:rPr>
                <w:rFonts w:ascii="Arial" w:cs="Arial" w:eastAsia="Arial" w:hAnsi="Arial"/>
                <w:sz w:val="16"/>
                <w:szCs w:val="16"/>
                <w:b w:val="1"/>
                <w:bCs w:val="1"/>
                <w:color w:val="FFFFFF"/>
              </w:rPr>
              <w:t>2022</w:t>
            </w:r>
          </w:p>
        </w:tc>
        <w:tc>
          <w:tcPr>
            <w:tcW w:w="80" w:type="dxa"/>
            <w:vAlign w:val="bottom"/>
            <w:shd w:val="clear" w:color="auto" w:fill="000000"/>
          </w:tcPr>
          <w:p>
            <w:pPr>
              <w:spacing w:after="0"/>
              <w:rPr>
                <w:sz w:val="18"/>
                <w:szCs w:val="18"/>
                <w:color w:val="auto"/>
              </w:rPr>
            </w:pPr>
          </w:p>
        </w:tc>
        <w:tc>
          <w:tcPr>
            <w:tcW w:w="980" w:type="dxa"/>
            <w:vAlign w:val="bottom"/>
            <w:tcBorders>
              <w:left w:val="single" w:sz="8" w:color="auto"/>
            </w:tcBorders>
            <w:vMerge w:val="restart"/>
            <w:shd w:val="clear" w:color="auto" w:fill="000000"/>
          </w:tcPr>
          <w:p>
            <w:pPr>
              <w:jc w:val="right"/>
              <w:ind w:right="247"/>
              <w:spacing w:after="0"/>
              <w:rPr>
                <w:sz w:val="20"/>
                <w:szCs w:val="20"/>
                <w:color w:val="auto"/>
              </w:rPr>
            </w:pPr>
            <w:r>
              <w:rPr>
                <w:rFonts w:ascii="Arial" w:cs="Arial" w:eastAsia="Arial" w:hAnsi="Arial"/>
                <w:sz w:val="16"/>
                <w:szCs w:val="16"/>
                <w:b w:val="1"/>
                <w:bCs w:val="1"/>
                <w:color w:val="FFFFFF"/>
              </w:rPr>
              <w:t>2021</w:t>
            </w:r>
          </w:p>
        </w:tc>
        <w:tc>
          <w:tcPr>
            <w:tcW w:w="980" w:type="dxa"/>
            <w:vAlign w:val="bottom"/>
            <w:vMerge w:val="restart"/>
            <w:shd w:val="clear" w:color="auto" w:fill="000000"/>
          </w:tcPr>
          <w:p>
            <w:pPr>
              <w:jc w:val="right"/>
              <w:ind w:right="207"/>
              <w:spacing w:after="0"/>
              <w:rPr>
                <w:sz w:val="20"/>
                <w:szCs w:val="20"/>
                <w:color w:val="auto"/>
              </w:rPr>
            </w:pPr>
            <w:r>
              <w:rPr>
                <w:rFonts w:ascii="Arial" w:cs="Arial" w:eastAsia="Arial" w:hAnsi="Arial"/>
                <w:sz w:val="16"/>
                <w:szCs w:val="16"/>
                <w:b w:val="1"/>
                <w:bCs w:val="1"/>
                <w:color w:val="FFFFFF"/>
              </w:rPr>
              <w:t>2020</w:t>
            </w:r>
          </w:p>
        </w:tc>
        <w:tc>
          <w:tcPr>
            <w:tcW w:w="0" w:type="dxa"/>
            <w:vAlign w:val="bottom"/>
          </w:tcPr>
          <w:p>
            <w:pPr>
              <w:spacing w:after="0"/>
              <w:rPr>
                <w:sz w:val="1"/>
                <w:szCs w:val="1"/>
                <w:color w:val="auto"/>
              </w:rPr>
            </w:pPr>
          </w:p>
        </w:tc>
      </w:tr>
      <w:tr>
        <w:trPr>
          <w:trHeight w:val="121"/>
        </w:trPr>
        <w:tc>
          <w:tcPr>
            <w:tcW w:w="7080" w:type="dxa"/>
            <w:vAlign w:val="bottom"/>
            <w:tcBorders>
              <w:right w:val="single" w:sz="8" w:color="auto"/>
            </w:tcBorders>
            <w:vMerge w:val="restart"/>
            <w:shd w:val="clear" w:color="auto" w:fill="000000"/>
          </w:tcPr>
          <w:p>
            <w:pPr>
              <w:ind w:left="20"/>
              <w:spacing w:after="0"/>
              <w:rPr>
                <w:sz w:val="20"/>
                <w:szCs w:val="20"/>
                <w:color w:val="auto"/>
              </w:rPr>
            </w:pPr>
            <w:r>
              <w:rPr>
                <w:rFonts w:ascii="Arial" w:cs="Arial" w:eastAsia="Arial" w:hAnsi="Arial"/>
                <w:sz w:val="14"/>
                <w:szCs w:val="14"/>
                <w:i w:val="1"/>
                <w:iCs w:val="1"/>
                <w:color w:val="FFFFFF"/>
              </w:rPr>
              <w:t>(millions of dollars)</w:t>
            </w:r>
          </w:p>
        </w:tc>
        <w:tc>
          <w:tcPr>
            <w:tcW w:w="600" w:type="dxa"/>
            <w:vAlign w:val="bottom"/>
            <w:vMerge w:val="continue"/>
            <w:shd w:val="clear" w:color="auto" w:fill="000000"/>
          </w:tcPr>
          <w:p>
            <w:pPr>
              <w:spacing w:after="0"/>
              <w:rPr>
                <w:sz w:val="10"/>
                <w:szCs w:val="10"/>
                <w:color w:val="auto"/>
              </w:rPr>
            </w:pPr>
          </w:p>
        </w:tc>
        <w:tc>
          <w:tcPr>
            <w:tcW w:w="80" w:type="dxa"/>
            <w:vAlign w:val="bottom"/>
            <w:shd w:val="clear" w:color="auto" w:fill="000000"/>
          </w:tcPr>
          <w:p>
            <w:pPr>
              <w:spacing w:after="0"/>
              <w:rPr>
                <w:sz w:val="10"/>
                <w:szCs w:val="10"/>
                <w:color w:val="auto"/>
              </w:rPr>
            </w:pPr>
          </w:p>
        </w:tc>
        <w:tc>
          <w:tcPr>
            <w:tcW w:w="980" w:type="dxa"/>
            <w:vAlign w:val="bottom"/>
            <w:tcBorders>
              <w:left w:val="single" w:sz="8" w:color="auto"/>
            </w:tcBorders>
            <w:vMerge w:val="continue"/>
            <w:shd w:val="clear" w:color="auto" w:fill="000000"/>
          </w:tcPr>
          <w:p>
            <w:pPr>
              <w:spacing w:after="0"/>
              <w:rPr>
                <w:sz w:val="10"/>
                <w:szCs w:val="10"/>
                <w:color w:val="auto"/>
              </w:rPr>
            </w:pPr>
          </w:p>
        </w:tc>
        <w:tc>
          <w:tcPr>
            <w:tcW w:w="980" w:type="dxa"/>
            <w:vAlign w:val="bottom"/>
            <w:vMerge w:val="continue"/>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7080" w:type="dxa"/>
            <w:vAlign w:val="bottom"/>
            <w:tcBorders>
              <w:right w:val="single" w:sz="8" w:color="auto"/>
            </w:tcBorders>
            <w:vMerge w:val="continue"/>
            <w:shd w:val="clear" w:color="auto" w:fill="000000"/>
          </w:tcPr>
          <w:p>
            <w:pPr>
              <w:spacing w:after="0"/>
              <w:rPr>
                <w:sz w:val="6"/>
                <w:szCs w:val="6"/>
                <w:color w:val="auto"/>
              </w:rPr>
            </w:pPr>
          </w:p>
        </w:tc>
        <w:tc>
          <w:tcPr>
            <w:tcW w:w="60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980" w:type="dxa"/>
            <w:vAlign w:val="bottom"/>
            <w:tcBorders>
              <w:left w:val="single" w:sz="8" w:color="auto"/>
            </w:tcBorders>
            <w:shd w:val="clear" w:color="auto" w:fill="000000"/>
          </w:tcPr>
          <w:p>
            <w:pPr>
              <w:spacing w:after="0"/>
              <w:rPr>
                <w:sz w:val="6"/>
                <w:szCs w:val="6"/>
                <w:color w:val="auto"/>
              </w:rPr>
            </w:pPr>
          </w:p>
        </w:tc>
        <w:tc>
          <w:tcPr>
            <w:tcW w:w="98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7080" w:type="dxa"/>
            <w:vAlign w:val="bottom"/>
          </w:tcPr>
          <w:p>
            <w:pPr>
              <w:ind w:left="20"/>
              <w:spacing w:after="0"/>
              <w:rPr>
                <w:sz w:val="20"/>
                <w:szCs w:val="20"/>
                <w:color w:val="auto"/>
              </w:rPr>
            </w:pPr>
            <w:r>
              <w:rPr>
                <w:rFonts w:ascii="Arial" w:cs="Arial" w:eastAsia="Arial" w:hAnsi="Arial"/>
                <w:sz w:val="14"/>
                <w:szCs w:val="14"/>
                <w:color w:val="auto"/>
              </w:rPr>
              <w:t>Net income (loss) attributable to ExxonMobil (U.S. GAAP)</w:t>
            </w:r>
          </w:p>
        </w:tc>
        <w:tc>
          <w:tcPr>
            <w:tcW w:w="680" w:type="dxa"/>
            <w:vAlign w:val="bottom"/>
            <w:gridSpan w:val="2"/>
            <w:shd w:val="clear" w:color="auto" w:fill="F2F2F2"/>
          </w:tcPr>
          <w:p>
            <w:pPr>
              <w:jc w:val="right"/>
              <w:ind w:right="80"/>
              <w:spacing w:after="0"/>
              <w:rPr>
                <w:sz w:val="20"/>
                <w:szCs w:val="20"/>
                <w:color w:val="auto"/>
              </w:rPr>
            </w:pPr>
            <w:r>
              <w:rPr>
                <w:rFonts w:ascii="Arial" w:cs="Arial" w:eastAsia="Arial" w:hAnsi="Arial"/>
                <w:sz w:val="14"/>
                <w:szCs w:val="14"/>
                <w:color w:val="auto"/>
              </w:rPr>
              <w:t>55,740</w:t>
            </w:r>
          </w:p>
        </w:tc>
        <w:tc>
          <w:tcPr>
            <w:tcW w:w="980" w:type="dxa"/>
            <w:vAlign w:val="bottom"/>
            <w:tcBorders>
              <w:left w:val="single" w:sz="8" w:color="F2F2F2"/>
            </w:tcBorders>
          </w:tcPr>
          <w:p>
            <w:pPr>
              <w:jc w:val="right"/>
              <w:ind w:right="207"/>
              <w:spacing w:after="0"/>
              <w:rPr>
                <w:sz w:val="20"/>
                <w:szCs w:val="20"/>
                <w:color w:val="auto"/>
              </w:rPr>
            </w:pPr>
            <w:r>
              <w:rPr>
                <w:rFonts w:ascii="Arial" w:cs="Arial" w:eastAsia="Arial" w:hAnsi="Arial"/>
                <w:sz w:val="14"/>
                <w:szCs w:val="14"/>
                <w:color w:val="auto"/>
              </w:rPr>
              <w:t>23,040</w:t>
            </w:r>
          </w:p>
        </w:tc>
        <w:tc>
          <w:tcPr>
            <w:tcW w:w="980" w:type="dxa"/>
            <w:vAlign w:val="bottom"/>
          </w:tcPr>
          <w:p>
            <w:pPr>
              <w:jc w:val="right"/>
              <w:ind w:right="107"/>
              <w:spacing w:after="0"/>
              <w:rPr>
                <w:sz w:val="20"/>
                <w:szCs w:val="20"/>
                <w:color w:val="auto"/>
              </w:rPr>
            </w:pPr>
            <w:r>
              <w:rPr>
                <w:rFonts w:ascii="Arial" w:cs="Arial" w:eastAsia="Arial" w:hAnsi="Arial"/>
                <w:sz w:val="14"/>
                <w:szCs w:val="14"/>
                <w:color w:val="auto"/>
              </w:rPr>
              <w:t>(22,440)</w:t>
            </w:r>
          </w:p>
        </w:tc>
        <w:tc>
          <w:tcPr>
            <w:tcW w:w="0" w:type="dxa"/>
            <w:vAlign w:val="bottom"/>
          </w:tcPr>
          <w:p>
            <w:pPr>
              <w:spacing w:after="0"/>
              <w:rPr>
                <w:sz w:val="1"/>
                <w:szCs w:val="1"/>
                <w:color w:val="auto"/>
              </w:rPr>
            </w:pPr>
          </w:p>
        </w:tc>
      </w:tr>
      <w:tr>
        <w:trPr>
          <w:trHeight w:val="162"/>
        </w:trPr>
        <w:tc>
          <w:tcPr>
            <w:tcW w:w="7080" w:type="dxa"/>
            <w:vAlign w:val="bottom"/>
          </w:tcPr>
          <w:p>
            <w:pPr>
              <w:ind w:left="140"/>
              <w:spacing w:after="0"/>
              <w:rPr>
                <w:sz w:val="20"/>
                <w:szCs w:val="20"/>
                <w:color w:val="auto"/>
              </w:rPr>
            </w:pPr>
            <w:r>
              <w:rPr>
                <w:rFonts w:ascii="Arial" w:cs="Arial" w:eastAsia="Arial" w:hAnsi="Arial"/>
                <w:sz w:val="14"/>
                <w:szCs w:val="14"/>
                <w:color w:val="auto"/>
              </w:rPr>
              <w:t>Impairments</w:t>
            </w:r>
          </w:p>
        </w:tc>
        <w:tc>
          <w:tcPr>
            <w:tcW w:w="680" w:type="dxa"/>
            <w:vAlign w:val="bottom"/>
            <w:gridSpan w:val="2"/>
            <w:shd w:val="clear" w:color="auto" w:fill="F2F2F2"/>
          </w:tcPr>
          <w:p>
            <w:pPr>
              <w:jc w:val="right"/>
              <w:ind w:right="80"/>
              <w:spacing w:after="0"/>
              <w:rPr>
                <w:sz w:val="20"/>
                <w:szCs w:val="20"/>
                <w:color w:val="auto"/>
              </w:rPr>
            </w:pPr>
            <w:r>
              <w:rPr>
                <w:rFonts w:ascii="Arial" w:cs="Arial" w:eastAsia="Arial" w:hAnsi="Arial"/>
                <w:sz w:val="14"/>
                <w:szCs w:val="14"/>
                <w:color w:val="auto"/>
                <w:shd w:val="clear" w:color="auto" w:fill="F2F2F2"/>
              </w:rPr>
              <w:t>(4,202)</w:t>
            </w:r>
          </w:p>
        </w:tc>
        <w:tc>
          <w:tcPr>
            <w:tcW w:w="980" w:type="dxa"/>
            <w:vAlign w:val="bottom"/>
            <w:tcBorders>
              <w:left w:val="single" w:sz="8" w:color="F2F2F2"/>
            </w:tcBorders>
          </w:tcPr>
          <w:p>
            <w:pPr>
              <w:jc w:val="right"/>
              <w:ind w:right="207"/>
              <w:spacing w:after="0"/>
              <w:rPr>
                <w:sz w:val="20"/>
                <w:szCs w:val="20"/>
                <w:color w:val="auto"/>
              </w:rPr>
            </w:pPr>
            <w:r>
              <w:rPr>
                <w:rFonts w:ascii="Arial" w:cs="Arial" w:eastAsia="Arial" w:hAnsi="Arial"/>
                <w:sz w:val="14"/>
                <w:szCs w:val="14"/>
                <w:color w:val="auto"/>
              </w:rPr>
              <w:t>(752)</w:t>
            </w:r>
          </w:p>
        </w:tc>
        <w:tc>
          <w:tcPr>
            <w:tcW w:w="980" w:type="dxa"/>
            <w:vAlign w:val="bottom"/>
          </w:tcPr>
          <w:p>
            <w:pPr>
              <w:jc w:val="right"/>
              <w:ind w:right="107"/>
              <w:spacing w:after="0"/>
              <w:rPr>
                <w:sz w:val="20"/>
                <w:szCs w:val="20"/>
                <w:color w:val="auto"/>
              </w:rPr>
            </w:pPr>
            <w:r>
              <w:rPr>
                <w:rFonts w:ascii="Arial" w:cs="Arial" w:eastAsia="Arial" w:hAnsi="Arial"/>
                <w:sz w:val="14"/>
                <w:szCs w:val="14"/>
                <w:color w:val="auto"/>
              </w:rPr>
              <w:t>(20,060)</w:t>
            </w:r>
          </w:p>
        </w:tc>
        <w:tc>
          <w:tcPr>
            <w:tcW w:w="0" w:type="dxa"/>
            <w:vAlign w:val="bottom"/>
          </w:tcPr>
          <w:p>
            <w:pPr>
              <w:spacing w:after="0"/>
              <w:rPr>
                <w:sz w:val="1"/>
                <w:szCs w:val="1"/>
                <w:color w:val="auto"/>
              </w:rPr>
            </w:pPr>
          </w:p>
        </w:tc>
      </w:tr>
      <w:tr>
        <w:trPr>
          <w:trHeight w:val="162"/>
        </w:trPr>
        <w:tc>
          <w:tcPr>
            <w:tcW w:w="7080" w:type="dxa"/>
            <w:vAlign w:val="bottom"/>
          </w:tcPr>
          <w:p>
            <w:pPr>
              <w:ind w:left="140"/>
              <w:spacing w:after="0"/>
              <w:rPr>
                <w:sz w:val="20"/>
                <w:szCs w:val="20"/>
                <w:color w:val="auto"/>
              </w:rPr>
            </w:pPr>
            <w:r>
              <w:rPr>
                <w:rFonts w:ascii="Arial" w:cs="Arial" w:eastAsia="Arial" w:hAnsi="Arial"/>
                <w:sz w:val="14"/>
                <w:szCs w:val="14"/>
                <w:color w:val="auto"/>
              </w:rPr>
              <w:t>Gain/(loss) on sale of assets</w:t>
            </w:r>
          </w:p>
        </w:tc>
        <w:tc>
          <w:tcPr>
            <w:tcW w:w="6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886</w:t>
            </w:r>
          </w:p>
        </w:tc>
        <w:tc>
          <w:tcPr>
            <w:tcW w:w="80" w:type="dxa"/>
            <w:vAlign w:val="bottom"/>
            <w:shd w:val="clear" w:color="auto" w:fill="F2F2F2"/>
          </w:tcPr>
          <w:p>
            <w:pPr>
              <w:spacing w:after="0"/>
              <w:rPr>
                <w:sz w:val="14"/>
                <w:szCs w:val="14"/>
                <w:color w:val="auto"/>
              </w:rPr>
            </w:pPr>
          </w:p>
        </w:tc>
        <w:tc>
          <w:tcPr>
            <w:tcW w:w="980" w:type="dxa"/>
            <w:vAlign w:val="bottom"/>
            <w:tcBorders>
              <w:left w:val="single" w:sz="8" w:color="F2F2F2"/>
            </w:tcBorders>
          </w:tcPr>
          <w:p>
            <w:pPr>
              <w:jc w:val="right"/>
              <w:ind w:right="207"/>
              <w:spacing w:after="0"/>
              <w:rPr>
                <w:sz w:val="20"/>
                <w:szCs w:val="20"/>
                <w:color w:val="auto"/>
              </w:rPr>
            </w:pPr>
            <w:r>
              <w:rPr>
                <w:rFonts w:ascii="Arial" w:cs="Arial" w:eastAsia="Arial" w:hAnsi="Arial"/>
                <w:sz w:val="14"/>
                <w:szCs w:val="14"/>
                <w:color w:val="auto"/>
              </w:rPr>
              <w:t>1,081</w:t>
            </w:r>
          </w:p>
        </w:tc>
        <w:tc>
          <w:tcPr>
            <w:tcW w:w="98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7080" w:type="dxa"/>
            <w:vAlign w:val="bottom"/>
          </w:tcPr>
          <w:p>
            <w:pPr>
              <w:ind w:left="140"/>
              <w:spacing w:after="0" w:line="153" w:lineRule="exact"/>
              <w:rPr>
                <w:sz w:val="20"/>
                <w:szCs w:val="20"/>
                <w:color w:val="auto"/>
              </w:rPr>
            </w:pPr>
            <w:r>
              <w:rPr>
                <w:rFonts w:ascii="Arial" w:cs="Arial" w:eastAsia="Arial" w:hAnsi="Arial"/>
                <w:sz w:val="14"/>
                <w:szCs w:val="14"/>
                <w:color w:val="auto"/>
              </w:rPr>
              <w:t>Inventory valuation – lower of cost or market</w:t>
            </w:r>
          </w:p>
        </w:tc>
        <w:tc>
          <w:tcPr>
            <w:tcW w:w="600" w:type="dxa"/>
            <w:vAlign w:val="bottom"/>
            <w:shd w:val="clear" w:color="auto" w:fill="F2F2F2"/>
          </w:tcPr>
          <w:p>
            <w:pPr>
              <w:jc w:val="right"/>
              <w:spacing w:after="0" w:line="153" w:lineRule="exact"/>
              <w:rPr>
                <w:sz w:val="20"/>
                <w:szCs w:val="20"/>
                <w:color w:val="auto"/>
              </w:rPr>
            </w:pPr>
            <w:r>
              <w:rPr>
                <w:rFonts w:ascii="Arial" w:cs="Arial" w:eastAsia="Arial" w:hAnsi="Arial"/>
                <w:sz w:val="14"/>
                <w:szCs w:val="14"/>
                <w:color w:val="auto"/>
              </w:rPr>
              <w:t>—</w:t>
            </w:r>
          </w:p>
        </w:tc>
        <w:tc>
          <w:tcPr>
            <w:tcW w:w="80" w:type="dxa"/>
            <w:vAlign w:val="bottom"/>
            <w:shd w:val="clear" w:color="auto" w:fill="F2F2F2"/>
          </w:tcPr>
          <w:p>
            <w:pPr>
              <w:spacing w:after="0"/>
              <w:rPr>
                <w:sz w:val="13"/>
                <w:szCs w:val="13"/>
                <w:color w:val="auto"/>
              </w:rPr>
            </w:pPr>
          </w:p>
        </w:tc>
        <w:tc>
          <w:tcPr>
            <w:tcW w:w="980" w:type="dxa"/>
            <w:vAlign w:val="bottom"/>
            <w:tcBorders>
              <w:left w:val="single" w:sz="8" w:color="F2F2F2"/>
            </w:tcBorders>
          </w:tcPr>
          <w:p>
            <w:pPr>
              <w:jc w:val="right"/>
              <w:ind w:right="207"/>
              <w:spacing w:after="0" w:line="153"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107"/>
              <w:spacing w:after="0" w:line="153"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62"/>
        </w:trPr>
        <w:tc>
          <w:tcPr>
            <w:tcW w:w="7080" w:type="dxa"/>
            <w:vAlign w:val="bottom"/>
          </w:tcPr>
          <w:p>
            <w:pPr>
              <w:ind w:left="140"/>
              <w:spacing w:after="0"/>
              <w:rPr>
                <w:sz w:val="20"/>
                <w:szCs w:val="20"/>
                <w:color w:val="auto"/>
              </w:rPr>
            </w:pPr>
            <w:r>
              <w:rPr>
                <w:rFonts w:ascii="Arial" w:cs="Arial" w:eastAsia="Arial" w:hAnsi="Arial"/>
                <w:sz w:val="14"/>
                <w:szCs w:val="14"/>
                <w:color w:val="auto"/>
              </w:rPr>
              <w:t>Tax-related items</w:t>
            </w:r>
          </w:p>
        </w:tc>
        <w:tc>
          <w:tcPr>
            <w:tcW w:w="6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(1,501)</w:t>
            </w:r>
          </w:p>
        </w:tc>
        <w:tc>
          <w:tcPr>
            <w:tcW w:w="80" w:type="dxa"/>
            <w:vAlign w:val="bottom"/>
            <w:shd w:val="clear" w:color="auto" w:fill="F2F2F2"/>
          </w:tcPr>
          <w:p>
            <w:pPr>
              <w:spacing w:after="0"/>
              <w:rPr>
                <w:sz w:val="14"/>
                <w:szCs w:val="14"/>
                <w:color w:val="auto"/>
              </w:rPr>
            </w:pPr>
          </w:p>
        </w:tc>
        <w:tc>
          <w:tcPr>
            <w:tcW w:w="980" w:type="dxa"/>
            <w:vAlign w:val="bottom"/>
            <w:tcBorders>
              <w:left w:val="single" w:sz="8" w:color="F2F2F2"/>
            </w:tcBorders>
          </w:tcPr>
          <w:p>
            <w:pPr>
              <w:jc w:val="right"/>
              <w:ind w:right="207"/>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7"/>
              <w:spacing w:after="0"/>
              <w:rPr>
                <w:sz w:val="20"/>
                <w:szCs w:val="20"/>
                <w:color w:val="auto"/>
              </w:rPr>
            </w:pPr>
            <w:r>
              <w:rPr>
                <w:rFonts w:ascii="Arial" w:cs="Arial" w:eastAsia="Arial" w:hAnsi="Arial"/>
                <w:sz w:val="14"/>
                <w:szCs w:val="14"/>
                <w:color w:val="auto"/>
              </w:rPr>
              <w:t>(581)</w:t>
            </w:r>
          </w:p>
        </w:tc>
        <w:tc>
          <w:tcPr>
            <w:tcW w:w="0" w:type="dxa"/>
            <w:vAlign w:val="bottom"/>
          </w:tcPr>
          <w:p>
            <w:pPr>
              <w:spacing w:after="0"/>
              <w:rPr>
                <w:sz w:val="1"/>
                <w:szCs w:val="1"/>
                <w:color w:val="auto"/>
              </w:rPr>
            </w:pPr>
          </w:p>
        </w:tc>
      </w:tr>
      <w:tr>
        <w:trPr>
          <w:trHeight w:val="162"/>
        </w:trPr>
        <w:tc>
          <w:tcPr>
            <w:tcW w:w="7080" w:type="dxa"/>
            <w:vAlign w:val="bottom"/>
          </w:tcPr>
          <w:p>
            <w:pPr>
              <w:ind w:left="140"/>
              <w:spacing w:after="0"/>
              <w:rPr>
                <w:sz w:val="20"/>
                <w:szCs w:val="20"/>
                <w:color w:val="auto"/>
              </w:rPr>
            </w:pPr>
            <w:r>
              <w:rPr>
                <w:rFonts w:ascii="Arial" w:cs="Arial" w:eastAsia="Arial" w:hAnsi="Arial"/>
                <w:sz w:val="14"/>
                <w:szCs w:val="14"/>
                <w:color w:val="auto"/>
              </w:rPr>
              <w:t>Severance charges</w:t>
            </w:r>
          </w:p>
        </w:tc>
        <w:tc>
          <w:tcPr>
            <w:tcW w:w="6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F2F2F2"/>
          </w:tcPr>
          <w:p>
            <w:pPr>
              <w:spacing w:after="0"/>
              <w:rPr>
                <w:sz w:val="14"/>
                <w:szCs w:val="14"/>
                <w:color w:val="auto"/>
              </w:rPr>
            </w:pPr>
          </w:p>
        </w:tc>
        <w:tc>
          <w:tcPr>
            <w:tcW w:w="980" w:type="dxa"/>
            <w:vAlign w:val="bottom"/>
            <w:tcBorders>
              <w:left w:val="single" w:sz="8" w:color="F2F2F2"/>
            </w:tcBorders>
          </w:tcPr>
          <w:p>
            <w:pPr>
              <w:jc w:val="right"/>
              <w:ind w:right="207"/>
              <w:spacing w:after="0"/>
              <w:rPr>
                <w:sz w:val="20"/>
                <w:szCs w:val="20"/>
                <w:color w:val="auto"/>
              </w:rPr>
            </w:pPr>
            <w:r>
              <w:rPr>
                <w:rFonts w:ascii="Arial" w:cs="Arial" w:eastAsia="Arial" w:hAnsi="Arial"/>
                <w:sz w:val="14"/>
                <w:szCs w:val="14"/>
                <w:color w:val="auto"/>
              </w:rPr>
              <w:t>(52)</w:t>
            </w:r>
          </w:p>
        </w:tc>
        <w:tc>
          <w:tcPr>
            <w:tcW w:w="980" w:type="dxa"/>
            <w:vAlign w:val="bottom"/>
          </w:tcPr>
          <w:p>
            <w:pPr>
              <w:jc w:val="right"/>
              <w:ind w:right="107"/>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62"/>
        </w:trPr>
        <w:tc>
          <w:tcPr>
            <w:tcW w:w="7080" w:type="dxa"/>
            <w:vAlign w:val="bottom"/>
          </w:tcPr>
          <w:p>
            <w:pPr>
              <w:ind w:left="140"/>
              <w:spacing w:after="0"/>
              <w:rPr>
                <w:sz w:val="20"/>
                <w:szCs w:val="20"/>
                <w:color w:val="auto"/>
              </w:rPr>
            </w:pPr>
            <w:r>
              <w:rPr>
                <w:rFonts w:ascii="Arial" w:cs="Arial" w:eastAsia="Arial" w:hAnsi="Arial"/>
                <w:sz w:val="14"/>
                <w:szCs w:val="14"/>
                <w:color w:val="auto"/>
              </w:rPr>
              <w:t>Contractual provisions</w:t>
            </w:r>
          </w:p>
        </w:tc>
        <w:tc>
          <w:tcPr>
            <w:tcW w:w="6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F2F2F2"/>
          </w:tcPr>
          <w:p>
            <w:pPr>
              <w:spacing w:after="0"/>
              <w:rPr>
                <w:sz w:val="14"/>
                <w:szCs w:val="14"/>
                <w:color w:val="auto"/>
              </w:rPr>
            </w:pPr>
          </w:p>
        </w:tc>
        <w:tc>
          <w:tcPr>
            <w:tcW w:w="980" w:type="dxa"/>
            <w:vAlign w:val="bottom"/>
            <w:tcBorders>
              <w:left w:val="single" w:sz="8" w:color="F2F2F2"/>
            </w:tcBorders>
          </w:tcPr>
          <w:p>
            <w:pPr>
              <w:jc w:val="right"/>
              <w:ind w:right="207"/>
              <w:spacing w:after="0"/>
              <w:rPr>
                <w:sz w:val="20"/>
                <w:szCs w:val="20"/>
                <w:color w:val="auto"/>
              </w:rPr>
            </w:pPr>
            <w:r>
              <w:rPr>
                <w:rFonts w:ascii="Arial" w:cs="Arial" w:eastAsia="Arial" w:hAnsi="Arial"/>
                <w:sz w:val="14"/>
                <w:szCs w:val="14"/>
                <w:color w:val="auto"/>
              </w:rPr>
              <w:t>(250)</w:t>
            </w:r>
          </w:p>
        </w:tc>
        <w:tc>
          <w:tcPr>
            <w:tcW w:w="98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5"/>
        </w:trPr>
        <w:tc>
          <w:tcPr>
            <w:tcW w:w="7080" w:type="dxa"/>
            <w:vAlign w:val="bottom"/>
          </w:tcPr>
          <w:p>
            <w:pPr>
              <w:ind w:left="140"/>
              <w:spacing w:after="0"/>
              <w:rPr>
                <w:sz w:val="20"/>
                <w:szCs w:val="20"/>
                <w:color w:val="auto"/>
              </w:rPr>
            </w:pPr>
            <w:r>
              <w:rPr>
                <w:rFonts w:ascii="Arial" w:cs="Arial" w:eastAsia="Arial" w:hAnsi="Arial"/>
                <w:sz w:val="14"/>
                <w:szCs w:val="14"/>
                <w:color w:val="auto"/>
              </w:rPr>
              <w:t>Other</w:t>
            </w:r>
          </w:p>
        </w:tc>
        <w:tc>
          <w:tcPr>
            <w:tcW w:w="6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1,456</w:t>
            </w:r>
          </w:p>
        </w:tc>
        <w:tc>
          <w:tcPr>
            <w:tcW w:w="80" w:type="dxa"/>
            <w:vAlign w:val="bottom"/>
            <w:tcBorders>
              <w:bottom w:val="single" w:sz="8" w:color="F2F2F2"/>
            </w:tcBorders>
            <w:shd w:val="clear" w:color="auto" w:fill="F2F2F2"/>
          </w:tcPr>
          <w:p>
            <w:pPr>
              <w:spacing w:after="0"/>
              <w:rPr>
                <w:sz w:val="19"/>
                <w:szCs w:val="19"/>
                <w:color w:val="auto"/>
              </w:rPr>
            </w:pPr>
          </w:p>
        </w:tc>
        <w:tc>
          <w:tcPr>
            <w:tcW w:w="980" w:type="dxa"/>
            <w:vAlign w:val="bottom"/>
            <w:tcBorders>
              <w:left w:val="single" w:sz="8" w:color="F2F2F2"/>
            </w:tcBorders>
          </w:tcPr>
          <w:p>
            <w:pPr>
              <w:jc w:val="right"/>
              <w:ind w:right="207"/>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0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Identified Items</w:t>
            </w:r>
          </w:p>
        </w:tc>
        <w:tc>
          <w:tcPr>
            <w:tcW w:w="600" w:type="dxa"/>
            <w:vAlign w:val="bottom"/>
            <w:tcBorders>
              <w:top w:val="single" w:sz="8" w:color="auto"/>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(3,361)</w:t>
            </w:r>
          </w:p>
        </w:tc>
        <w:tc>
          <w:tcPr>
            <w:tcW w:w="80" w:type="dxa"/>
            <w:vAlign w:val="bottom"/>
            <w:tcBorders>
              <w:top w:val="single" w:sz="8" w:color="auto"/>
              <w:bottom w:val="single" w:sz="8" w:color="F2F2F2"/>
            </w:tcBorders>
            <w:shd w:val="clear" w:color="auto" w:fill="F2F2F2"/>
          </w:tcPr>
          <w:p>
            <w:pPr>
              <w:spacing w:after="0"/>
              <w:rPr>
                <w:sz w:val="18"/>
                <w:szCs w:val="18"/>
                <w:color w:val="auto"/>
              </w:rPr>
            </w:pPr>
          </w:p>
        </w:tc>
        <w:tc>
          <w:tcPr>
            <w:tcW w:w="980" w:type="dxa"/>
            <w:vAlign w:val="bottom"/>
            <w:tcBorders>
              <w:top w:val="single" w:sz="8" w:color="auto"/>
              <w:left w:val="single" w:sz="8" w:color="F2F2F2"/>
            </w:tcBorders>
          </w:tcPr>
          <w:p>
            <w:pPr>
              <w:jc w:val="right"/>
              <w:ind w:right="207"/>
              <w:spacing w:after="0"/>
              <w:rPr>
                <w:sz w:val="20"/>
                <w:szCs w:val="20"/>
                <w:color w:val="auto"/>
              </w:rPr>
            </w:pPr>
            <w:r>
              <w:rPr>
                <w:rFonts w:ascii="Arial" w:cs="Arial" w:eastAsia="Arial" w:hAnsi="Arial"/>
                <w:sz w:val="14"/>
                <w:szCs w:val="14"/>
                <w:color w:val="auto"/>
              </w:rPr>
              <w:t>27</w:t>
            </w:r>
          </w:p>
        </w:tc>
        <w:tc>
          <w:tcPr>
            <w:tcW w:w="980" w:type="dxa"/>
            <w:vAlign w:val="bottom"/>
            <w:tcBorders>
              <w:top w:val="single" w:sz="8" w:color="auto"/>
            </w:tcBorders>
          </w:tcPr>
          <w:p>
            <w:pPr>
              <w:jc w:val="right"/>
              <w:ind w:right="107"/>
              <w:spacing w:after="0"/>
              <w:rPr>
                <w:sz w:val="20"/>
                <w:szCs w:val="20"/>
                <w:color w:val="auto"/>
              </w:rPr>
            </w:pPr>
            <w:r>
              <w:rPr>
                <w:rFonts w:ascii="Arial" w:cs="Arial" w:eastAsia="Arial" w:hAnsi="Arial"/>
                <w:sz w:val="14"/>
                <w:szCs w:val="14"/>
                <w:color w:val="auto"/>
              </w:rPr>
              <w:t>(21,028)</w:t>
            </w:r>
          </w:p>
        </w:tc>
        <w:tc>
          <w:tcPr>
            <w:tcW w:w="0" w:type="dxa"/>
            <w:vAlign w:val="bottom"/>
          </w:tcPr>
          <w:p>
            <w:pPr>
              <w:spacing w:after="0"/>
              <w:rPr>
                <w:sz w:val="1"/>
                <w:szCs w:val="1"/>
                <w:color w:val="auto"/>
              </w:rPr>
            </w:pPr>
          </w:p>
        </w:tc>
      </w:tr>
      <w:tr>
        <w:trPr>
          <w:trHeight w:val="203"/>
        </w:trPr>
        <w:tc>
          <w:tcPr>
            <w:tcW w:w="70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Earnings (loss) excluding Identified Items </w:t>
            </w:r>
            <w:r>
              <w:rPr>
                <w:rFonts w:ascii="Arial" w:cs="Arial" w:eastAsia="Arial" w:hAnsi="Arial"/>
                <w:sz w:val="14"/>
                <w:szCs w:val="14"/>
                <w:color w:val="auto"/>
              </w:rPr>
              <w:t>(Non-GAAP)</w:t>
            </w:r>
          </w:p>
        </w:tc>
        <w:tc>
          <w:tcPr>
            <w:tcW w:w="600" w:type="dxa"/>
            <w:vAlign w:val="bottom"/>
            <w:tcBorders>
              <w:top w:val="single" w:sz="8" w:color="auto"/>
              <w:bottom w:val="single" w:sz="8" w:color="auto"/>
            </w:tcBorders>
            <w:shd w:val="clear" w:color="auto" w:fill="F2F2F2"/>
          </w:tcPr>
          <w:p>
            <w:pPr>
              <w:jc w:val="right"/>
              <w:spacing w:after="0"/>
              <w:rPr>
                <w:sz w:val="20"/>
                <w:szCs w:val="20"/>
                <w:color w:val="auto"/>
              </w:rPr>
            </w:pPr>
            <w:r>
              <w:rPr>
                <w:rFonts w:ascii="Arial" w:cs="Arial" w:eastAsia="Arial" w:hAnsi="Arial"/>
                <w:sz w:val="14"/>
                <w:szCs w:val="14"/>
                <w:b w:val="1"/>
                <w:bCs w:val="1"/>
                <w:color w:val="auto"/>
              </w:rPr>
              <w:t>59,101</w:t>
            </w:r>
          </w:p>
        </w:tc>
        <w:tc>
          <w:tcPr>
            <w:tcW w:w="80" w:type="dxa"/>
            <w:vAlign w:val="bottom"/>
            <w:tcBorders>
              <w:top w:val="single" w:sz="8" w:color="auto"/>
              <w:bottom w:val="single" w:sz="8" w:color="auto"/>
            </w:tcBorders>
            <w:shd w:val="clear" w:color="auto" w:fill="F2F2F2"/>
          </w:tcPr>
          <w:p>
            <w:pPr>
              <w:spacing w:after="0"/>
              <w:rPr>
                <w:sz w:val="17"/>
                <w:szCs w:val="17"/>
                <w:color w:val="auto"/>
              </w:rPr>
            </w:pPr>
          </w:p>
        </w:tc>
        <w:tc>
          <w:tcPr>
            <w:tcW w:w="980" w:type="dxa"/>
            <w:vAlign w:val="bottom"/>
            <w:tcBorders>
              <w:top w:val="single" w:sz="8" w:color="auto"/>
              <w:left w:val="single" w:sz="8" w:color="F2F2F2"/>
              <w:bottom w:val="single" w:sz="8" w:color="auto"/>
            </w:tcBorders>
          </w:tcPr>
          <w:p>
            <w:pPr>
              <w:jc w:val="right"/>
              <w:ind w:right="207"/>
              <w:spacing w:after="0"/>
              <w:rPr>
                <w:sz w:val="20"/>
                <w:szCs w:val="20"/>
                <w:color w:val="auto"/>
              </w:rPr>
            </w:pPr>
            <w:r>
              <w:rPr>
                <w:rFonts w:ascii="Arial" w:cs="Arial" w:eastAsia="Arial" w:hAnsi="Arial"/>
                <w:sz w:val="14"/>
                <w:szCs w:val="14"/>
                <w:b w:val="1"/>
                <w:bCs w:val="1"/>
                <w:color w:val="auto"/>
              </w:rPr>
              <w:t>23,013</w:t>
            </w:r>
          </w:p>
        </w:tc>
        <w:tc>
          <w:tcPr>
            <w:tcW w:w="98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4"/>
                <w:szCs w:val="14"/>
                <w:b w:val="1"/>
                <w:bCs w:val="1"/>
                <w:color w:val="auto"/>
              </w:rPr>
              <w:t>(1,412)</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760" w:right="80"/>
        <w:spacing w:after="0" w:line="246" w:lineRule="auto"/>
        <w:rPr>
          <w:sz w:val="20"/>
          <w:szCs w:val="20"/>
          <w:color w:val="auto"/>
        </w:rPr>
      </w:pPr>
      <w:r>
        <w:rPr>
          <w:rFonts w:ascii="Arial" w:cs="Arial" w:eastAsia="Arial" w:hAnsi="Arial"/>
          <w:sz w:val="18"/>
          <w:szCs w:val="18"/>
          <w:i w:val="1"/>
          <w:iCs w:val="1"/>
          <w:color w:val="auto"/>
        </w:rPr>
        <w:t>References in this discussion to Corporate earnings (loss) mean net income (loss) attributable to ExxonMobil (U.S. GAAP) from the Consolidated Statement of Income. Unless otherwise indicated, references to earnings (loss), Upstream, Energy Products, Chemical Products, Specialty Products, and Corporate and Financing segment earnings (loss), and earnings (loss) per share are ExxonMobil’s share after excluding amounts attributable to noncontrolling interests.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Due to rounding, numbers presented may not add up precisely to the totals indicated.</w:t>
      </w:r>
    </w:p>
    <w:p>
      <w:pPr>
        <w:spacing w:after="0" w:line="384" w:lineRule="exact"/>
        <w:rPr>
          <w:sz w:val="20"/>
          <w:szCs w:val="20"/>
          <w:color w:val="auto"/>
        </w:rPr>
      </w:pPr>
    </w:p>
    <w:tbl>
      <w:tblPr>
        <w:tblLayout w:type="fixed"/>
        <w:tblInd w:w="6660" w:type="dxa"/>
        <w:tblCellMar>
          <w:top w:w="0" w:type="dxa"/>
          <w:left w:w="0" w:type="dxa"/>
          <w:bottom w:w="0" w:type="dxa"/>
          <w:right w:w="0" w:type="dxa"/>
        </w:tblCellMar>
      </w:tblPr>
      <w:tr>
        <w:trPr>
          <w:trHeight w:val="240"/>
        </w:trPr>
        <w:tc>
          <w:tcPr>
            <w:tcW w:w="2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2023 Proxy Statement</w:t>
            </w:r>
          </w:p>
        </w:tc>
        <w:tc>
          <w:tcPr>
            <w:tcW w:w="1200" w:type="dxa"/>
            <w:vAlign w:val="bottom"/>
          </w:tcPr>
          <w:p>
            <w:pPr>
              <w:jc w:val="right"/>
              <w:spacing w:after="0"/>
              <w:rPr>
                <w:sz w:val="20"/>
                <w:szCs w:val="20"/>
                <w:color w:val="auto"/>
              </w:rPr>
            </w:pPr>
            <w:r>
              <w:rPr>
                <w:rFonts w:ascii="Arial" w:cs="Arial" w:eastAsia="Arial" w:hAnsi="Arial"/>
                <w:sz w:val="18"/>
                <w:szCs w:val="18"/>
                <w:color w:val="auto"/>
              </w:rPr>
              <w:t>113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-139065</wp:posOffset>
            </wp:positionV>
            <wp:extent cx="737235" cy="14541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480"/>
          </w:cols>
          <w:pgMar w:left="320" w:top="482" w:right="10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8729345</wp:posOffset>
            </wp:positionV>
            <wp:extent cx="257175" cy="25717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tabs>
          <w:tab w:leader="none" w:pos="1100" w:val="left"/>
        </w:tabs>
        <w:rPr>
          <w:sz w:val="20"/>
          <w:szCs w:val="20"/>
          <w:color w:val="auto"/>
        </w:rPr>
      </w:pPr>
      <w:r>
        <w:rPr>
          <w:rFonts w:ascii="Arial" w:cs="Arial" w:eastAsia="Arial" w:hAnsi="Arial"/>
          <w:sz w:val="18"/>
          <w:szCs w:val="18"/>
          <w:b w:val="1"/>
          <w:bCs w:val="1"/>
          <w:i w:val="1"/>
          <w:iCs w:val="1"/>
          <w:color w:val="auto"/>
        </w:rPr>
        <w:t>Printed entirely on recycled paper</w:t>
      </w:r>
      <w:r>
        <w:rPr>
          <w:sz w:val="20"/>
          <w:szCs w:val="20"/>
          <w:color w:val="auto"/>
        </w:rPr>
        <w:tab/>
      </w:r>
      <w:r>
        <w:rPr>
          <w:rFonts w:ascii="Arial" w:cs="Arial" w:eastAsia="Arial" w:hAnsi="Arial"/>
          <w:sz w:val="17"/>
          <w:szCs w:val="17"/>
          <w:color w:val="auto"/>
        </w:rPr>
        <w:t>002CSND8F5</w:t>
      </w:r>
    </w:p>
    <w:p>
      <w:pPr>
        <w:sectPr>
          <w:pgSz w:w="11900" w:h="16838" w:orient="portrait"/>
          <w:cols w:equalWidth="0" w:num="1">
            <w:col w:w="10440"/>
          </w:cols>
          <w:pgMar w:left="320" w:top="482" w:right="11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215265</wp:posOffset>
            </wp:positionV>
            <wp:extent cx="5829300" cy="75438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215265</wp:posOffset>
            </wp:positionV>
            <wp:extent cx="5829300" cy="75438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sectPr>
      <w:pgSz w:w="11900" w:h="16838" w:orient="portrait"/>
      <w:cols w:equalWidth="0" w:num="1">
        <w:col w:w="10139"/>
      </w:cols>
      <w:pgMar w:left="32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F6AB60F"/>
    <w:multiLevelType w:val="hybridMultilevel"/>
    <w:lvl w:ilvl="0">
      <w:lvlJc w:val="left"/>
      <w:lvlText w:val="☐"/>
      <w:numFmt w:val="bullet"/>
      <w:start w:val="1"/>
    </w:lvl>
  </w:abstractNum>
  <w:abstractNum w:abstractNumId="1">
    <w:nsid w:val="61574095"/>
    <w:multiLevelType w:val="hybridMultilevel"/>
    <w:lvl w:ilvl="0">
      <w:lvlJc w:val="left"/>
      <w:lvlText w:val="☒"/>
      <w:numFmt w:val="bullet"/>
      <w:start w:val="1"/>
    </w:lvl>
  </w:abstractNum>
  <w:abstractNum w:abstractNumId="2">
    <w:nsid w:val="7E0C57B1"/>
    <w:multiLevelType w:val="hybridMultilevel"/>
    <w:lvl w:ilvl="0">
      <w:lvlJc w:val="left"/>
      <w:lvlText w:val="☐"/>
      <w:numFmt w:val="bullet"/>
      <w:start w:val="1"/>
    </w:lvl>
  </w:abstractNum>
  <w:abstractNum w:abstractNumId="3">
    <w:nsid w:val="77AE35EB"/>
    <w:multiLevelType w:val="hybridMultilevel"/>
    <w:lvl w:ilvl="0">
      <w:lvlJc w:val="left"/>
      <w:lvlText w:val="☒"/>
      <w:numFmt w:val="bullet"/>
      <w:start w:val="1"/>
    </w:lvl>
  </w:abstractNum>
  <w:abstractNum w:abstractNumId="4">
    <w:nsid w:val="579BE4F1"/>
    <w:multiLevelType w:val="hybridMultilevel"/>
    <w:lvl w:ilvl="0">
      <w:lvlJc w:val="left"/>
      <w:lvlText w:val="☐"/>
      <w:numFmt w:val="bullet"/>
      <w:start w:val="1"/>
    </w:lvl>
  </w:abstractNum>
  <w:abstractNum w:abstractNumId="5">
    <w:nsid w:val="310C50B3"/>
    <w:multiLevelType w:val="hybridMultilevel"/>
    <w:lvl w:ilvl="0">
      <w:lvlJc w:val="left"/>
      <w:lvlText w:val="•"/>
      <w:numFmt w:val="bullet"/>
      <w:start w:val="1"/>
    </w:lvl>
  </w:abstractNum>
  <w:abstractNum w:abstractNumId="6">
    <w:nsid w:val="5FF87E05"/>
    <w:multiLevelType w:val="hybridMultilevel"/>
    <w:lvl w:ilvl="0">
      <w:lvlJc w:val="left"/>
      <w:lvlText w:val="1"/>
      <w:numFmt w:val="bullet"/>
      <w:start w:val="1"/>
    </w:lvl>
  </w:abstractNum>
  <w:abstractNum w:abstractNumId="7">
    <w:nsid w:val="2F305DEF"/>
    <w:multiLevelType w:val="hybridMultilevel"/>
    <w:lvl w:ilvl="0">
      <w:lvlJc w:val="left"/>
      <w:lvlText w:val="2"/>
      <w:numFmt w:val="bullet"/>
      <w:start w:val="1"/>
    </w:lvl>
  </w:abstractNum>
  <w:abstractNum w:abstractNumId="8">
    <w:nsid w:val="25A70BF7"/>
    <w:multiLevelType w:val="hybridMultilevel"/>
    <w:lvl w:ilvl="0">
      <w:lvlJc w:val="left"/>
      <w:lvlText w:val="3"/>
      <w:numFmt w:val="bullet"/>
      <w:start w:val="1"/>
    </w:lvl>
  </w:abstractNum>
  <w:abstractNum w:abstractNumId="9">
    <w:nsid w:val="1DBABF00"/>
    <w:multiLevelType w:val="hybridMultilevel"/>
    <w:lvl w:ilvl="0">
      <w:lvlJc w:val="left"/>
      <w:lvlText w:val="4"/>
      <w:numFmt w:val="bullet"/>
      <w:start w:val="1"/>
    </w:lvl>
  </w:abstractNum>
  <w:abstractNum w:abstractNumId="10">
    <w:nsid w:val="4AD084E9"/>
    <w:multiLevelType w:val="hybridMultilevel"/>
    <w:lvl w:ilvl="0">
      <w:lvlJc w:val="left"/>
      <w:lvlText w:val="•"/>
      <w:numFmt w:val="bullet"/>
      <w:start w:val="1"/>
    </w:lvl>
  </w:abstractNum>
  <w:abstractNum w:abstractNumId="11">
    <w:nsid w:val="1F48EAA1"/>
    <w:multiLevelType w:val="hybridMultilevel"/>
    <w:lvl w:ilvl="0">
      <w:lvlJc w:val="left"/>
      <w:lvlText w:val="•"/>
      <w:numFmt w:val="bullet"/>
      <w:start w:val="1"/>
    </w:lvl>
  </w:abstractNum>
  <w:abstractNum w:abstractNumId="12">
    <w:nsid w:val="1381823A"/>
    <w:multiLevelType w:val="hybridMultilevel"/>
    <w:lvl w:ilvl="0">
      <w:lvlJc w:val="left"/>
      <w:lvlText w:val="•"/>
      <w:numFmt w:val="bullet"/>
      <w:start w:val="1"/>
    </w:lvl>
  </w:abstractNum>
  <w:abstractNum w:abstractNumId="13">
    <w:nsid w:val="5DB70AE5"/>
    <w:multiLevelType w:val="hybridMultilevel"/>
    <w:lvl w:ilvl="0">
      <w:lvlJc w:val="left"/>
      <w:lvlText w:val="•"/>
      <w:numFmt w:val="bullet"/>
      <w:start w:val="1"/>
    </w:lvl>
  </w:abstractNum>
  <w:abstractNum w:abstractNumId="14">
    <w:nsid w:val="100F8FCA"/>
    <w:multiLevelType w:val="hybridMultilevel"/>
    <w:lvl w:ilvl="0">
      <w:lvlJc w:val="left"/>
      <w:lvlText w:val="•"/>
      <w:numFmt w:val="bullet"/>
      <w:start w:val="1"/>
    </w:lvl>
  </w:abstractNum>
  <w:abstractNum w:abstractNumId="15">
    <w:nsid w:val="6590700B"/>
    <w:multiLevelType w:val="hybridMultilevel"/>
    <w:lvl w:ilvl="0">
      <w:lvlJc w:val="left"/>
      <w:lvlText w:val="•"/>
      <w:numFmt w:val="bullet"/>
      <w:start w:val="1"/>
    </w:lvl>
  </w:abstractNum>
  <w:abstractNum w:abstractNumId="16">
    <w:nsid w:val="15014ACB"/>
    <w:multiLevelType w:val="hybridMultilevel"/>
    <w:lvl w:ilvl="0">
      <w:lvlJc w:val="left"/>
      <w:lvlText w:val="•"/>
      <w:numFmt w:val="bullet"/>
      <w:start w:val="1"/>
    </w:lvl>
  </w:abstractNum>
  <w:abstractNum w:abstractNumId="17">
    <w:nsid w:val="5F5E7FD0"/>
    <w:multiLevelType w:val="hybridMultilevel"/>
    <w:lvl w:ilvl="0">
      <w:lvlJc w:val="left"/>
      <w:lvlText w:val="•"/>
      <w:numFmt w:val="bullet"/>
      <w:start w:val="1"/>
    </w:lvl>
  </w:abstractNum>
  <w:abstractNum w:abstractNumId="18">
    <w:nsid w:val="98A3148"/>
    <w:multiLevelType w:val="hybridMultilevel"/>
    <w:lvl w:ilvl="0">
      <w:lvlJc w:val="left"/>
      <w:lvlText w:val="•"/>
      <w:numFmt w:val="bullet"/>
      <w:start w:val="1"/>
    </w:lvl>
  </w:abstractNum>
  <w:abstractNum w:abstractNumId="19">
    <w:nsid w:val="799D0247"/>
    <w:multiLevelType w:val="hybridMultilevel"/>
    <w:lvl w:ilvl="0">
      <w:lvlJc w:val="left"/>
      <w:lvlText w:val="•"/>
      <w:numFmt w:val="bullet"/>
      <w:start w:val="1"/>
    </w:lvl>
  </w:abstractNum>
  <w:abstractNum w:abstractNumId="20">
    <w:nsid w:val="6B94764"/>
    <w:multiLevelType w:val="hybridMultilevel"/>
    <w:lvl w:ilvl="0">
      <w:lvlJc w:val="left"/>
      <w:lvlText w:val="•"/>
      <w:numFmt w:val="bullet"/>
      <w:start w:val="1"/>
    </w:lvl>
  </w:abstractNum>
  <w:abstractNum w:abstractNumId="21">
    <w:nsid w:val="42C296BD"/>
    <w:multiLevelType w:val="hybridMultilevel"/>
    <w:lvl w:ilvl="0">
      <w:lvlJc w:val="left"/>
      <w:lvlText w:val="•"/>
      <w:numFmt w:val="bullet"/>
      <w:start w:val="1"/>
    </w:lvl>
  </w:abstractNum>
  <w:abstractNum w:abstractNumId="22">
    <w:nsid w:val="168E121F"/>
    <w:multiLevelType w:val="hybridMultilevel"/>
    <w:lvl w:ilvl="0">
      <w:lvlJc w:val="left"/>
      <w:lvlText w:val="*"/>
      <w:numFmt w:val="bullet"/>
      <w:start w:val="1"/>
    </w:lvl>
  </w:abstractNum>
  <w:abstractNum w:abstractNumId="23">
    <w:nsid w:val="1EBA5D23"/>
    <w:multiLevelType w:val="hybridMultilevel"/>
    <w:lvl w:ilvl="0">
      <w:lvlJc w:val="left"/>
      <w:lvlText w:val="•"/>
      <w:numFmt w:val="bullet"/>
      <w:start w:val="1"/>
    </w:lvl>
  </w:abstractNum>
  <w:abstractNum w:abstractNumId="24">
    <w:nsid w:val="661E3F1E"/>
    <w:multiLevelType w:val="hybridMultilevel"/>
    <w:lvl w:ilvl="0">
      <w:lvlJc w:val="left"/>
      <w:lvlText w:val="•"/>
      <w:numFmt w:val="bullet"/>
      <w:start w:val="1"/>
    </w:lvl>
  </w:abstractNum>
  <w:abstractNum w:abstractNumId="25">
    <w:nsid w:val="5DC79EA8"/>
    <w:multiLevelType w:val="hybridMultilevel"/>
    <w:lvl w:ilvl="0">
      <w:lvlJc w:val="left"/>
      <w:lvlText w:val="•"/>
      <w:numFmt w:val="bullet"/>
      <w:start w:val="1"/>
    </w:lvl>
  </w:abstractNum>
  <w:abstractNum w:abstractNumId="26">
    <w:nsid w:val="540A471C"/>
    <w:multiLevelType w:val="hybridMultilevel"/>
    <w:lvl w:ilvl="0">
      <w:lvlJc w:val="left"/>
      <w:lvlText w:val="•"/>
      <w:numFmt w:val="bullet"/>
      <w:start w:val="1"/>
    </w:lvl>
  </w:abstractNum>
  <w:abstractNum w:abstractNumId="27">
    <w:nsid w:val="7BD3EE7B"/>
    <w:multiLevelType w:val="hybridMultilevel"/>
    <w:lvl w:ilvl="0">
      <w:lvlJc w:val="left"/>
      <w:lvlText w:val="•"/>
      <w:numFmt w:val="bullet"/>
      <w:start w:val="1"/>
    </w:lvl>
  </w:abstractNum>
  <w:abstractNum w:abstractNumId="28">
    <w:nsid w:val="51D9C564"/>
    <w:multiLevelType w:val="hybridMultilevel"/>
    <w:lvl w:ilvl="0">
      <w:lvlJc w:val="left"/>
      <w:lvlText w:val="•"/>
      <w:numFmt w:val="bullet"/>
      <w:start w:val="1"/>
    </w:lvl>
  </w:abstractNum>
  <w:abstractNum w:abstractNumId="29">
    <w:nsid w:val="613EFDC5"/>
    <w:multiLevelType w:val="hybridMultilevel"/>
    <w:lvl w:ilvl="0">
      <w:lvlJc w:val="left"/>
      <w:lvlText w:val="(%1)"/>
      <w:numFmt w:val="lowerLetter"/>
      <w:start w:val="1"/>
    </w:lvl>
  </w:abstractNum>
  <w:abstractNum w:abstractNumId="30">
    <w:nsid w:val="BF72B14"/>
    <w:multiLevelType w:val="hybridMultilevel"/>
    <w:lvl w:ilvl="0">
      <w:lvlJc w:val="left"/>
      <w:lvlText w:val="(%1)"/>
      <w:numFmt w:val="lowerLetter"/>
      <w:start w:val="2"/>
    </w:lvl>
  </w:abstractNum>
  <w:abstractNum w:abstractNumId="31">
    <w:nsid w:val="11447B73"/>
    <w:multiLevelType w:val="hybridMultilevel"/>
    <w:lvl w:ilvl="0">
      <w:lvlJc w:val="left"/>
      <w:lvlText w:val="(%1)"/>
      <w:numFmt w:val="decimal"/>
      <w:start w:val="1"/>
    </w:lvl>
  </w:abstractNum>
  <w:abstractNum w:abstractNumId="32">
    <w:nsid w:val="42963E5A"/>
    <w:multiLevelType w:val="hybridMultilevel"/>
    <w:lvl w:ilvl="0">
      <w:lvlJc w:val="left"/>
      <w:lvlText w:val="(%1)"/>
      <w:numFmt w:val="decimal"/>
      <w:start w:val="1"/>
    </w:lvl>
  </w:abstractNum>
  <w:abstractNum w:abstractNumId="33">
    <w:nsid w:val="A0382C5"/>
    <w:multiLevelType w:val="hybridMultilevel"/>
    <w:lvl w:ilvl="0">
      <w:lvlJc w:val="left"/>
      <w:lvlText w:val="(%1)"/>
      <w:numFmt w:val="decimal"/>
      <w:start w:val="1"/>
    </w:lvl>
  </w:abstractNum>
  <w:abstractNum w:abstractNumId="34">
    <w:nsid w:val="8F2B15E"/>
    <w:multiLevelType w:val="hybridMultilevel"/>
    <w:lvl w:ilvl="0">
      <w:lvlJc w:val="left"/>
      <w:lvlText w:val="•"/>
      <w:numFmt w:val="bullet"/>
      <w:start w:val="1"/>
    </w:lvl>
  </w:abstractNum>
  <w:abstractNum w:abstractNumId="35">
    <w:nsid w:val="1A32234B"/>
    <w:multiLevelType w:val="hybridMultilevel"/>
    <w:lvl w:ilvl="0">
      <w:lvlJc w:val="left"/>
      <w:lvlText w:val="•"/>
      <w:numFmt w:val="bullet"/>
      <w:start w:val="1"/>
    </w:lvl>
  </w:abstractNum>
  <w:abstractNum w:abstractNumId="36">
    <w:nsid w:val="3B0FD379"/>
    <w:multiLevelType w:val="hybridMultilevel"/>
    <w:lvl w:ilvl="0">
      <w:lvlJc w:val="left"/>
      <w:lvlText w:val="\endash "/>
      <w:numFmt w:val="bullet"/>
      <w:start w:val="1"/>
    </w:lvl>
  </w:abstractNum>
  <w:abstractNum w:abstractNumId="37">
    <w:nsid w:val="68EB2F63"/>
    <w:multiLevelType w:val="hybridMultilevel"/>
    <w:lvl w:ilvl="0">
      <w:lvlJc w:val="left"/>
      <w:lvlText w:val="•"/>
      <w:numFmt w:val="bullet"/>
      <w:start w:val="1"/>
    </w:lvl>
  </w:abstractNum>
  <w:abstractNum w:abstractNumId="38">
    <w:nsid w:val="4962813B"/>
    <w:multiLevelType w:val="hybridMultilevel"/>
    <w:lvl w:ilvl="0">
      <w:lvlJc w:val="left"/>
      <w:lvlText w:val="•"/>
      <w:numFmt w:val="bullet"/>
      <w:start w:val="1"/>
    </w:lvl>
  </w:abstractNum>
  <w:abstractNum w:abstractNumId="39">
    <w:nsid w:val="60B6DF70"/>
    <w:multiLevelType w:val="hybridMultilevel"/>
    <w:lvl w:ilvl="0">
      <w:lvlJc w:val="left"/>
      <w:lvlText w:val="1"/>
      <w:numFmt w:val="bullet"/>
      <w:start w:val="1"/>
    </w:lvl>
  </w:abstractNum>
  <w:abstractNum w:abstractNumId="40">
    <w:nsid w:val="6A5EE64"/>
    <w:multiLevelType w:val="hybridMultilevel"/>
    <w:lvl w:ilvl="0">
      <w:lvlJc w:val="left"/>
      <w:lvlText w:val="2"/>
      <w:numFmt w:val="bullet"/>
      <w:start w:val="1"/>
    </w:lvl>
  </w:abstractNum>
  <w:abstractNum w:abstractNumId="41">
    <w:nsid w:val="14330624"/>
    <w:multiLevelType w:val="hybridMultilevel"/>
    <w:lvl w:ilvl="0">
      <w:lvlJc w:val="left"/>
      <w:lvlText w:val="3"/>
      <w:numFmt w:val="bullet"/>
      <w:start w:val="1"/>
    </w:lvl>
  </w:abstractNum>
  <w:abstractNum w:abstractNumId="42">
    <w:nsid w:val="7FFFCA11"/>
    <w:multiLevelType w:val="hybridMultilevel"/>
    <w:lvl w:ilvl="0">
      <w:lvlJc w:val="left"/>
      <w:lvlText w:val="1"/>
      <w:numFmt w:val="bullet"/>
      <w:start w:val="1"/>
    </w:lvl>
  </w:abstractNum>
  <w:abstractNum w:abstractNumId="43">
    <w:nsid w:val="1A27709E"/>
    <w:multiLevelType w:val="hybridMultilevel"/>
    <w:lvl w:ilvl="0">
      <w:lvlJc w:val="left"/>
      <w:lvlText w:val="%1."/>
      <w:numFmt w:val="decimal"/>
      <w:start w:val="1"/>
    </w:lvl>
  </w:abstractNum>
  <w:abstractNum w:abstractNumId="44">
    <w:nsid w:val="71EA1109"/>
    <w:multiLevelType w:val="hybridMultilevel"/>
    <w:lvl w:ilvl="0">
      <w:lvlJc w:val="left"/>
      <w:lvlText w:val="1"/>
      <w:numFmt w:val="bullet"/>
      <w:start w:val="1"/>
    </w:lvl>
  </w:abstractNum>
  <w:abstractNum w:abstractNumId="45">
    <w:nsid w:val="100F59DC"/>
    <w:multiLevelType w:val="hybridMultilevel"/>
    <w:lvl w:ilvl="0">
      <w:lvlJc w:val="left"/>
      <w:lvlText w:val="2"/>
      <w:numFmt w:val="bullet"/>
      <w:start w:val="1"/>
    </w:lvl>
  </w:abstractNum>
  <w:abstractNum w:abstractNumId="46">
    <w:nsid w:val="7FB7E0AA"/>
    <w:multiLevelType w:val="hybridMultilevel"/>
    <w:lvl w:ilvl="0">
      <w:lvlJc w:val="left"/>
      <w:lvlText w:val="•"/>
      <w:numFmt w:val="bullet"/>
      <w:start w:val="1"/>
    </w:lvl>
  </w:abstractNum>
  <w:abstractNum w:abstractNumId="47">
    <w:nsid w:val="6EB5BD4"/>
    <w:multiLevelType w:val="hybridMultilevel"/>
    <w:lvl w:ilvl="0">
      <w:lvlJc w:val="left"/>
      <w:lvlText w:val="•"/>
      <w:numFmt w:val="bullet"/>
      <w:start w:val="1"/>
    </w:lvl>
  </w:abstractNum>
  <w:abstractNum w:abstractNumId="48">
    <w:nsid w:val="6F6DD9AC"/>
    <w:multiLevelType w:val="hybridMultilevel"/>
    <w:lvl w:ilvl="0">
      <w:lvlJc w:val="left"/>
      <w:lvlText w:val="1"/>
      <w:numFmt w:val="bullet"/>
      <w:start w:val="1"/>
    </w:lvl>
  </w:abstractNum>
  <w:abstractNum w:abstractNumId="49">
    <w:nsid w:val="94211F2"/>
    <w:multiLevelType w:val="hybridMultilevel"/>
    <w:lvl w:ilvl="0">
      <w:lvlJc w:val="left"/>
      <w:lvlText w:val="2"/>
      <w:numFmt w:val="bullet"/>
      <w:start w:val="1"/>
    </w:lvl>
  </w:abstractNum>
  <w:abstractNum w:abstractNumId="50">
    <w:nsid w:val="885E1B"/>
    <w:multiLevelType w:val="hybridMultilevel"/>
    <w:lvl w:ilvl="0">
      <w:lvlJc w:val="left"/>
      <w:lvlText w:val="3"/>
      <w:numFmt w:val="bullet"/>
      <w:start w:val="1"/>
    </w:lvl>
  </w:abstractNum>
  <w:abstractNum w:abstractNumId="51">
    <w:nsid w:val="76272110"/>
    <w:multiLevelType w:val="hybridMultilevel"/>
    <w:lvl w:ilvl="0">
      <w:lvlJc w:val="left"/>
      <w:lvlText w:val="4"/>
      <w:numFmt w:val="bullet"/>
      <w:start w:val="1"/>
    </w:lvl>
  </w:abstractNum>
  <w:abstractNum w:abstractNumId="52">
    <w:nsid w:val="4C04A8AF"/>
    <w:multiLevelType w:val="hybridMultilevel"/>
    <w:lvl w:ilvl="0">
      <w:lvlJc w:val="left"/>
      <w:lvlText w:val="5"/>
      <w:numFmt w:val="bullet"/>
      <w:start w:val="1"/>
    </w:lvl>
  </w:abstractNum>
  <w:abstractNum w:abstractNumId="53">
    <w:nsid w:val="1716703B"/>
    <w:multiLevelType w:val="hybridMultilevel"/>
    <w:lvl w:ilvl="0">
      <w:lvlJc w:val="left"/>
      <w:lvlText w:val="6"/>
      <w:numFmt w:val="bullet"/>
      <w:start w:val="1"/>
    </w:lvl>
  </w:abstractNum>
  <w:abstractNum w:abstractNumId="54">
    <w:nsid w:val="14E17E33"/>
    <w:multiLevelType w:val="hybridMultilevel"/>
    <w:lvl w:ilvl="0">
      <w:lvlJc w:val="left"/>
      <w:lvlText w:val="%1)"/>
      <w:numFmt w:val="decimal"/>
      <w:start w:val="1"/>
    </w:lvl>
  </w:abstractNum>
  <w:abstractNum w:abstractNumId="55">
    <w:nsid w:val="3222E7CD"/>
    <w:multiLevelType w:val="hybridMultilevel"/>
    <w:lvl w:ilvl="0">
      <w:lvlJc w:val="left"/>
      <w:lvlText w:val="1"/>
      <w:numFmt w:val="bullet"/>
      <w:start w:val="1"/>
    </w:lvl>
  </w:abstractNum>
  <w:abstractNum w:abstractNumId="56">
    <w:nsid w:val="74DE0EE3"/>
    <w:multiLevelType w:val="hybridMultilevel"/>
    <w:lvl w:ilvl="0">
      <w:lvlJc w:val="left"/>
      <w:lvlText w:val="1"/>
      <w:numFmt w:val="bullet"/>
      <w:start w:val="1"/>
    </w:lvl>
  </w:abstractNum>
  <w:abstractNum w:abstractNumId="57">
    <w:nsid w:val="68EBC550"/>
    <w:multiLevelType w:val="hybridMultilevel"/>
    <w:lvl w:ilvl="0">
      <w:lvlJc w:val="left"/>
      <w:lvlText w:val="2"/>
      <w:numFmt w:val="bullet"/>
      <w:start w:val="1"/>
    </w:lvl>
  </w:abstractNum>
  <w:abstractNum w:abstractNumId="58">
    <w:nsid w:val="2DF6D648"/>
    <w:multiLevelType w:val="hybridMultilevel"/>
    <w:lvl w:ilvl="0">
      <w:lvlJc w:val="left"/>
      <w:lvlText w:val="3"/>
      <w:numFmt w:val="bullet"/>
      <w:start w:val="1"/>
    </w:lvl>
  </w:abstractNum>
  <w:abstractNum w:abstractNumId="59">
    <w:nsid w:val="46B7D447"/>
    <w:multiLevelType w:val="hybridMultilevel"/>
    <w:lvl w:ilvl="0">
      <w:lvlJc w:val="left"/>
      <w:lvlText w:val="4"/>
      <w:numFmt w:val="bullet"/>
      <w:start w:val="1"/>
    </w:lvl>
  </w:abstractNum>
  <w:abstractNum w:abstractNumId="60">
    <w:nsid w:val="4A2AC315"/>
    <w:multiLevelType w:val="hybridMultilevel"/>
    <w:lvl w:ilvl="0">
      <w:lvlJc w:val="left"/>
      <w:lvlText w:val="5"/>
      <w:numFmt w:val="bullet"/>
      <w:start w:val="1"/>
    </w:lvl>
  </w:abstractNum>
  <w:abstractNum w:abstractNumId="61">
    <w:nsid w:val="39EE015C"/>
    <w:multiLevelType w:val="hybridMultilevel"/>
    <w:lvl w:ilvl="0">
      <w:lvlJc w:val="left"/>
      <w:lvlText w:val="6"/>
      <w:numFmt w:val="bullet"/>
      <w:start w:val="1"/>
    </w:lvl>
  </w:abstractNum>
  <w:abstractNum w:abstractNumId="62">
    <w:nsid w:val="57FC4FBB"/>
    <w:multiLevelType w:val="hybridMultilevel"/>
    <w:lvl w:ilvl="0">
      <w:lvlJc w:val="left"/>
      <w:lvlText w:val="7"/>
      <w:numFmt w:val="bullet"/>
      <w:start w:val="1"/>
    </w:lvl>
  </w:abstractNum>
  <w:abstractNum w:abstractNumId="63">
    <w:nsid w:val="CC1016F"/>
    <w:multiLevelType w:val="hybridMultilevel"/>
    <w:lvl w:ilvl="0">
      <w:lvlJc w:val="left"/>
      <w:lvlText w:val="8"/>
      <w:numFmt w:val="bullet"/>
      <w:start w:val="1"/>
    </w:lvl>
  </w:abstractNum>
  <w:abstractNum w:abstractNumId="64">
    <w:nsid w:val="43F18422"/>
    <w:multiLevelType w:val="hybridMultilevel"/>
    <w:lvl w:ilvl="0">
      <w:lvlJc w:val="left"/>
      <w:lvlText w:val="9"/>
      <w:numFmt w:val="bullet"/>
      <w:start w:val="1"/>
    </w:lvl>
  </w:abstractNum>
  <w:abstractNum w:abstractNumId="65">
    <w:nsid w:val="60EF0119"/>
    <w:multiLevelType w:val="hybridMultilevel"/>
    <w:lvl w:ilvl="0">
      <w:lvlJc w:val="left"/>
      <w:lvlText w:val="%1"/>
      <w:numFmt w:val="decimal"/>
      <w:start w:val="10"/>
    </w:lvl>
  </w:abstractNum>
  <w:abstractNum w:abstractNumId="66">
    <w:nsid w:val="26F324BA"/>
    <w:multiLevelType w:val="hybridMultilevel"/>
    <w:lvl w:ilvl="0">
      <w:lvlJc w:val="left"/>
      <w:lvlText w:val="•"/>
      <w:numFmt w:val="bullet"/>
      <w:start w:val="1"/>
    </w:lvl>
  </w:abstractNum>
  <w:abstractNum w:abstractNumId="67">
    <w:nsid w:val="7F01579B"/>
    <w:multiLevelType w:val="hybridMultilevel"/>
    <w:lvl w:ilvl="0">
      <w:lvlJc w:val="left"/>
      <w:lvlText w:val="1"/>
      <w:numFmt w:val="bullet"/>
      <w:start w:val="1"/>
    </w:lvl>
  </w:abstractNum>
  <w:abstractNum w:abstractNumId="68">
    <w:nsid w:val="49DA307D"/>
    <w:multiLevelType w:val="hybridMultilevel"/>
    <w:lvl w:ilvl="0">
      <w:lvlJc w:val="left"/>
      <w:lvlText w:val="2"/>
      <w:numFmt w:val="bullet"/>
      <w:start w:val="1"/>
    </w:lvl>
  </w:abstractNum>
  <w:abstractNum w:abstractNumId="69">
    <w:nsid w:val="7055A5F5"/>
    <w:multiLevelType w:val="hybridMultilevel"/>
    <w:lvl w:ilvl="0">
      <w:lvlJc w:val="left"/>
      <w:lvlText w:val="3"/>
      <w:numFmt w:val="bullet"/>
      <w:start w:val="1"/>
    </w:lvl>
  </w:abstractNum>
  <w:abstractNum w:abstractNumId="70">
    <w:nsid w:val="5FB8370B"/>
    <w:multiLevelType w:val="hybridMultilevel"/>
    <w:lvl w:ilvl="0">
      <w:lvlJc w:val="left"/>
      <w:lvlText w:val="4"/>
      <w:numFmt w:val="bullet"/>
      <w:start w:val="1"/>
    </w:lvl>
  </w:abstractNum>
  <w:abstractNum w:abstractNumId="71">
    <w:nsid w:val="50801EE1"/>
    <w:multiLevelType w:val="hybridMultilevel"/>
    <w:lvl w:ilvl="0">
      <w:lvlJc w:val="left"/>
      <w:lvlText w:val="5"/>
      <w:numFmt w:val="bullet"/>
      <w:start w:val="1"/>
    </w:lvl>
  </w:abstractNum>
  <w:abstractNum w:abstractNumId="72">
    <w:nsid w:val="488AC1A"/>
    <w:multiLevelType w:val="hybridMultilevel"/>
    <w:lvl w:ilvl="0">
      <w:lvlJc w:val="left"/>
      <w:lvlText w:val="6"/>
      <w:numFmt w:val="bullet"/>
      <w:start w:val="1"/>
    </w:lvl>
  </w:abstractNum>
  <w:abstractNum w:abstractNumId="73">
    <w:nsid w:val="5FB8011C"/>
    <w:multiLevelType w:val="hybridMultilevel"/>
    <w:lvl w:ilvl="0">
      <w:lvlJc w:val="left"/>
      <w:lvlText w:val="7"/>
      <w:numFmt w:val="bullet"/>
      <w:start w:val="1"/>
    </w:lvl>
  </w:abstractNum>
  <w:abstractNum w:abstractNumId="74">
    <w:nsid w:val="6AA78F7F"/>
    <w:multiLevelType w:val="hybridMultilevel"/>
    <w:lvl w:ilvl="0">
      <w:lvlJc w:val="left"/>
      <w:lvlText w:val="1"/>
      <w:numFmt w:val="bullet"/>
      <w:start w:val="1"/>
    </w:lvl>
  </w:abstractNum>
  <w:abstractNum w:abstractNumId="75">
    <w:nsid w:val="7672BD23"/>
    <w:multiLevelType w:val="hybridMultilevel"/>
    <w:lvl w:ilvl="0">
      <w:lvlJc w:val="left"/>
      <w:lvlText w:val="2"/>
      <w:numFmt w:val="bullet"/>
      <w:start w:val="1"/>
    </w:lvl>
  </w:abstractNum>
  <w:abstractNum w:abstractNumId="76">
    <w:nsid w:val="6FC75AF8"/>
    <w:multiLevelType w:val="hybridMultilevel"/>
    <w:lvl w:ilvl="0">
      <w:lvlJc w:val="left"/>
      <w:lvlText w:val="3"/>
      <w:numFmt w:val="bullet"/>
      <w:start w:val="1"/>
    </w:lvl>
  </w:abstractNum>
  <w:abstractNum w:abstractNumId="77">
    <w:nsid w:val="6A5F7029"/>
    <w:multiLevelType w:val="hybridMultilevel"/>
    <w:lvl w:ilvl="0">
      <w:lvlJc w:val="left"/>
      <w:lvlText w:val="1"/>
      <w:numFmt w:val="bullet"/>
      <w:start w:val="1"/>
    </w:lvl>
  </w:abstractNum>
  <w:abstractNum w:abstractNumId="78">
    <w:nsid w:val="7D5E18F8"/>
    <w:multiLevelType w:val="hybridMultilevel"/>
    <w:lvl w:ilvl="0">
      <w:lvlJc w:val="left"/>
      <w:lvlText w:val="2"/>
      <w:numFmt w:val="bullet"/>
      <w:start w:val="1"/>
    </w:lvl>
  </w:abstractNum>
  <w:abstractNum w:abstractNumId="79">
    <w:nsid w:val="5F3534A4"/>
    <w:multiLevelType w:val="hybridMultilevel"/>
    <w:lvl w:ilvl="0">
      <w:lvlJc w:val="left"/>
      <w:lvlText w:val="3"/>
      <w:numFmt w:val="bullet"/>
      <w:start w:val="1"/>
    </w:lvl>
  </w:abstractNum>
  <w:abstractNum w:abstractNumId="80">
    <w:nsid w:val="73A1821B"/>
    <w:multiLevelType w:val="hybridMultilevel"/>
    <w:lvl w:ilvl="0">
      <w:lvlJc w:val="left"/>
      <w:lvlText w:val="•"/>
      <w:numFmt w:val="bullet"/>
      <w:start w:val="1"/>
    </w:lvl>
  </w:abstractNum>
  <w:abstractNum w:abstractNumId="81">
    <w:nsid w:val="7DE67713"/>
    <w:multiLevelType w:val="hybridMultilevel"/>
    <w:lvl w:ilvl="0">
      <w:lvlJc w:val="left"/>
      <w:lvlText w:val="•"/>
      <w:numFmt w:val="bullet"/>
      <w:start w:val="1"/>
    </w:lvl>
  </w:abstractNum>
  <w:abstractNum w:abstractNumId="82">
    <w:nsid w:val="555C55B5"/>
    <w:multiLevelType w:val="hybridMultilevel"/>
    <w:lvl w:ilvl="0">
      <w:lvlJc w:val="left"/>
      <w:lvlText w:val="1"/>
      <w:numFmt w:val="bullet"/>
      <w:start w:val="1"/>
    </w:lvl>
  </w:abstractNum>
  <w:abstractNum w:abstractNumId="83">
    <w:nsid w:val="3FA62ACA"/>
    <w:multiLevelType w:val="hybridMultilevel"/>
    <w:lvl w:ilvl="0">
      <w:lvlJc w:val="left"/>
      <w:lvlText w:val="2"/>
      <w:numFmt w:val="bullet"/>
      <w:start w:val="1"/>
    </w:lvl>
  </w:abstractNum>
  <w:abstractNum w:abstractNumId="84">
    <w:nsid w:val="14FCE74E"/>
    <w:multiLevelType w:val="hybridMultilevel"/>
    <w:lvl w:ilvl="0">
      <w:lvlJc w:val="left"/>
      <w:lvlText w:val="3"/>
      <w:numFmt w:val="bullet"/>
      <w:start w:val="1"/>
    </w:lvl>
  </w:abstractNum>
  <w:abstractNum w:abstractNumId="85">
    <w:nsid w:val="6A3DD3E8"/>
    <w:multiLevelType w:val="hybridMultilevel"/>
    <w:lvl w:ilvl="0">
      <w:lvlJc w:val="left"/>
      <w:lvlText w:val="4"/>
      <w:numFmt w:val="bullet"/>
      <w:start w:val="1"/>
    </w:lvl>
  </w:abstractNum>
  <w:abstractNum w:abstractNumId="86">
    <w:nsid w:val="71C91298"/>
    <w:multiLevelType w:val="hybridMultilevel"/>
    <w:lvl w:ilvl="0">
      <w:lvlJc w:val="left"/>
      <w:lvlText w:val="5"/>
      <w:numFmt w:val="bullet"/>
      <w:start w:val="1"/>
    </w:lvl>
  </w:abstractNum>
  <w:abstractNum w:abstractNumId="87">
    <w:nsid w:val="9DAF632"/>
    <w:multiLevelType w:val="hybridMultilevel"/>
    <w:lvl w:ilvl="0">
      <w:lvlJc w:val="left"/>
      <w:lvlText w:val="6"/>
      <w:numFmt w:val="bullet"/>
      <w:start w:val="1"/>
    </w:lvl>
  </w:abstractNum>
  <w:abstractNum w:abstractNumId="88">
    <w:nsid w:val="53299938"/>
    <w:multiLevelType w:val="hybridMultilevel"/>
    <w:lvl w:ilvl="0">
      <w:lvlJc w:val="left"/>
      <w:lvlText w:val="7"/>
      <w:numFmt w:val="bullet"/>
      <w:start w:val="1"/>
    </w:lvl>
  </w:abstractNum>
  <w:abstractNum w:abstractNumId="89">
    <w:nsid w:val="1FBFE8E0"/>
    <w:multiLevelType w:val="hybridMultilevel"/>
    <w:lvl w:ilvl="0">
      <w:lvlJc w:val="left"/>
      <w:lvlText w:val="8"/>
      <w:numFmt w:val="bullet"/>
      <w:start w:val="1"/>
    </w:lvl>
  </w:abstractNum>
  <w:abstractNum w:abstractNumId="90">
    <w:nsid w:val="5092CA79"/>
    <w:multiLevelType w:val="hybridMultilevel"/>
    <w:lvl w:ilvl="0">
      <w:lvlJc w:val="left"/>
      <w:lvlText w:val="•"/>
      <w:numFmt w:val="bullet"/>
      <w:start w:val="1"/>
    </w:lvl>
  </w:abstractNum>
  <w:abstractNum w:abstractNumId="91">
    <w:nsid w:val="1D545C4D"/>
    <w:multiLevelType w:val="hybridMultilevel"/>
    <w:lvl w:ilvl="0">
      <w:lvlJc w:val="left"/>
      <w:lvlText w:val="•"/>
      <w:numFmt w:val="bullet"/>
      <w:start w:val="1"/>
    </w:lvl>
  </w:abstractNum>
  <w:abstractNum w:abstractNumId="92">
    <w:nsid w:val="59ADEA3D"/>
    <w:multiLevelType w:val="hybridMultilevel"/>
    <w:lvl w:ilvl="0">
      <w:lvlJc w:val="left"/>
      <w:lvlText w:val="•"/>
      <w:numFmt w:val="bullet"/>
      <w:start w:val="1"/>
    </w:lvl>
  </w:abstractNum>
  <w:abstractNum w:abstractNumId="93">
    <w:nsid w:val="288F1A34"/>
    <w:multiLevelType w:val="hybridMultilevel"/>
    <w:lvl w:ilvl="0">
      <w:lvlJc w:val="left"/>
      <w:lvlText w:val="1"/>
      <w:numFmt w:val="bullet"/>
      <w:start w:val="1"/>
    </w:lvl>
  </w:abstractNum>
  <w:abstractNum w:abstractNumId="94">
    <w:nsid w:val="2A155DBC"/>
    <w:multiLevelType w:val="hybridMultilevel"/>
    <w:lvl w:ilvl="0">
      <w:lvlJc w:val="left"/>
      <w:lvlText w:val="2"/>
      <w:numFmt w:val="bullet"/>
      <w:start w:val="1"/>
    </w:lvl>
  </w:abstractNum>
  <w:abstractNum w:abstractNumId="95">
    <w:nsid w:val="1D9F6E5F"/>
    <w:multiLevelType w:val="hybridMultilevel"/>
    <w:lvl w:ilvl="0">
      <w:lvlJc w:val="left"/>
      <w:lvlText w:val="3"/>
      <w:numFmt w:val="bullet"/>
      <w:start w:val="1"/>
    </w:lvl>
  </w:abstractNum>
  <w:abstractNum w:abstractNumId="96">
    <w:nsid w:val="97E1B4E"/>
    <w:multiLevelType w:val="hybridMultilevel"/>
    <w:lvl w:ilvl="0">
      <w:lvlJc w:val="left"/>
      <w:lvlText w:val="4"/>
      <w:numFmt w:val="bullet"/>
      <w:start w:val="1"/>
    </w:lvl>
  </w:abstractNum>
  <w:abstractNum w:abstractNumId="97">
    <w:nsid w:val="51088277"/>
    <w:multiLevelType w:val="hybridMultilevel"/>
    <w:lvl w:ilvl="0">
      <w:lvlJc w:val="left"/>
      <w:lvlText w:val="-"/>
      <w:numFmt w:val="bullet"/>
      <w:start w:val="1"/>
    </w:lvl>
  </w:abstractNum>
  <w:abstractNum w:abstractNumId="98">
    <w:nsid w:val="1CA0C5FA"/>
    <w:multiLevelType w:val="hybridMultilevel"/>
    <w:lvl w:ilvl="0">
      <w:lvlJc w:val="left"/>
      <w:lvlText w:val="1"/>
      <w:numFmt w:val="bullet"/>
      <w:start w:val="1"/>
    </w:lvl>
  </w:abstractNum>
  <w:abstractNum w:abstractNumId="99">
    <w:nsid w:val="53584BCB"/>
    <w:multiLevelType w:val="hybridMultilevel"/>
    <w:lvl w:ilvl="0">
      <w:lvlJc w:val="left"/>
      <w:lvlText w:val="1"/>
      <w:numFmt w:val="bullet"/>
      <w:start w:val="1"/>
    </w:lvl>
  </w:abstractNum>
  <w:abstractNum w:abstractNumId="100">
    <w:nsid w:val="415E286C"/>
    <w:multiLevelType w:val="hybridMultilevel"/>
    <w:lvl w:ilvl="0">
      <w:lvlJc w:val="left"/>
      <w:lvlText w:val="1"/>
      <w:numFmt w:val="bullet"/>
      <w:start w:val="1"/>
    </w:lvl>
  </w:abstractNum>
  <w:abstractNum w:abstractNumId="101">
    <w:nsid w:val="7C58FD05"/>
    <w:multiLevelType w:val="hybridMultilevel"/>
    <w:lvl w:ilvl="0">
      <w:lvlJc w:val="left"/>
      <w:lvlText w:val="2"/>
      <w:numFmt w:val="bullet"/>
      <w:start w:val="1"/>
    </w:lvl>
  </w:abstractNum>
  <w:abstractNum w:abstractNumId="102">
    <w:nsid w:val="23D86AAC"/>
    <w:multiLevelType w:val="hybridMultilevel"/>
    <w:lvl w:ilvl="0">
      <w:lvlJc w:val="left"/>
      <w:lvlText w:val="3"/>
      <w:numFmt w:val="bullet"/>
      <w:start w:val="1"/>
    </w:lvl>
  </w:abstractNum>
  <w:abstractNum w:abstractNumId="103">
    <w:nsid w:val="45E6D486"/>
    <w:multiLevelType w:val="hybridMultilevel"/>
    <w:lvl w:ilvl="0">
      <w:lvlJc w:val="left"/>
      <w:lvlText w:val="4"/>
      <w:numFmt w:val="bullet"/>
      <w:start w:val="1"/>
    </w:lvl>
  </w:abstractNum>
  <w:abstractNum w:abstractNumId="104">
    <w:nsid w:val="5C10FE21"/>
    <w:multiLevelType w:val="hybridMultilevel"/>
    <w:lvl w:ilvl="0">
      <w:lvlJc w:val="left"/>
      <w:lvlText w:val="5"/>
      <w:numFmt w:val="bullet"/>
      <w:start w:val="1"/>
    </w:lvl>
  </w:abstractNum>
  <w:abstractNum w:abstractNumId="105">
    <w:nsid w:val="E7FFA2B"/>
    <w:multiLevelType w:val="hybridMultilevel"/>
    <w:lvl w:ilvl="0">
      <w:lvlJc w:val="left"/>
      <w:lvlText w:val="6"/>
      <w:numFmt w:val="bullet"/>
      <w:start w:val="1"/>
    </w:lvl>
  </w:abstractNum>
  <w:abstractNum w:abstractNumId="106">
    <w:nsid w:val="3C5991AA"/>
    <w:multiLevelType w:val="hybridMultilevel"/>
    <w:lvl w:ilvl="0">
      <w:lvlJc w:val="left"/>
      <w:lvlText w:val="7"/>
      <w:numFmt w:val="bullet"/>
      <w:start w:val="1"/>
    </w:lvl>
  </w:abstractNum>
  <w:abstractNum w:abstractNumId="107">
    <w:nsid w:val="4BD8591A"/>
    <w:multiLevelType w:val="hybridMultilevel"/>
    <w:lvl w:ilvl="0">
      <w:lvlJc w:val="left"/>
      <w:lvlText w:val="8"/>
      <w:numFmt w:val="bullet"/>
      <w:start w:val="1"/>
    </w:lvl>
  </w:abstractNum>
  <w:abstractNum w:abstractNumId="108">
    <w:nsid w:val="78DF6A55"/>
    <w:multiLevelType w:val="hybridMultilevel"/>
    <w:lvl w:ilvl="0">
      <w:lvlJc w:val="left"/>
      <w:lvlText w:val="%1"/>
      <w:numFmt w:val="decimal"/>
      <w:start w:val="11"/>
    </w:lvl>
  </w:abstractNum>
  <w:abstractNum w:abstractNumId="109">
    <w:nsid w:val="39B7AAA2"/>
    <w:multiLevelType w:val="hybridMultilevel"/>
    <w:lvl w:ilvl="0">
      <w:lvlJc w:val="left"/>
      <w:lvlText w:val="•"/>
      <w:numFmt w:val="bullet"/>
      <w:start w:val="1"/>
    </w:lvl>
  </w:abstractNum>
  <w:abstractNum w:abstractNumId="110">
    <w:nsid w:val="2B0D8DBE"/>
    <w:multiLevelType w:val="hybridMultilevel"/>
    <w:lvl w:ilvl="0">
      <w:lvlJc w:val="left"/>
      <w:lvlText w:val="1"/>
      <w:numFmt w:val="bullet"/>
      <w:start w:val="1"/>
    </w:lvl>
  </w:abstractNum>
  <w:abstractNum w:abstractNumId="111">
    <w:nsid w:val="6C80EC70"/>
    <w:multiLevelType w:val="hybridMultilevel"/>
    <w:lvl w:ilvl="0">
      <w:lvlJc w:val="left"/>
      <w:lvlText w:val="•"/>
      <w:numFmt w:val="bullet"/>
      <w:start w:val="1"/>
    </w:lvl>
  </w:abstractNum>
  <w:abstractNum w:abstractNumId="112">
    <w:nsid w:val="379E21B5"/>
    <w:multiLevelType w:val="hybridMultilevel"/>
    <w:lvl w:ilvl="0">
      <w:lvlJc w:val="left"/>
      <w:lvlText w:val="%1."/>
      <w:numFmt w:val="decimal"/>
      <w:start w:val="1"/>
    </w:lvl>
  </w:abstractNum>
  <w:abstractNum w:abstractNumId="113">
    <w:nsid w:val="69E373"/>
    <w:multiLevelType w:val="hybridMultilevel"/>
    <w:lvl w:ilvl="0">
      <w:lvlJc w:val="left"/>
      <w:lvlText w:val="%1."/>
      <w:numFmt w:val="decimal"/>
      <w:start w:val="2"/>
    </w:lvl>
  </w:abstractNum>
  <w:abstractNum w:abstractNumId="114">
    <w:nsid w:val="2C27173B"/>
    <w:multiLevelType w:val="hybridMultilevel"/>
    <w:lvl w:ilvl="0">
      <w:lvlJc w:val="left"/>
      <w:lvlText w:val="1"/>
      <w:numFmt w:val="bullet"/>
      <w:start w:val="1"/>
    </w:lvl>
  </w:abstractNum>
  <w:abstractNum w:abstractNumId="115">
    <w:nsid w:val="4C9B0904"/>
    <w:multiLevelType w:val="hybridMultilevel"/>
    <w:lvl w:ilvl="0">
      <w:lvlJc w:val="left"/>
      <w:lvlText w:val="(%1)"/>
      <w:numFmt w:val="lowerLetter"/>
      <w:start w:val="10"/>
    </w:lvl>
  </w:abstractNum>
  <w:abstractNum w:abstractNumId="116">
    <w:nsid w:val="6AA7B75C"/>
    <w:multiLevelType w:val="hybridMultilevel"/>
    <w:lvl w:ilvl="0">
      <w:lvlJc w:val="left"/>
      <w:lvlText w:val="1"/>
      <w:numFmt w:val="bullet"/>
      <w:start w:val="1"/>
    </w:lvl>
  </w:abstractNum>
  <w:abstractNum w:abstractNumId="117">
    <w:nsid w:val="1DF029D3"/>
    <w:multiLevelType w:val="hybridMultilevel"/>
    <w:lvl w:ilvl="0">
      <w:lvlJc w:val="left"/>
      <w:lvlText w:val="2"/>
      <w:numFmt w:val="bullet"/>
      <w:start w:val="1"/>
    </w:lvl>
  </w:abstractNum>
  <w:abstractNum w:abstractNumId="118">
    <w:nsid w:val="5675FF36"/>
    <w:multiLevelType w:val="hybridMultilevel"/>
    <w:lvl w:ilvl="0">
      <w:lvlJc w:val="left"/>
      <w:lvlText w:val="3"/>
      <w:numFmt w:val="bullet"/>
      <w:start w:val="1"/>
    </w:lvl>
  </w:abstractNum>
  <w:abstractNum w:abstractNumId="119">
    <w:nsid w:val="3DD15094"/>
    <w:multiLevelType w:val="hybridMultilevel"/>
    <w:lvl w:ilvl="0">
      <w:lvlJc w:val="left"/>
      <w:lvlText w:val="4"/>
      <w:numFmt w:val="bullet"/>
      <w:start w:val="1"/>
    </w:lvl>
  </w:abstractNum>
  <w:abstractNum w:abstractNumId="120">
    <w:nsid w:val="3DB012B3"/>
    <w:multiLevelType w:val="hybridMultilevel"/>
    <w:lvl w:ilvl="0">
      <w:lvlJc w:val="left"/>
      <w:lvlText w:val="5"/>
      <w:numFmt w:val="bullet"/>
      <w:start w:val="1"/>
    </w:lvl>
  </w:abstractNum>
  <w:abstractNum w:abstractNumId="121">
    <w:nsid w:val="2708C9AF"/>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jpe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jpe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jpe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jpe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jpe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jpe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jpeg"/><Relationship Id="rId399" Type="http://schemas.openxmlformats.org/officeDocument/2006/relationships/image" Target="media/image392.png"/><Relationship Id="rId400" Type="http://schemas.openxmlformats.org/officeDocument/2006/relationships/image" Target="media/image393.jpe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jpe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jpeg"/><Relationship Id="rId408" Type="http://schemas.openxmlformats.org/officeDocument/2006/relationships/image" Target="media/image401.jpe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jpe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jpeg"/><Relationship Id="rId415" Type="http://schemas.openxmlformats.org/officeDocument/2006/relationships/image" Target="media/image408.png"/><Relationship Id="rId416" Type="http://schemas.openxmlformats.org/officeDocument/2006/relationships/image" Target="media/image409.jpe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jpe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jpeg"/><Relationship Id="rId423" Type="http://schemas.openxmlformats.org/officeDocument/2006/relationships/image" Target="media/image416.png"/><Relationship Id="rId424" Type="http://schemas.openxmlformats.org/officeDocument/2006/relationships/image" Target="media/image417.jpe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jpeg"/><Relationship Id="rId428" Type="http://schemas.openxmlformats.org/officeDocument/2006/relationships/image" Target="media/image421.png"/><Relationship Id="rId429" Type="http://schemas.openxmlformats.org/officeDocument/2006/relationships/image" Target="media/image422.jpe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jpe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jpe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jpeg"/><Relationship Id="rId440" Type="http://schemas.openxmlformats.org/officeDocument/2006/relationships/image" Target="media/image433.png"/><Relationship Id="rId441" Type="http://schemas.openxmlformats.org/officeDocument/2006/relationships/image" Target="media/image434.jpe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jpeg"/><Relationship Id="rId447" Type="http://schemas.openxmlformats.org/officeDocument/2006/relationships/image" Target="media/image440.png"/><Relationship Id="rId448" Type="http://schemas.openxmlformats.org/officeDocument/2006/relationships/image" Target="media/image441.jpe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jpe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jpe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jpe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jpeg"/><Relationship Id="rId467" Type="http://schemas.openxmlformats.org/officeDocument/2006/relationships/image" Target="media/image460.png"/><Relationship Id="rId468" Type="http://schemas.openxmlformats.org/officeDocument/2006/relationships/image" Target="media/image461.jpeg"/><Relationship Id="rId469" Type="http://schemas.openxmlformats.org/officeDocument/2006/relationships/image" Target="media/image462.png"/><Relationship Id="rId470" Type="http://schemas.openxmlformats.org/officeDocument/2006/relationships/image" Target="media/image463.jpeg"/><Relationship Id="rId471" Type="http://schemas.openxmlformats.org/officeDocument/2006/relationships/image" Target="media/image464.png"/><Relationship Id="rId472" Type="http://schemas.openxmlformats.org/officeDocument/2006/relationships/image" Target="media/image465.jpeg"/><Relationship Id="rId473" Type="http://schemas.openxmlformats.org/officeDocument/2006/relationships/image" Target="media/image466.png"/><Relationship Id="rId474" Type="http://schemas.openxmlformats.org/officeDocument/2006/relationships/image" Target="media/image467.jpe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jpeg"/><Relationship Id="rId479" Type="http://schemas.openxmlformats.org/officeDocument/2006/relationships/image" Target="media/image472.png"/><Relationship Id="rId480" Type="http://schemas.openxmlformats.org/officeDocument/2006/relationships/image" Target="media/image473.jpeg"/><Relationship Id="rId481" Type="http://schemas.openxmlformats.org/officeDocument/2006/relationships/image" Target="media/image474.png"/><Relationship Id="rId482" Type="http://schemas.openxmlformats.org/officeDocument/2006/relationships/image" Target="media/image475.jpeg"/><Relationship Id="rId483" Type="http://schemas.openxmlformats.org/officeDocument/2006/relationships/image" Target="media/image476.png"/><Relationship Id="rId484" Type="http://schemas.openxmlformats.org/officeDocument/2006/relationships/image" Target="media/image477.jpeg"/><Relationship Id="rId485" Type="http://schemas.openxmlformats.org/officeDocument/2006/relationships/image" Target="media/image478.png"/><Relationship Id="rId486" Type="http://schemas.openxmlformats.org/officeDocument/2006/relationships/image" Target="media/image479.jpeg"/><Relationship Id="rId487" Type="http://schemas.openxmlformats.org/officeDocument/2006/relationships/image" Target="media/image480.png"/><Relationship Id="rId488" Type="http://schemas.openxmlformats.org/officeDocument/2006/relationships/image" Target="media/image48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2023-04-13T08:55:51Z</dcterms:created>
  <dcterms:modified xsi:type="dcterms:W3CDTF">2023-04-13T08:55:51Z</dcterms:modified>
</cp:coreProperties>
</file>