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spacing w:after="0"/>
        <w:rPr>
          <w:sz w:val="20"/>
          <w:szCs w:val="20"/>
          <w:color w:val="auto"/>
        </w:rPr>
      </w:pPr>
      <w:r>
        <w:rPr>
          <w:rFonts w:ascii="Arial" w:cs="Arial" w:eastAsia="Arial" w:hAnsi="Arial"/>
          <w:sz w:val="24"/>
          <w:szCs w:val="24"/>
          <w:b w:val="1"/>
          <w:bCs w:val="1"/>
          <w:color w:val="auto"/>
        </w:rPr>
        <w:t>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4"/>
          <w:szCs w:val="24"/>
          <w:color w:val="auto"/>
        </w:rPr>
      </w:pPr>
    </w:p>
    <w:p>
      <w:pPr>
        <w:ind w:left="4760"/>
        <w:spacing w:after="0"/>
        <w:rPr>
          <w:sz w:val="20"/>
          <w:szCs w:val="20"/>
          <w:color w:val="auto"/>
        </w:rPr>
      </w:pPr>
      <w:r>
        <w:rPr>
          <w:rFonts w:ascii="Arial" w:cs="Arial" w:eastAsia="Arial" w:hAnsi="Arial"/>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-165100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70" w:lineRule="exact"/>
        <w:rPr>
          <w:sz w:val="24"/>
          <w:szCs w:val="24"/>
          <w:color w:val="auto"/>
        </w:rPr>
      </w:pPr>
    </w:p>
    <w:p>
      <w:pPr>
        <w:ind w:left="2840" w:hanging="280"/>
        <w:spacing w:after="0"/>
        <w:tabs>
          <w:tab w:leader="none" w:pos="28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jc w:val="center"/>
        <w:spacing w:after="0"/>
        <w:rPr>
          <w:sz w:val="20"/>
          <w:szCs w:val="20"/>
          <w:color w:val="auto"/>
        </w:rPr>
      </w:pPr>
      <w:r>
        <w:rPr>
          <w:rFonts w:ascii="Arial" w:cs="Arial" w:eastAsia="Arial" w:hAnsi="Arial"/>
          <w:sz w:val="18"/>
          <w:szCs w:val="18"/>
          <w:color w:val="auto"/>
        </w:rPr>
        <w:t>For the fiscal year ended December 31, 2019</w:t>
      </w:r>
    </w:p>
    <w:p>
      <w:pPr>
        <w:jc w:val="center"/>
        <w:spacing w:after="0" w:line="233" w:lineRule="auto"/>
        <w:rPr>
          <w:sz w:val="20"/>
          <w:szCs w:val="20"/>
          <w:color w:val="auto"/>
        </w:rPr>
      </w:pPr>
      <w:r>
        <w:rPr>
          <w:rFonts w:ascii="Arial" w:cs="Arial" w:eastAsia="Arial" w:hAnsi="Arial"/>
          <w:sz w:val="22"/>
          <w:szCs w:val="22"/>
          <w:color w:val="auto"/>
        </w:rPr>
        <w:t>or</w:t>
      </w:r>
    </w:p>
    <w:p>
      <w:pPr>
        <w:spacing w:after="0" w:line="18" w:lineRule="exact"/>
        <w:rPr>
          <w:sz w:val="24"/>
          <w:szCs w:val="24"/>
          <w:color w:val="auto"/>
        </w:rPr>
      </w:pPr>
    </w:p>
    <w:p>
      <w:pPr>
        <w:ind w:left="2620" w:hanging="282"/>
        <w:spacing w:after="0"/>
        <w:tabs>
          <w:tab w:leader="none" w:pos="262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tbl>
      <w:tblPr>
        <w:tblLayout w:type="fixed"/>
        <w:tblInd w:w="16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2600" w:type="dxa"/>
            <w:vAlign w:val="bottom"/>
            <w:gridSpan w:val="2"/>
          </w:tcPr>
          <w:p>
            <w:pPr>
              <w:ind w:left="420"/>
              <w:spacing w:after="0" w:line="174" w:lineRule="exact"/>
              <w:rPr>
                <w:sz w:val="20"/>
                <w:szCs w:val="20"/>
                <w:color w:val="auto"/>
              </w:rPr>
            </w:pPr>
            <w:r>
              <w:rPr>
                <w:rFonts w:ascii="Arial" w:cs="Arial" w:eastAsia="Arial" w:hAnsi="Arial"/>
                <w:sz w:val="18"/>
                <w:szCs w:val="18"/>
                <w:color w:val="auto"/>
                <w:w w:val="93"/>
              </w:rPr>
              <w:t>For the transition period from</w:t>
            </w:r>
          </w:p>
        </w:tc>
        <w:tc>
          <w:tcPr>
            <w:tcW w:w="640" w:type="dxa"/>
            <w:vAlign w:val="bottom"/>
            <w:tcBorders>
              <w:bottom w:val="single" w:sz="8" w:color="auto"/>
            </w:tcBorders>
          </w:tcPr>
          <w:p>
            <w:pPr>
              <w:spacing w:after="0"/>
              <w:rPr>
                <w:sz w:val="15"/>
                <w:szCs w:val="15"/>
                <w:color w:val="auto"/>
              </w:rPr>
            </w:pPr>
          </w:p>
        </w:tc>
        <w:tc>
          <w:tcPr>
            <w:tcW w:w="220" w:type="dxa"/>
            <w:vAlign w:val="bottom"/>
          </w:tcPr>
          <w:p>
            <w:pPr>
              <w:ind w:left="40"/>
              <w:spacing w:after="0" w:line="174" w:lineRule="exact"/>
              <w:rPr>
                <w:sz w:val="20"/>
                <w:szCs w:val="20"/>
                <w:color w:val="auto"/>
              </w:rPr>
            </w:pPr>
            <w:r>
              <w:rPr>
                <w:rFonts w:ascii="Arial" w:cs="Arial" w:eastAsia="Arial" w:hAnsi="Arial"/>
                <w:sz w:val="18"/>
                <w:szCs w:val="18"/>
                <w:color w:val="auto"/>
              </w:rPr>
              <w:t>to</w:t>
            </w:r>
          </w:p>
        </w:tc>
        <w:tc>
          <w:tcPr>
            <w:tcW w:w="640" w:type="dxa"/>
            <w:vAlign w:val="bottom"/>
            <w:tcBorders>
              <w:bottom w:val="single" w:sz="8" w:color="auto"/>
            </w:tcBorders>
            <w:gridSpan w:val="2"/>
          </w:tcPr>
          <w:p>
            <w:pPr>
              <w:spacing w:after="0"/>
              <w:rPr>
                <w:sz w:val="15"/>
                <w:szCs w:val="15"/>
                <w:color w:val="auto"/>
              </w:rPr>
            </w:pPr>
          </w:p>
        </w:tc>
        <w:tc>
          <w:tcPr>
            <w:tcW w:w="3880" w:type="dxa"/>
            <w:vAlign w:val="bottom"/>
            <w:gridSpan w:val="2"/>
          </w:tcPr>
          <w:p>
            <w:pPr>
              <w:spacing w:after="0"/>
              <w:rPr>
                <w:sz w:val="15"/>
                <w:szCs w:val="15"/>
                <w:color w:val="auto"/>
              </w:rPr>
            </w:pPr>
          </w:p>
        </w:tc>
      </w:tr>
      <w:tr>
        <w:trPr>
          <w:trHeight w:val="279"/>
        </w:trPr>
        <w:tc>
          <w:tcPr>
            <w:tcW w:w="3300" w:type="dxa"/>
            <w:vAlign w:val="bottom"/>
          </w:tcPr>
          <w:p>
            <w:pPr>
              <w:spacing w:after="0"/>
              <w:rPr>
                <w:sz w:val="24"/>
                <w:szCs w:val="24"/>
                <w:color w:val="auto"/>
              </w:rPr>
            </w:pPr>
          </w:p>
        </w:tc>
        <w:tc>
          <w:tcPr>
            <w:tcW w:w="7980" w:type="dxa"/>
            <w:vAlign w:val="bottom"/>
            <w:gridSpan w:val="8"/>
          </w:tcPr>
          <w:p>
            <w:pPr>
              <w:jc w:val="center"/>
              <w:ind w:right="3480"/>
              <w:spacing w:after="0"/>
              <w:rPr>
                <w:sz w:val="20"/>
                <w:szCs w:val="20"/>
                <w:color w:val="auto"/>
              </w:rPr>
            </w:pPr>
            <w:r>
              <w:rPr>
                <w:rFonts w:ascii="Arial" w:cs="Arial" w:eastAsia="Arial" w:hAnsi="Arial"/>
                <w:sz w:val="18"/>
                <w:szCs w:val="18"/>
                <w:color w:val="auto"/>
                <w:w w:val="91"/>
              </w:rPr>
              <w:t>Commission File Number 1-2256</w:t>
            </w:r>
          </w:p>
        </w:tc>
      </w:tr>
      <w:tr>
        <w:trPr>
          <w:trHeight w:val="439"/>
        </w:trPr>
        <w:tc>
          <w:tcPr>
            <w:tcW w:w="3300" w:type="dxa"/>
            <w:vAlign w:val="bottom"/>
          </w:tcPr>
          <w:p>
            <w:pPr>
              <w:spacing w:after="0"/>
              <w:rPr>
                <w:sz w:val="24"/>
                <w:szCs w:val="24"/>
                <w:color w:val="auto"/>
              </w:rPr>
            </w:pPr>
          </w:p>
        </w:tc>
        <w:tc>
          <w:tcPr>
            <w:tcW w:w="7980" w:type="dxa"/>
            <w:vAlign w:val="bottom"/>
            <w:gridSpan w:val="8"/>
          </w:tcPr>
          <w:p>
            <w:pPr>
              <w:jc w:val="center"/>
              <w:ind w:right="3460"/>
              <w:spacing w:after="0"/>
              <w:rPr>
                <w:sz w:val="20"/>
                <w:szCs w:val="20"/>
                <w:color w:val="auto"/>
              </w:rPr>
            </w:pPr>
            <w:r>
              <w:rPr>
                <w:rFonts w:ascii="Arial" w:cs="Arial" w:eastAsia="Arial" w:hAnsi="Arial"/>
                <w:sz w:val="36"/>
                <w:szCs w:val="36"/>
                <w:b w:val="1"/>
                <w:bCs w:val="1"/>
                <w:color w:val="auto"/>
                <w:w w:val="93"/>
              </w:rPr>
              <w:t>Exxon Mobil Corporation</w:t>
            </w:r>
          </w:p>
        </w:tc>
      </w:tr>
      <w:tr>
        <w:trPr>
          <w:trHeight w:val="182"/>
        </w:trPr>
        <w:tc>
          <w:tcPr>
            <w:tcW w:w="3300" w:type="dxa"/>
            <w:vAlign w:val="bottom"/>
          </w:tcPr>
          <w:p>
            <w:pPr>
              <w:spacing w:after="0"/>
              <w:rPr>
                <w:sz w:val="15"/>
                <w:szCs w:val="15"/>
                <w:color w:val="auto"/>
              </w:rPr>
            </w:pPr>
          </w:p>
        </w:tc>
        <w:tc>
          <w:tcPr>
            <w:tcW w:w="7980" w:type="dxa"/>
            <w:vAlign w:val="bottom"/>
            <w:gridSpan w:val="8"/>
          </w:tcPr>
          <w:p>
            <w:pPr>
              <w:jc w:val="center"/>
              <w:ind w:right="348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44"/>
        </w:trPr>
        <w:tc>
          <w:tcPr>
            <w:tcW w:w="3300" w:type="dxa"/>
            <w:vAlign w:val="bottom"/>
          </w:tcPr>
          <w:p>
            <w:pPr>
              <w:jc w:val="center"/>
              <w:ind w:left="2025"/>
              <w:spacing w:after="0"/>
              <w:rPr>
                <w:sz w:val="20"/>
                <w:szCs w:val="20"/>
                <w:color w:val="auto"/>
              </w:rPr>
            </w:pPr>
            <w:r>
              <w:rPr>
                <w:rFonts w:ascii="Arial" w:cs="Arial" w:eastAsia="Arial" w:hAnsi="Arial"/>
                <w:sz w:val="18"/>
                <w:szCs w:val="18"/>
                <w:b w:val="1"/>
                <w:bCs w:val="1"/>
                <w:color w:val="auto"/>
                <w:w w:val="88"/>
              </w:rPr>
              <w:t>New Jersey</w:t>
            </w: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72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89"/>
              </w:rPr>
              <w:t>13-5409005</w:t>
            </w:r>
          </w:p>
        </w:tc>
        <w:tc>
          <w:tcPr>
            <w:tcW w:w="20" w:type="dxa"/>
            <w:vAlign w:val="bottom"/>
          </w:tcPr>
          <w:p>
            <w:pPr>
              <w:spacing w:after="0"/>
              <w:rPr>
                <w:sz w:val="21"/>
                <w:szCs w:val="21"/>
                <w:color w:val="auto"/>
              </w:rPr>
            </w:pPr>
          </w:p>
        </w:tc>
      </w:tr>
      <w:tr>
        <w:trPr>
          <w:trHeight w:val="149"/>
        </w:trPr>
        <w:tc>
          <w:tcPr>
            <w:tcW w:w="6540" w:type="dxa"/>
            <w:vAlign w:val="bottom"/>
            <w:gridSpan w:val="4"/>
          </w:tcPr>
          <w:p>
            <w:pPr>
              <w:jc w:val="center"/>
              <w:ind w:right="1140"/>
              <w:spacing w:after="0" w:line="149" w:lineRule="exact"/>
              <w:rPr>
                <w:sz w:val="20"/>
                <w:szCs w:val="20"/>
                <w:color w:val="auto"/>
              </w:rPr>
            </w:pPr>
            <w:r>
              <w:rPr>
                <w:rFonts w:ascii="Arial" w:cs="Arial" w:eastAsia="Arial" w:hAnsi="Arial"/>
                <w:sz w:val="14"/>
                <w:szCs w:val="14"/>
                <w:color w:val="auto"/>
                <w:w w:val="89"/>
              </w:rPr>
              <w:t>(State or other jurisdiction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80" w:type="dxa"/>
            <w:vAlign w:val="bottom"/>
            <w:gridSpan w:val="2"/>
          </w:tcPr>
          <w:p>
            <w:pPr>
              <w:jc w:val="center"/>
              <w:ind w:right="1860"/>
              <w:spacing w:after="0" w:line="149" w:lineRule="exact"/>
              <w:rPr>
                <w:sz w:val="20"/>
                <w:szCs w:val="20"/>
                <w:color w:val="auto"/>
              </w:rPr>
            </w:pPr>
            <w:r>
              <w:rPr>
                <w:rFonts w:ascii="Arial" w:cs="Arial" w:eastAsia="Arial" w:hAnsi="Arial"/>
                <w:sz w:val="14"/>
                <w:szCs w:val="14"/>
                <w:color w:val="auto"/>
                <w:w w:val="91"/>
              </w:rPr>
              <w:t>(I.R.S. Employer</w:t>
            </w:r>
          </w:p>
        </w:tc>
      </w:tr>
      <w:tr>
        <w:trPr>
          <w:trHeight w:val="172"/>
        </w:trPr>
        <w:tc>
          <w:tcPr>
            <w:tcW w:w="6540" w:type="dxa"/>
            <w:vAlign w:val="bottom"/>
            <w:gridSpan w:val="4"/>
          </w:tcPr>
          <w:p>
            <w:pPr>
              <w:jc w:val="center"/>
              <w:ind w:right="1120"/>
              <w:spacing w:after="0"/>
              <w:rPr>
                <w:sz w:val="20"/>
                <w:szCs w:val="20"/>
                <w:color w:val="auto"/>
              </w:rPr>
            </w:pPr>
            <w:r>
              <w:rPr>
                <w:rFonts w:ascii="Arial" w:cs="Arial" w:eastAsia="Arial" w:hAnsi="Arial"/>
                <w:sz w:val="14"/>
                <w:szCs w:val="14"/>
                <w:color w:val="auto"/>
                <w:w w:val="88"/>
              </w:rPr>
              <w:t>incorporation or organization)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80" w:type="dxa"/>
            <w:vAlign w:val="bottom"/>
            <w:gridSpan w:val="2"/>
          </w:tcPr>
          <w:p>
            <w:pPr>
              <w:jc w:val="center"/>
              <w:ind w:right="1860"/>
              <w:spacing w:after="0"/>
              <w:rPr>
                <w:sz w:val="20"/>
                <w:szCs w:val="20"/>
                <w:color w:val="auto"/>
              </w:rPr>
            </w:pPr>
            <w:r>
              <w:rPr>
                <w:rFonts w:ascii="Arial" w:cs="Arial" w:eastAsia="Arial" w:hAnsi="Arial"/>
                <w:sz w:val="14"/>
                <w:szCs w:val="14"/>
                <w:color w:val="auto"/>
                <w:w w:val="91"/>
              </w:rPr>
              <w:t>Identification Number)</w:t>
            </w:r>
          </w:p>
        </w:tc>
      </w:tr>
      <w:tr>
        <w:trPr>
          <w:trHeight w:val="233"/>
        </w:trPr>
        <w:tc>
          <w:tcPr>
            <w:tcW w:w="3300" w:type="dxa"/>
            <w:vAlign w:val="bottom"/>
          </w:tcPr>
          <w:p>
            <w:pPr>
              <w:spacing w:after="0"/>
              <w:rPr>
                <w:sz w:val="20"/>
                <w:szCs w:val="20"/>
                <w:color w:val="auto"/>
              </w:rPr>
            </w:pPr>
          </w:p>
        </w:tc>
        <w:tc>
          <w:tcPr>
            <w:tcW w:w="7980" w:type="dxa"/>
            <w:vAlign w:val="bottom"/>
            <w:gridSpan w:val="8"/>
          </w:tcPr>
          <w:p>
            <w:pPr>
              <w:jc w:val="center"/>
              <w:ind w:right="3460"/>
              <w:spacing w:after="0"/>
              <w:rPr>
                <w:sz w:val="20"/>
                <w:szCs w:val="20"/>
                <w:color w:val="auto"/>
              </w:rPr>
            </w:pPr>
            <w:r>
              <w:rPr>
                <w:rFonts w:ascii="Arial" w:cs="Arial" w:eastAsia="Arial" w:hAnsi="Arial"/>
                <w:sz w:val="18"/>
                <w:szCs w:val="18"/>
                <w:b w:val="1"/>
                <w:bCs w:val="1"/>
                <w:color w:val="auto"/>
                <w:w w:val="90"/>
              </w:rPr>
              <w:t>5959 Las Colinas Boulevard, Irving, Texas 75039-2298</w:t>
            </w:r>
          </w:p>
        </w:tc>
      </w:tr>
      <w:tr>
        <w:trPr>
          <w:trHeight w:val="172"/>
        </w:trPr>
        <w:tc>
          <w:tcPr>
            <w:tcW w:w="3300" w:type="dxa"/>
            <w:vAlign w:val="bottom"/>
          </w:tcPr>
          <w:p>
            <w:pPr>
              <w:spacing w:after="0"/>
              <w:rPr>
                <w:sz w:val="14"/>
                <w:szCs w:val="14"/>
                <w:color w:val="auto"/>
              </w:rPr>
            </w:pPr>
          </w:p>
        </w:tc>
        <w:tc>
          <w:tcPr>
            <w:tcW w:w="7980" w:type="dxa"/>
            <w:vAlign w:val="bottom"/>
            <w:gridSpan w:val="8"/>
          </w:tcPr>
          <w:p>
            <w:pPr>
              <w:jc w:val="center"/>
              <w:ind w:right="3480"/>
              <w:spacing w:after="0"/>
              <w:rPr>
                <w:sz w:val="20"/>
                <w:szCs w:val="20"/>
                <w:color w:val="auto"/>
              </w:rPr>
            </w:pPr>
            <w:r>
              <w:rPr>
                <w:rFonts w:ascii="Arial" w:cs="Arial" w:eastAsia="Arial" w:hAnsi="Arial"/>
                <w:sz w:val="14"/>
                <w:szCs w:val="14"/>
                <w:color w:val="auto"/>
                <w:w w:val="89"/>
              </w:rPr>
              <w:t>(Address of principal executive offices) (Zip Code)</w:t>
            </w:r>
          </w:p>
        </w:tc>
      </w:tr>
      <w:tr>
        <w:trPr>
          <w:trHeight w:val="233"/>
        </w:trPr>
        <w:tc>
          <w:tcPr>
            <w:tcW w:w="3300" w:type="dxa"/>
            <w:vAlign w:val="bottom"/>
          </w:tcPr>
          <w:p>
            <w:pPr>
              <w:spacing w:after="0"/>
              <w:rPr>
                <w:sz w:val="20"/>
                <w:szCs w:val="20"/>
                <w:color w:val="auto"/>
              </w:rPr>
            </w:pPr>
          </w:p>
        </w:tc>
        <w:tc>
          <w:tcPr>
            <w:tcW w:w="3240" w:type="dxa"/>
            <w:vAlign w:val="bottom"/>
            <w:gridSpan w:val="3"/>
          </w:tcPr>
          <w:p>
            <w:pPr>
              <w:jc w:val="center"/>
              <w:ind w:left="1187"/>
              <w:spacing w:after="0"/>
              <w:rPr>
                <w:sz w:val="20"/>
                <w:szCs w:val="20"/>
                <w:color w:val="auto"/>
              </w:rPr>
            </w:pPr>
            <w:r>
              <w:rPr>
                <w:rFonts w:ascii="Arial" w:cs="Arial" w:eastAsia="Arial" w:hAnsi="Arial"/>
                <w:sz w:val="18"/>
                <w:szCs w:val="18"/>
                <w:b w:val="1"/>
                <w:bCs w:val="1"/>
                <w:color w:val="auto"/>
                <w:w w:val="90"/>
              </w:rPr>
              <w:t>(972) 940-6000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2"/>
        </w:trPr>
        <w:tc>
          <w:tcPr>
            <w:tcW w:w="3300" w:type="dxa"/>
            <w:vAlign w:val="bottom"/>
          </w:tcPr>
          <w:p>
            <w:pPr>
              <w:spacing w:after="0"/>
              <w:rPr>
                <w:sz w:val="14"/>
                <w:szCs w:val="14"/>
                <w:color w:val="auto"/>
              </w:rPr>
            </w:pPr>
          </w:p>
        </w:tc>
        <w:tc>
          <w:tcPr>
            <w:tcW w:w="7980" w:type="dxa"/>
            <w:vAlign w:val="bottom"/>
            <w:gridSpan w:val="8"/>
          </w:tcPr>
          <w:p>
            <w:pPr>
              <w:jc w:val="center"/>
              <w:ind w:right="3480"/>
              <w:spacing w:after="0"/>
              <w:rPr>
                <w:sz w:val="20"/>
                <w:szCs w:val="20"/>
                <w:color w:val="auto"/>
              </w:rPr>
            </w:pPr>
            <w:r>
              <w:rPr>
                <w:rFonts w:ascii="Arial" w:cs="Arial" w:eastAsia="Arial" w:hAnsi="Arial"/>
                <w:sz w:val="14"/>
                <w:szCs w:val="14"/>
                <w:color w:val="auto"/>
                <w:w w:val="86"/>
              </w:rPr>
              <w:t>(Registrant’s telephone number, including area code)</w:t>
            </w:r>
          </w:p>
        </w:tc>
      </w:tr>
      <w:tr>
        <w:trPr>
          <w:trHeight w:val="55"/>
        </w:trPr>
        <w:tc>
          <w:tcPr>
            <w:tcW w:w="3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3300" w:type="dxa"/>
            <w:vAlign w:val="bottom"/>
          </w:tcPr>
          <w:p>
            <w:pPr>
              <w:spacing w:after="0"/>
              <w:rPr>
                <w:sz w:val="19"/>
                <w:szCs w:val="19"/>
                <w:color w:val="auto"/>
              </w:rPr>
            </w:pPr>
          </w:p>
        </w:tc>
        <w:tc>
          <w:tcPr>
            <w:tcW w:w="7980" w:type="dxa"/>
            <w:vAlign w:val="bottom"/>
            <w:gridSpan w:val="8"/>
          </w:tcPr>
          <w:p>
            <w:pPr>
              <w:jc w:val="center"/>
              <w:ind w:right="348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49"/>
        </w:trPr>
        <w:tc>
          <w:tcPr>
            <w:tcW w:w="3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Name of Each Exchange</w:t>
            </w:r>
          </w:p>
        </w:tc>
      </w:tr>
      <w:tr>
        <w:trPr>
          <w:trHeight w:val="159"/>
        </w:trPr>
        <w:tc>
          <w:tcPr>
            <w:tcW w:w="3300" w:type="dxa"/>
            <w:vAlign w:val="bottom"/>
          </w:tcPr>
          <w:p>
            <w:pPr>
              <w:spacing w:after="0" w:line="159" w:lineRule="exact"/>
              <w:rPr>
                <w:sz w:val="20"/>
                <w:szCs w:val="20"/>
                <w:color w:val="auto"/>
              </w:rPr>
            </w:pPr>
            <w:r>
              <w:rPr>
                <w:rFonts w:ascii="Arial" w:cs="Arial" w:eastAsia="Arial" w:hAnsi="Arial"/>
                <w:sz w:val="14"/>
                <w:szCs w:val="14"/>
                <w:color w:val="auto"/>
              </w:rPr>
              <w:t>Title of Each Class</w:t>
            </w:r>
          </w:p>
        </w:tc>
        <w:tc>
          <w:tcPr>
            <w:tcW w:w="1340" w:type="dxa"/>
            <w:vAlign w:val="bottom"/>
          </w:tcPr>
          <w:p>
            <w:pPr>
              <w:spacing w:after="0"/>
              <w:rPr>
                <w:sz w:val="13"/>
                <w:szCs w:val="13"/>
                <w:color w:val="auto"/>
              </w:rPr>
            </w:pPr>
          </w:p>
        </w:tc>
        <w:tc>
          <w:tcPr>
            <w:tcW w:w="1900" w:type="dxa"/>
            <w:vAlign w:val="bottom"/>
            <w:gridSpan w:val="2"/>
          </w:tcPr>
          <w:p>
            <w:pPr>
              <w:jc w:val="center"/>
              <w:ind w:left="226"/>
              <w:spacing w:after="0" w:line="159" w:lineRule="exact"/>
              <w:rPr>
                <w:sz w:val="20"/>
                <w:szCs w:val="20"/>
                <w:color w:val="auto"/>
              </w:rPr>
            </w:pPr>
            <w:r>
              <w:rPr>
                <w:rFonts w:ascii="Arial" w:cs="Arial" w:eastAsia="Arial" w:hAnsi="Arial"/>
                <w:sz w:val="14"/>
                <w:szCs w:val="14"/>
                <w:color w:val="auto"/>
                <w:w w:val="89"/>
              </w:rPr>
              <w:t>Trading Symbol</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on Which Registered</w:t>
            </w:r>
          </w:p>
        </w:tc>
      </w:tr>
      <w:tr>
        <w:trPr>
          <w:trHeight w:val="204"/>
        </w:trPr>
        <w:tc>
          <w:tcPr>
            <w:tcW w:w="33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Common Stock, without par value</w:t>
            </w:r>
          </w:p>
        </w:tc>
        <w:tc>
          <w:tcPr>
            <w:tcW w:w="13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left="226"/>
              <w:spacing w:after="0"/>
              <w:rPr>
                <w:sz w:val="20"/>
                <w:szCs w:val="20"/>
                <w:color w:val="auto"/>
              </w:rPr>
            </w:pPr>
            <w:r>
              <w:rPr>
                <w:rFonts w:ascii="Arial" w:cs="Arial" w:eastAsia="Arial" w:hAnsi="Arial"/>
                <w:sz w:val="16"/>
                <w:szCs w:val="16"/>
                <w:b w:val="1"/>
                <w:bCs w:val="1"/>
                <w:color w:val="auto"/>
              </w:rPr>
              <w:t>XOM</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New York Stock Exchange</w:t>
            </w:r>
          </w:p>
        </w:tc>
        <w:tc>
          <w:tcPr>
            <w:tcW w:w="20" w:type="dxa"/>
            <w:vAlign w:val="bottom"/>
          </w:tcPr>
          <w:p>
            <w:pPr>
              <w:spacing w:after="0"/>
              <w:rPr>
                <w:sz w:val="17"/>
                <w:szCs w:val="17"/>
                <w:color w:val="auto"/>
              </w:rPr>
            </w:pPr>
          </w:p>
        </w:tc>
      </w:tr>
    </w:tbl>
    <w:p>
      <w:pPr>
        <w:spacing w:after="0" w:line="100" w:lineRule="exact"/>
        <w:rPr>
          <w:sz w:val="24"/>
          <w:szCs w:val="24"/>
          <w:color w:val="auto"/>
        </w:rPr>
      </w:pPr>
    </w:p>
    <w:p>
      <w:pPr>
        <w:ind w:left="120" w:right="2640"/>
        <w:spacing w:after="0" w:line="31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46" w:lineRule="exact"/>
        <w:rPr>
          <w:sz w:val="24"/>
          <w:szCs w:val="24"/>
          <w:color w:val="auto"/>
        </w:rPr>
      </w:pPr>
    </w:p>
    <w:p>
      <w:pPr>
        <w:ind w:firstLine="117"/>
        <w:spacing w:after="0" w:line="23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No</w:t>
      </w:r>
    </w:p>
    <w:p>
      <w:pPr>
        <w:spacing w:after="0" w:line="1" w:lineRule="exact"/>
        <w:rPr>
          <w:sz w:val="24"/>
          <w:szCs w:val="24"/>
          <w:color w:val="auto"/>
        </w:rPr>
      </w:pPr>
    </w:p>
    <w:p>
      <w:pPr>
        <w:spacing w:after="0" w:line="201" w:lineRule="exact"/>
        <w:rPr>
          <w:sz w:val="20"/>
          <w:szCs w:val="20"/>
          <w:color w:val="auto"/>
        </w:rPr>
      </w:pPr>
      <w:r>
        <w:rPr>
          <w:rFonts w:ascii="MS PGothic" w:cs="MS PGothic" w:eastAsia="MS PGothic" w:hAnsi="MS PGothic"/>
          <w:sz w:val="20"/>
          <w:szCs w:val="20"/>
          <w:color w:val="auto"/>
        </w:rPr>
        <w:t>☐</w:t>
      </w:r>
    </w:p>
    <w:p>
      <w:pPr>
        <w:spacing w:after="0" w:line="109" w:lineRule="exact"/>
        <w:rPr>
          <w:sz w:val="24"/>
          <w:szCs w:val="24"/>
          <w:color w:val="auto"/>
        </w:rPr>
      </w:pPr>
    </w:p>
    <w:p>
      <w:pPr>
        <w:ind w:right="20" w:firstLine="117"/>
        <w:spacing w:after="0" w:line="24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117"/>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100" w:type="dxa"/>
        <w:tblCellMar>
          <w:top w:w="0" w:type="dxa"/>
          <w:left w:w="0" w:type="dxa"/>
          <w:bottom w:w="0" w:type="dxa"/>
          <w:right w:w="0" w:type="dxa"/>
        </w:tblCellMar>
      </w:tblPr>
      <w:tr>
        <w:trPr>
          <w:trHeight w:val="257"/>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1220"/>
              <w:spacing w:after="0" w:line="201" w:lineRule="exact"/>
              <w:rPr>
                <w:sz w:val="20"/>
                <w:szCs w:val="20"/>
                <w:color w:val="auto"/>
              </w:rPr>
            </w:pPr>
            <w:r>
              <w:rPr>
                <w:rFonts w:ascii="MS PGothic" w:cs="MS PGothic" w:eastAsia="MS PGothic" w:hAnsi="MS PGothic"/>
                <w:sz w:val="20"/>
                <w:szCs w:val="20"/>
                <w:color w:val="auto"/>
              </w:rPr>
              <w:t>☑</w:t>
            </w:r>
          </w:p>
        </w:tc>
        <w:tc>
          <w:tcPr>
            <w:tcW w:w="3640" w:type="dxa"/>
            <w:vAlign w:val="bottom"/>
          </w:tcPr>
          <w:p>
            <w:pPr>
              <w:ind w:left="820"/>
              <w:spacing w:after="0"/>
              <w:rPr>
                <w:sz w:val="20"/>
                <w:szCs w:val="20"/>
                <w:color w:val="auto"/>
              </w:rPr>
            </w:pPr>
            <w:r>
              <w:rPr>
                <w:rFonts w:ascii="Arial" w:cs="Arial" w:eastAsia="Arial" w:hAnsi="Arial"/>
                <w:sz w:val="16"/>
                <w:szCs w:val="16"/>
                <w:color w:val="auto"/>
              </w:rPr>
              <w:t>Accelerated filer</w:t>
            </w:r>
          </w:p>
        </w:tc>
        <w:tc>
          <w:tcPr>
            <w:tcW w:w="1240" w:type="dxa"/>
            <w:vAlign w:val="bottom"/>
          </w:tcPr>
          <w:p>
            <w:pPr>
              <w:ind w:left="10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1220"/>
              <w:spacing w:after="0" w:line="201" w:lineRule="exact"/>
              <w:rPr>
                <w:sz w:val="20"/>
                <w:szCs w:val="20"/>
                <w:color w:val="auto"/>
              </w:rPr>
            </w:pPr>
            <w:r>
              <w:rPr>
                <w:rFonts w:ascii="MS PGothic" w:cs="MS PGothic" w:eastAsia="MS PGothic" w:hAnsi="MS PGothic"/>
                <w:sz w:val="20"/>
                <w:szCs w:val="20"/>
                <w:color w:val="auto"/>
              </w:rPr>
              <w:t>☐</w:t>
            </w:r>
          </w:p>
        </w:tc>
        <w:tc>
          <w:tcPr>
            <w:tcW w:w="3640" w:type="dxa"/>
            <w:vAlign w:val="bottom"/>
          </w:tcPr>
          <w:p>
            <w:pPr>
              <w:ind w:left="820"/>
              <w:spacing w:after="0"/>
              <w:rPr>
                <w:sz w:val="20"/>
                <w:szCs w:val="20"/>
                <w:color w:val="auto"/>
              </w:rPr>
            </w:pPr>
            <w:r>
              <w:rPr>
                <w:rFonts w:ascii="Arial" w:cs="Arial" w:eastAsia="Arial" w:hAnsi="Arial"/>
                <w:sz w:val="16"/>
                <w:szCs w:val="16"/>
                <w:color w:val="auto"/>
              </w:rPr>
              <w:t>Smaller reporting company</w:t>
            </w:r>
          </w:p>
        </w:tc>
        <w:tc>
          <w:tcPr>
            <w:tcW w:w="1240" w:type="dxa"/>
            <w:vAlign w:val="bottom"/>
          </w:tcPr>
          <w:p>
            <w:pPr>
              <w:ind w:left="10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40" w:type="dxa"/>
            <w:vAlign w:val="bottom"/>
          </w:tcPr>
          <w:p>
            <w:pPr>
              <w:ind w:left="840"/>
              <w:spacing w:after="0"/>
              <w:rPr>
                <w:sz w:val="20"/>
                <w:szCs w:val="20"/>
                <w:color w:val="auto"/>
              </w:rPr>
            </w:pPr>
            <w:r>
              <w:rPr>
                <w:rFonts w:ascii="Arial" w:cs="Arial" w:eastAsia="Arial" w:hAnsi="Arial"/>
                <w:sz w:val="16"/>
                <w:szCs w:val="16"/>
                <w:color w:val="auto"/>
              </w:rPr>
              <w:t>Emerging growth company</w:t>
            </w:r>
          </w:p>
        </w:tc>
        <w:tc>
          <w:tcPr>
            <w:tcW w:w="1240" w:type="dxa"/>
            <w:vAlign w:val="bottom"/>
          </w:tcPr>
          <w:p>
            <w:pPr>
              <w:ind w:left="10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59" w:lineRule="exact"/>
        <w:rPr>
          <w:sz w:val="24"/>
          <w:szCs w:val="24"/>
          <w:color w:val="auto"/>
        </w:rPr>
      </w:pPr>
    </w:p>
    <w:p>
      <w:pPr>
        <w:ind w:firstLine="117"/>
        <w:spacing w:after="0" w:line="24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5" w:lineRule="exact"/>
        <w:rPr>
          <w:sz w:val="24"/>
          <w:szCs w:val="24"/>
          <w:color w:val="auto"/>
        </w:rPr>
      </w:pPr>
    </w:p>
    <w:p>
      <w:pPr>
        <w:ind w:left="12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36" w:lineRule="exact"/>
        <w:rPr>
          <w:sz w:val="24"/>
          <w:szCs w:val="24"/>
          <w:color w:val="auto"/>
        </w:rPr>
      </w:pPr>
    </w:p>
    <w:p>
      <w:pPr>
        <w:ind w:firstLine="117"/>
        <w:spacing w:after="0" w:line="329" w:lineRule="auto"/>
        <w:rPr>
          <w:sz w:val="20"/>
          <w:szCs w:val="20"/>
          <w:color w:val="auto"/>
        </w:rPr>
      </w:pPr>
      <w:r>
        <w:rPr>
          <w:rFonts w:ascii="Arial" w:cs="Arial" w:eastAsia="Arial" w:hAnsi="Arial"/>
          <w:sz w:val="15"/>
          <w:szCs w:val="15"/>
          <w:color w:val="auto"/>
        </w:rPr>
        <w:t>The aggregate market value of the voting stock held by non-affiliates of the registrant on June 28, 2019, the last business day of the registrant’s most recently completed second fiscal quarter, based on the closing price on that date of $76.63 on the New York Stock Exchange composite tape, was in excess of $324 billion.</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jc w:val="center"/>
              <w:ind w:right="4220"/>
              <w:spacing w:after="0"/>
              <w:rPr>
                <w:sz w:val="20"/>
                <w:szCs w:val="20"/>
                <w:color w:val="auto"/>
              </w:rPr>
            </w:pPr>
            <w:r>
              <w:rPr>
                <w:rFonts w:ascii="Arial" w:cs="Arial" w:eastAsia="Arial" w:hAnsi="Arial"/>
                <w:sz w:val="16"/>
                <w:szCs w:val="16"/>
                <w:b w:val="1"/>
                <w:bCs w:val="1"/>
                <w:color w:val="auto"/>
                <w:w w:val="88"/>
              </w:rPr>
              <w:t>Class</w:t>
            </w:r>
          </w:p>
        </w:tc>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as of January 31, 2020</w:t>
            </w:r>
          </w:p>
        </w:tc>
      </w:tr>
      <w:tr>
        <w:trPr>
          <w:trHeight w:val="210"/>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without par value</w:t>
            </w:r>
          </w:p>
        </w:tc>
        <w:tc>
          <w:tcPr>
            <w:tcW w:w="4240" w:type="dxa"/>
            <w:vAlign w:val="bottom"/>
          </w:tcPr>
          <w:p>
            <w:pPr>
              <w:spacing w:after="0"/>
              <w:rPr>
                <w:sz w:val="18"/>
                <w:szCs w:val="18"/>
                <w:color w:val="auto"/>
              </w:rPr>
            </w:pPr>
          </w:p>
        </w:tc>
        <w:tc>
          <w:tcPr>
            <w:tcW w:w="3980" w:type="dxa"/>
            <w:vAlign w:val="bottom"/>
            <w:tcBorders>
              <w:top w:val="single" w:sz="8" w:color="auto"/>
            </w:tcBorders>
          </w:tcPr>
          <w:p>
            <w:pPr>
              <w:jc w:val="right"/>
              <w:ind w:right="1439"/>
              <w:spacing w:after="0"/>
              <w:rPr>
                <w:sz w:val="20"/>
                <w:szCs w:val="20"/>
                <w:color w:val="auto"/>
              </w:rPr>
            </w:pPr>
            <w:r>
              <w:rPr>
                <w:rFonts w:ascii="Arial" w:cs="Arial" w:eastAsia="Arial" w:hAnsi="Arial"/>
                <w:sz w:val="16"/>
                <w:szCs w:val="16"/>
                <w:b w:val="1"/>
                <w:bCs w:val="1"/>
                <w:color w:val="auto"/>
              </w:rPr>
              <w:t>4,232,190,744</w:t>
            </w:r>
          </w:p>
        </w:tc>
      </w:tr>
    </w:tbl>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 Proxy Statement for the 2020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770890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rPr>
              <w:t>EXXON MOBIL CORPORATION</w:t>
            </w:r>
          </w:p>
        </w:tc>
        <w:tc>
          <w:tcPr>
            <w:tcW w:w="14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FORM 10-K</w:t>
            </w:r>
          </w:p>
        </w:tc>
        <w:tc>
          <w:tcPr>
            <w:tcW w:w="14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100" w:type="dxa"/>
            <w:vAlign w:val="bottom"/>
          </w:tcPr>
          <w:p>
            <w:pPr>
              <w:jc w:val="center"/>
              <w:ind w:left="430"/>
              <w:spacing w:after="0"/>
              <w:rPr>
                <w:sz w:val="20"/>
                <w:szCs w:val="20"/>
                <w:color w:val="auto"/>
              </w:rPr>
            </w:pPr>
            <w:r>
              <w:rPr>
                <w:rFonts w:ascii="Arial" w:cs="Arial" w:eastAsia="Arial" w:hAnsi="Arial"/>
                <w:sz w:val="18"/>
                <w:szCs w:val="18"/>
                <w:b w:val="1"/>
                <w:bCs w:val="1"/>
                <w:color w:val="auto"/>
                <w:w w:val="98"/>
              </w:rPr>
              <w:t>FOR THE FISCAL YEAR ENDED DECEMBER 31, 2019</w:t>
            </w:r>
          </w:p>
        </w:tc>
        <w:tc>
          <w:tcPr>
            <w:tcW w:w="14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rPr>
              <w:t>PART I</w:t>
            </w:r>
          </w:p>
        </w:tc>
        <w:tc>
          <w:tcPr>
            <w:tcW w:w="1400" w:type="dxa"/>
            <w:vAlign w:val="bottom"/>
          </w:tcPr>
          <w:p>
            <w:pPr>
              <w:spacing w:after="0"/>
              <w:rPr>
                <w:sz w:val="24"/>
                <w:szCs w:val="24"/>
                <w:color w:val="auto"/>
              </w:rPr>
            </w:pPr>
          </w:p>
        </w:tc>
      </w:tr>
      <w:tr>
        <w:trPr>
          <w:trHeight w:val="418"/>
        </w:trPr>
        <w:tc>
          <w:tcPr>
            <w:tcW w:w="920" w:type="dxa"/>
            <w:vAlign w:val="bottom"/>
          </w:tcPr>
          <w:p>
            <w:pPr>
              <w:ind w:left="120"/>
              <w:spacing w:after="0"/>
              <w:rPr>
                <w:sz w:val="20"/>
                <w:szCs w:val="20"/>
                <w:color w:val="auto"/>
              </w:rPr>
            </w:pPr>
            <w:r>
              <w:rPr>
                <w:rFonts w:ascii="Arial" w:cs="Arial" w:eastAsia="Arial" w:hAnsi="Arial"/>
                <w:sz w:val="18"/>
                <w:szCs w:val="18"/>
                <w:color w:val="auto"/>
              </w:rPr>
              <w:t>Item 1.</w:t>
            </w:r>
          </w:p>
        </w:tc>
        <w:tc>
          <w:tcPr>
            <w:tcW w:w="9100" w:type="dxa"/>
            <w:vAlign w:val="bottom"/>
          </w:tcPr>
          <w:p>
            <w:pPr>
              <w:ind w:left="20"/>
              <w:spacing w:after="0"/>
              <w:rPr>
                <w:sz w:val="20"/>
                <w:szCs w:val="20"/>
                <w:color w:val="auto"/>
              </w:rPr>
            </w:pPr>
            <w:r>
              <w:rPr>
                <w:rFonts w:ascii="Arial" w:cs="Arial" w:eastAsia="Arial" w:hAnsi="Arial"/>
                <w:sz w:val="18"/>
                <w:szCs w:val="18"/>
                <w:color w:val="auto"/>
              </w:rPr>
              <w:t>Business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1A.</w:t>
            </w:r>
          </w:p>
        </w:tc>
        <w:tc>
          <w:tcPr>
            <w:tcW w:w="910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1B.</w:t>
            </w:r>
          </w:p>
        </w:tc>
        <w:tc>
          <w:tcPr>
            <w:tcW w:w="9100" w:type="dxa"/>
            <w:vAlign w:val="bottom"/>
          </w:tcPr>
          <w:p>
            <w:pPr>
              <w:ind w:left="20"/>
              <w:spacing w:after="0"/>
              <w:rPr>
                <w:sz w:val="20"/>
                <w:szCs w:val="20"/>
                <w:color w:val="auto"/>
              </w:rPr>
            </w:pPr>
            <w:r>
              <w:rPr>
                <w:rFonts w:ascii="Arial" w:cs="Arial" w:eastAsia="Arial" w:hAnsi="Arial"/>
                <w:sz w:val="18"/>
                <w:szCs w:val="18"/>
                <w:color w:val="auto"/>
              </w:rPr>
              <w:t>Unresolved Staff Comments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2.</w:t>
            </w:r>
          </w:p>
        </w:tc>
        <w:tc>
          <w:tcPr>
            <w:tcW w:w="910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3.</w:t>
            </w:r>
          </w:p>
        </w:tc>
        <w:tc>
          <w:tcPr>
            <w:tcW w:w="910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4.</w:t>
            </w:r>
          </w:p>
        </w:tc>
        <w:tc>
          <w:tcPr>
            <w:tcW w:w="910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30"/>
        </w:trPr>
        <w:tc>
          <w:tcPr>
            <w:tcW w:w="10020" w:type="dxa"/>
            <w:vAlign w:val="bottom"/>
            <w:gridSpan w:val="2"/>
          </w:tcPr>
          <w:p>
            <w:pPr>
              <w:ind w:left="120"/>
              <w:spacing w:after="0"/>
              <w:rPr>
                <w:sz w:val="20"/>
                <w:szCs w:val="20"/>
                <w:color w:val="auto"/>
              </w:rPr>
            </w:pPr>
            <w:r>
              <w:rPr>
                <w:rFonts w:ascii="Arial" w:cs="Arial" w:eastAsia="Arial" w:hAnsi="Arial"/>
                <w:sz w:val="18"/>
                <w:szCs w:val="18"/>
                <w:color w:val="auto"/>
              </w:rPr>
              <w:t>Information about our Executive Officers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432"/>
        </w:trPr>
        <w:tc>
          <w:tcPr>
            <w:tcW w:w="920" w:type="dxa"/>
            <w:vAlign w:val="bottom"/>
          </w:tcPr>
          <w:p>
            <w:pPr>
              <w:spacing w:after="0"/>
              <w:rPr>
                <w:sz w:val="24"/>
                <w:szCs w:val="24"/>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PART II</w:t>
            </w:r>
          </w:p>
        </w:tc>
        <w:tc>
          <w:tcPr>
            <w:tcW w:w="1400" w:type="dxa"/>
            <w:vAlign w:val="bottom"/>
          </w:tcPr>
          <w:p>
            <w:pPr>
              <w:spacing w:after="0"/>
              <w:rPr>
                <w:sz w:val="24"/>
                <w:szCs w:val="24"/>
                <w:color w:val="auto"/>
              </w:rPr>
            </w:pPr>
          </w:p>
        </w:tc>
      </w:tr>
      <w:tr>
        <w:trPr>
          <w:trHeight w:val="418"/>
        </w:trPr>
        <w:tc>
          <w:tcPr>
            <w:tcW w:w="920" w:type="dxa"/>
            <w:vAlign w:val="bottom"/>
          </w:tcPr>
          <w:p>
            <w:pPr>
              <w:ind w:left="120"/>
              <w:spacing w:after="0"/>
              <w:rPr>
                <w:sz w:val="20"/>
                <w:szCs w:val="20"/>
                <w:color w:val="auto"/>
              </w:rPr>
            </w:pPr>
            <w:r>
              <w:rPr>
                <w:rFonts w:ascii="Arial" w:cs="Arial" w:eastAsia="Arial" w:hAnsi="Arial"/>
                <w:sz w:val="18"/>
                <w:szCs w:val="18"/>
                <w:color w:val="auto"/>
              </w:rPr>
              <w:t>Item 5.</w:t>
            </w:r>
          </w:p>
        </w:tc>
        <w:tc>
          <w:tcPr>
            <w:tcW w:w="9100" w:type="dxa"/>
            <w:vAlign w:val="bottom"/>
          </w:tcPr>
          <w:p>
            <w:pPr>
              <w:ind w:left="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6.</w:t>
            </w:r>
          </w:p>
        </w:tc>
        <w:tc>
          <w:tcPr>
            <w:tcW w:w="9100" w:type="dxa"/>
            <w:vAlign w:val="bottom"/>
          </w:tcPr>
          <w:p>
            <w:pPr>
              <w:ind w:left="20"/>
              <w:spacing w:after="0"/>
              <w:rPr>
                <w:sz w:val="20"/>
                <w:szCs w:val="20"/>
                <w:color w:val="auto"/>
              </w:rPr>
            </w:pPr>
            <w:r>
              <w:rPr>
                <w:rFonts w:ascii="Arial" w:cs="Arial" w:eastAsia="Arial" w:hAnsi="Arial"/>
                <w:sz w:val="18"/>
                <w:szCs w:val="18"/>
                <w:color w:val="auto"/>
              </w:rPr>
              <w:t>Selected Financial Data</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7.</w:t>
            </w:r>
          </w:p>
        </w:tc>
        <w:tc>
          <w:tcPr>
            <w:tcW w:w="910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7A.</w:t>
            </w:r>
          </w:p>
        </w:tc>
        <w:tc>
          <w:tcPr>
            <w:tcW w:w="910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8.</w:t>
            </w:r>
          </w:p>
        </w:tc>
        <w:tc>
          <w:tcPr>
            <w:tcW w:w="9100" w:type="dxa"/>
            <w:vAlign w:val="bottom"/>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9.</w:t>
            </w:r>
          </w:p>
        </w:tc>
        <w:tc>
          <w:tcPr>
            <w:tcW w:w="9100" w:type="dxa"/>
            <w:vAlign w:val="bottom"/>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9A.</w:t>
            </w:r>
          </w:p>
        </w:tc>
        <w:tc>
          <w:tcPr>
            <w:tcW w:w="910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Item 9B.</w:t>
            </w:r>
          </w:p>
        </w:tc>
        <w:tc>
          <w:tcPr>
            <w:tcW w:w="91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432"/>
        </w:trPr>
        <w:tc>
          <w:tcPr>
            <w:tcW w:w="920" w:type="dxa"/>
            <w:vAlign w:val="bottom"/>
          </w:tcPr>
          <w:p>
            <w:pPr>
              <w:spacing w:after="0"/>
              <w:rPr>
                <w:sz w:val="24"/>
                <w:szCs w:val="24"/>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rPr>
              <w:t>PART III</w:t>
            </w:r>
          </w:p>
        </w:tc>
        <w:tc>
          <w:tcPr>
            <w:tcW w:w="1400" w:type="dxa"/>
            <w:vAlign w:val="bottom"/>
          </w:tcPr>
          <w:p>
            <w:pPr>
              <w:spacing w:after="0"/>
              <w:rPr>
                <w:sz w:val="24"/>
                <w:szCs w:val="24"/>
                <w:color w:val="auto"/>
              </w:rPr>
            </w:pPr>
          </w:p>
        </w:tc>
      </w:tr>
      <w:tr>
        <w:trPr>
          <w:trHeight w:val="418"/>
        </w:trPr>
        <w:tc>
          <w:tcPr>
            <w:tcW w:w="920" w:type="dxa"/>
            <w:vAlign w:val="bottom"/>
          </w:tcPr>
          <w:p>
            <w:pPr>
              <w:ind w:left="120"/>
              <w:spacing w:after="0"/>
              <w:rPr>
                <w:sz w:val="20"/>
                <w:szCs w:val="20"/>
                <w:color w:val="auto"/>
              </w:rPr>
            </w:pPr>
            <w:r>
              <w:rPr>
                <w:rFonts w:ascii="Arial" w:cs="Arial" w:eastAsia="Arial" w:hAnsi="Arial"/>
                <w:sz w:val="18"/>
                <w:szCs w:val="18"/>
                <w:color w:val="auto"/>
              </w:rPr>
              <w:t>Item 10.</w:t>
            </w:r>
          </w:p>
        </w:tc>
        <w:tc>
          <w:tcPr>
            <w:tcW w:w="9100" w:type="dxa"/>
            <w:vAlign w:val="bottom"/>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11.</w:t>
            </w:r>
          </w:p>
        </w:tc>
        <w:tc>
          <w:tcPr>
            <w:tcW w:w="910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12.</w:t>
            </w:r>
          </w:p>
        </w:tc>
        <w:tc>
          <w:tcPr>
            <w:tcW w:w="9100" w:type="dxa"/>
            <w:vAlign w:val="bottom"/>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13.</w:t>
            </w:r>
          </w:p>
        </w:tc>
        <w:tc>
          <w:tcPr>
            <w:tcW w:w="9100" w:type="dxa"/>
            <w:vAlign w:val="bottom"/>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Item 14.</w:t>
            </w:r>
          </w:p>
        </w:tc>
        <w:tc>
          <w:tcPr>
            <w:tcW w:w="9100" w:type="dxa"/>
            <w:vAlign w:val="bottom"/>
          </w:tcPr>
          <w:p>
            <w:pPr>
              <w:ind w:left="20"/>
              <w:spacing w:after="0"/>
              <w:rPr>
                <w:sz w:val="20"/>
                <w:szCs w:val="20"/>
                <w:color w:val="auto"/>
              </w:rPr>
            </w:pPr>
            <w:r>
              <w:rPr>
                <w:rFonts w:ascii="Arial" w:cs="Arial" w:eastAsia="Arial" w:hAnsi="Arial"/>
                <w:sz w:val="18"/>
                <w:szCs w:val="18"/>
                <w:color w:val="auto"/>
              </w:rPr>
              <w:t>Principal Accounting Fees and Services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432"/>
        </w:trPr>
        <w:tc>
          <w:tcPr>
            <w:tcW w:w="920" w:type="dxa"/>
            <w:vAlign w:val="bottom"/>
          </w:tcPr>
          <w:p>
            <w:pPr>
              <w:spacing w:after="0"/>
              <w:rPr>
                <w:sz w:val="24"/>
                <w:szCs w:val="24"/>
                <w:color w:val="auto"/>
              </w:rPr>
            </w:pPr>
          </w:p>
        </w:tc>
        <w:tc>
          <w:tcPr>
            <w:tcW w:w="9100" w:type="dxa"/>
            <w:vAlign w:val="bottom"/>
          </w:tcPr>
          <w:p>
            <w:pPr>
              <w:jc w:val="center"/>
              <w:ind w:left="410"/>
              <w:spacing w:after="0"/>
              <w:rPr>
                <w:sz w:val="20"/>
                <w:szCs w:val="20"/>
                <w:color w:val="auto"/>
              </w:rPr>
            </w:pPr>
            <w:r>
              <w:rPr>
                <w:rFonts w:ascii="Arial" w:cs="Arial" w:eastAsia="Arial" w:hAnsi="Arial"/>
                <w:sz w:val="18"/>
                <w:szCs w:val="18"/>
                <w:b w:val="1"/>
                <w:bCs w:val="1"/>
                <w:color w:val="auto"/>
              </w:rPr>
              <w:t>PART IV</w:t>
            </w:r>
          </w:p>
        </w:tc>
        <w:tc>
          <w:tcPr>
            <w:tcW w:w="1400" w:type="dxa"/>
            <w:vAlign w:val="bottom"/>
          </w:tcPr>
          <w:p>
            <w:pPr>
              <w:spacing w:after="0"/>
              <w:rPr>
                <w:sz w:val="24"/>
                <w:szCs w:val="24"/>
                <w:color w:val="auto"/>
              </w:rPr>
            </w:pPr>
          </w:p>
        </w:tc>
      </w:tr>
      <w:tr>
        <w:trPr>
          <w:trHeight w:val="418"/>
        </w:trPr>
        <w:tc>
          <w:tcPr>
            <w:tcW w:w="920" w:type="dxa"/>
            <w:vAlign w:val="bottom"/>
          </w:tcPr>
          <w:p>
            <w:pPr>
              <w:ind w:left="120"/>
              <w:spacing w:after="0"/>
              <w:rPr>
                <w:sz w:val="20"/>
                <w:szCs w:val="20"/>
                <w:color w:val="auto"/>
              </w:rPr>
            </w:pPr>
            <w:r>
              <w:rPr>
                <w:rFonts w:ascii="Arial" w:cs="Arial" w:eastAsia="Arial" w:hAnsi="Arial"/>
                <w:sz w:val="18"/>
                <w:szCs w:val="18"/>
                <w:color w:val="auto"/>
              </w:rPr>
              <w:t>Item 15.</w:t>
            </w:r>
          </w:p>
        </w:tc>
        <w:tc>
          <w:tcPr>
            <w:tcW w:w="9100" w:type="dxa"/>
            <w:vAlign w:val="bottom"/>
          </w:tcPr>
          <w:p>
            <w:pPr>
              <w:ind w:left="20"/>
              <w:spacing w:after="0"/>
              <w:rPr>
                <w:sz w:val="20"/>
                <w:szCs w:val="20"/>
                <w:color w:val="auto"/>
              </w:rPr>
            </w:pPr>
            <w:r>
              <w:rPr>
                <w:rFonts w:ascii="Arial" w:cs="Arial" w:eastAsia="Arial" w:hAnsi="Arial"/>
                <w:sz w:val="18"/>
                <w:szCs w:val="18"/>
                <w:color w:val="auto"/>
              </w:rPr>
              <w:t>Exhibits, Financial Statement Schedules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16.</w:t>
            </w:r>
          </w:p>
        </w:tc>
        <w:tc>
          <w:tcPr>
            <w:tcW w:w="9100" w:type="dxa"/>
            <w:vAlign w:val="bottom"/>
          </w:tcPr>
          <w:p>
            <w:pPr>
              <w:ind w:left="20"/>
              <w:spacing w:after="0"/>
              <w:rPr>
                <w:sz w:val="20"/>
                <w:szCs w:val="20"/>
                <w:color w:val="auto"/>
              </w:rPr>
            </w:pPr>
            <w:r>
              <w:rPr>
                <w:rFonts w:ascii="Arial" w:cs="Arial" w:eastAsia="Arial" w:hAnsi="Arial"/>
                <w:sz w:val="18"/>
                <w:szCs w:val="18"/>
                <w:color w:val="auto"/>
              </w:rPr>
              <w:t>Form 10-K Summary</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10020" w:type="dxa"/>
            <w:vAlign w:val="bottom"/>
            <w:gridSpan w:val="2"/>
          </w:tcPr>
          <w:p>
            <w:pPr>
              <w:ind w:left="120"/>
              <w:spacing w:after="0"/>
              <w:rPr>
                <w:sz w:val="20"/>
                <w:szCs w:val="20"/>
                <w:color w:val="auto"/>
              </w:rPr>
            </w:pPr>
            <w:r>
              <w:rPr>
                <w:rFonts w:ascii="Arial" w:cs="Arial" w:eastAsia="Arial" w:hAnsi="Arial"/>
                <w:sz w:val="18"/>
                <w:szCs w:val="18"/>
                <w:color w:val="auto"/>
              </w:rPr>
              <w:t>Financial Section</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10020" w:type="dxa"/>
            <w:vAlign w:val="bottom"/>
            <w:gridSpan w:val="2"/>
          </w:tcPr>
          <w:p>
            <w:pPr>
              <w:ind w:left="120"/>
              <w:spacing w:after="0"/>
              <w:rPr>
                <w:sz w:val="20"/>
                <w:szCs w:val="20"/>
                <w:color w:val="auto"/>
              </w:rPr>
            </w:pPr>
            <w:r>
              <w:rPr>
                <w:rFonts w:ascii="Arial" w:cs="Arial" w:eastAsia="Arial" w:hAnsi="Arial"/>
                <w:sz w:val="18"/>
                <w:szCs w:val="18"/>
                <w:color w:val="auto"/>
              </w:rPr>
              <w:t>Index to Exhibits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w w:val="90"/>
              </w:rPr>
              <w:t>Signatures</w:t>
            </w:r>
          </w:p>
        </w:tc>
        <w:tc>
          <w:tcPr>
            <w:tcW w:w="9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30"/>
        </w:trPr>
        <w:tc>
          <w:tcPr>
            <w:tcW w:w="10020" w:type="dxa"/>
            <w:vAlign w:val="bottom"/>
            <w:gridSpan w:val="2"/>
          </w:tcPr>
          <w:p>
            <w:pPr>
              <w:ind w:left="120"/>
              <w:spacing w:after="0"/>
              <w:rPr>
                <w:sz w:val="20"/>
                <w:szCs w:val="20"/>
                <w:color w:val="auto"/>
              </w:rPr>
            </w:pPr>
            <w:r>
              <w:rPr>
                <w:rFonts w:ascii="Arial" w:cs="Arial" w:eastAsia="Arial" w:hAnsi="Arial"/>
                <w:sz w:val="18"/>
                <w:szCs w:val="18"/>
                <w:color w:val="auto"/>
              </w:rPr>
              <w:t>Exhibits 31 and 32 — Certifications</w:t>
            </w:r>
          </w:p>
        </w:tc>
        <w:tc>
          <w:tcPr>
            <w:tcW w:w="1400" w:type="dxa"/>
            <w:vAlign w:val="bottom"/>
          </w:tcPr>
          <w:p>
            <w:pPr>
              <w:spacing w:after="0"/>
              <w:rPr>
                <w:sz w:val="20"/>
                <w:szCs w:val="20"/>
                <w:color w:val="auto"/>
              </w:rPr>
            </w:pPr>
          </w:p>
        </w:tc>
      </w:tr>
      <w:tr>
        <w:trPr>
          <w:trHeight w:val="1250"/>
        </w:trPr>
        <w:tc>
          <w:tcPr>
            <w:tcW w:w="92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7"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Exxon Mobil Corporation was incorporated in the State of New Jersey in 1882. Divisions and affiliated companies of ExxonMobil operate or market products in the United States and most other countries of the world. Their principal business involves exploration for, and production of, crude oil and natural gas and manufacture, trade, transport and sale of crude oil, natural gas, petroleum products, petrochemicals and a wide variety of specialty products. Affiliates of ExxonMobil conduct extensive research programs in support of these businesses.</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Exxon Mobil Corporation has several divisions and hundreds of affiliates, many with names that include </w:t>
      </w:r>
      <w:r>
        <w:rPr>
          <w:rFonts w:ascii="Arial" w:cs="Arial" w:eastAsia="Arial" w:hAnsi="Arial"/>
          <w:sz w:val="17"/>
          <w:szCs w:val="17"/>
          <w:i w:val="1"/>
          <w:iCs w:val="1"/>
          <w:color w:val="auto"/>
        </w:rPr>
        <w:t>ExxonMobil</w:t>
      </w:r>
      <w:r>
        <w:rPr>
          <w:rFonts w:ascii="Arial" w:cs="Arial" w:eastAsia="Arial" w:hAnsi="Arial"/>
          <w:sz w:val="17"/>
          <w:szCs w:val="17"/>
          <w:color w:val="auto"/>
        </w:rPr>
        <w:t xml:space="preserve">, </w:t>
      </w:r>
      <w:r>
        <w:rPr>
          <w:rFonts w:ascii="Arial" w:cs="Arial" w:eastAsia="Arial" w:hAnsi="Arial"/>
          <w:sz w:val="17"/>
          <w:szCs w:val="17"/>
          <w:i w:val="1"/>
          <w:iCs w:val="1"/>
          <w:color w:val="auto"/>
        </w:rPr>
        <w:t>Exxon</w:t>
      </w:r>
      <w:r>
        <w:rPr>
          <w:rFonts w:ascii="Arial" w:cs="Arial" w:eastAsia="Arial" w:hAnsi="Arial"/>
          <w:sz w:val="17"/>
          <w:szCs w:val="17"/>
          <w:color w:val="auto"/>
        </w:rPr>
        <w:t xml:space="preserve">, </w:t>
      </w:r>
      <w:r>
        <w:rPr>
          <w:rFonts w:ascii="Arial" w:cs="Arial" w:eastAsia="Arial" w:hAnsi="Arial"/>
          <w:sz w:val="17"/>
          <w:szCs w:val="17"/>
          <w:i w:val="1"/>
          <w:iCs w:val="1"/>
          <w:color w:val="auto"/>
        </w:rPr>
        <w:t>Esso, Mobil</w:t>
      </w:r>
      <w:r>
        <w:rPr>
          <w:rFonts w:ascii="Arial" w:cs="Arial" w:eastAsia="Arial" w:hAnsi="Arial"/>
          <w:sz w:val="17"/>
          <w:szCs w:val="17"/>
          <w:color w:val="auto"/>
        </w:rPr>
        <w:t xml:space="preserve"> or </w:t>
      </w:r>
      <w:r>
        <w:rPr>
          <w:rFonts w:ascii="Arial" w:cs="Arial" w:eastAsia="Arial" w:hAnsi="Arial"/>
          <w:sz w:val="17"/>
          <w:szCs w:val="17"/>
          <w:i w:val="1"/>
          <w:iCs w:val="1"/>
          <w:color w:val="auto"/>
        </w:rPr>
        <w:t>XTO</w:t>
      </w:r>
      <w:r>
        <w:rPr>
          <w:rFonts w:ascii="Arial" w:cs="Arial" w:eastAsia="Arial" w:hAnsi="Arial"/>
          <w:sz w:val="17"/>
          <w:szCs w:val="17"/>
          <w:color w:val="auto"/>
        </w:rPr>
        <w:t xml:space="preserve">. For convenience and simplicity, in this report the terms </w:t>
      </w:r>
      <w:r>
        <w:rPr>
          <w:rFonts w:ascii="Arial" w:cs="Arial" w:eastAsia="Arial" w:hAnsi="Arial"/>
          <w:sz w:val="17"/>
          <w:szCs w:val="17"/>
          <w:i w:val="1"/>
          <w:iCs w:val="1"/>
          <w:color w:val="auto"/>
        </w:rPr>
        <w:t>ExxonMobil, Exxon, Esso, Mobil</w:t>
      </w:r>
      <w:r>
        <w:rPr>
          <w:rFonts w:ascii="Arial" w:cs="Arial" w:eastAsia="Arial" w:hAnsi="Arial"/>
          <w:sz w:val="17"/>
          <w:szCs w:val="17"/>
          <w:color w:val="auto"/>
        </w:rPr>
        <w:t xml:space="preserve"> and </w:t>
      </w:r>
      <w:r>
        <w:rPr>
          <w:rFonts w:ascii="Arial" w:cs="Arial" w:eastAsia="Arial" w:hAnsi="Arial"/>
          <w:sz w:val="17"/>
          <w:szCs w:val="17"/>
          <w:i w:val="1"/>
          <w:iCs w:val="1"/>
          <w:color w:val="auto"/>
        </w:rPr>
        <w:t>XTO</w:t>
      </w:r>
      <w:r>
        <w:rPr>
          <w:rFonts w:ascii="Arial" w:cs="Arial" w:eastAsia="Arial" w:hAnsi="Arial"/>
          <w:sz w:val="17"/>
          <w:szCs w:val="17"/>
          <w:color w:val="auto"/>
        </w:rPr>
        <w:t xml:space="preserve">, as well as terms like </w:t>
      </w:r>
      <w:r>
        <w:rPr>
          <w:rFonts w:ascii="Arial" w:cs="Arial" w:eastAsia="Arial" w:hAnsi="Arial"/>
          <w:sz w:val="17"/>
          <w:szCs w:val="17"/>
          <w:i w:val="1"/>
          <w:iCs w:val="1"/>
          <w:color w:val="auto"/>
        </w:rPr>
        <w:t>Corporation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we</w:t>
      </w:r>
      <w:r>
        <w:rPr>
          <w:rFonts w:ascii="Arial" w:cs="Arial" w:eastAsia="Arial" w:hAnsi="Arial"/>
          <w:sz w:val="17"/>
          <w:szCs w:val="17"/>
          <w:color w:val="auto"/>
        </w:rPr>
        <w:t xml:space="preserve"> and </w:t>
      </w:r>
      <w:r>
        <w:rPr>
          <w:rFonts w:ascii="Arial" w:cs="Arial" w:eastAsia="Arial" w:hAnsi="Arial"/>
          <w:sz w:val="17"/>
          <w:szCs w:val="17"/>
          <w:i w:val="1"/>
          <w:iCs w:val="1"/>
          <w:color w:val="auto"/>
        </w:rPr>
        <w:t>its</w:t>
      </w:r>
      <w:r>
        <w:rPr>
          <w:rFonts w:ascii="Arial" w:cs="Arial" w:eastAsia="Arial" w:hAnsi="Arial"/>
          <w:sz w:val="17"/>
          <w:szCs w:val="17"/>
          <w:color w:val="auto"/>
        </w:rPr>
        <w:t>, are sometimes used as abbreviated references to specific affiliates or groups of affiliates. The precise meaning depends on the context in question.</w:t>
      </w:r>
    </w:p>
    <w:p>
      <w:pPr>
        <w:spacing w:after="0" w:line="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energy and petrochemical industries are highly competitive. There is competition within the industries and also with other industries in supplying the energy, fuel and chemical needs of both industrial and individual consumers. The Corporation competes with other firms in the sale or purchase of needed goods and services in many national and international markets and employs all methods of competition which are lawful and appropriate for such purposes.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data and industry segment information for the Corporation are contained in the Financial Section of this report under the following: “Quarterly Information”, “Note 18: Disclosures about Segments and Related Information” and “Operating Information”. Information on oil and gas reserves is contained in the “Oil and Gas Reserves” part of the “Supplemental Information on Oil and Gas Exploration and Production Activities” portion of the Financial Section of this report.</w:t>
      </w:r>
    </w:p>
    <w:p>
      <w:pPr>
        <w:spacing w:after="0" w:line="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ExxonMobil has a long-standing commitment to the development of proprietary technology. We have a wide array of research programs designed to meet the needs identified in each of our business segments. ExxonMobil held over 13 thousand active patents worldwide at the end of 2019. For technology licensed to third parties, revenues totaled approximately $79 million in 2019.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regular employees was 74.9 thousand, 71.0 thousand, and 69.6 thousand at years ended 2019, 2018, and 2017, respectively. Regular employees are defined as active executive, management, professional, technical and wage employees who work full time or part time for the Corporation and are covered by the Corporation’s benefit plans and programs.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2019 worldwide environmental expenditures for all such preventative and remediation steps, including ExxonMobil’s share of equity company expenditures, were $5.2 billion, of which $4.0 billion were included in expenses with the remainder in capital expenditures. The total cost for such activities is expected to increase to approximately $5.9 billion in 2020 and 2021. Capital expenditures are expected to account for approximately 35 percent of the total.</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concerning the source and availability of raw materials used in the Corporation’s business, the extent of seasonality in the business, the possibility of renegotiation of profits or termination of contracts at the election of governments and risks attendant to foreign operations may be found in “Item 1A. Risk Factors” and “Item 2. Properties” in this report.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ExxonMobil maintains a website at exxonmobil.com. Our annual report on Form 10-K, quarterly reports on Form 10-Q, current reports on Form 8-K and any amendments to those reports filed or furnished pursuant to Section 13(a) of the Securities Exchange Act of 1934 are made available through our website as soon as reasonably practical after we electronically file or furnish the reports to the Securities and Exchange Commission (SEC). Also available on the Corporation’s website are the Company’s Corporate Governance Guidelines, Code of Ethics and Business Conduct, and additional policies as well as the charters of the audit, compensation, nominating, and other committees of the Board of Directors. Information on our website is not incorporated into this report.</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financial and operating results are subject to a variety of risks inherent in the global oil, gas, and petrochemical businesses. Many of these risk factors are not within the Company’s control and could adversely affect our business, our financial and operating results, or our financial condition. These risk factors include: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Demand</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oil, gas, and petrochemical businesses are fundamentally commodity businesses. This means ExxonMobil’s operations and earnings may be significantly affected by changes in oil, gas, and petrochemical prices and by changes in margins on refined products. Oil, gas, petrochemical, and product prices and margins in turn depend on local, regional, and global events or conditions that affect supply and demand for the relevant commodity. Any material decline in oil or natural gas prices could have a material adverse effect on certain of the Company’s operations, especially in the Upstream segment, financial condition, and proved reserves. On the other hand, a material increase in oil or natural gas prices could have a material adverse effect on certain of the Company’s operations, especially in the Downstream and Chemical segments.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Economic conditions. </w:t>
      </w:r>
      <w:r>
        <w:rPr>
          <w:rFonts w:ascii="Arial" w:cs="Arial" w:eastAsia="Arial" w:hAnsi="Arial"/>
          <w:sz w:val="18"/>
          <w:szCs w:val="18"/>
          <w:color w:val="auto"/>
        </w:rPr>
        <w:t>The demand for energy and petrochemicals is generally linked closely with broad-based economic activities and levels of prosperity.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recessions or other periods of low or negative economic growth will typically have a direct adverse impact on our results. Other factors that affect general economic conditions in the world or in a major region, such as changes in population growth rates, periods of civil unrest, government austerity programs, trade tariffs, security or public health concerns, or currency exchange rate fluctuations, can also impact the demand for energy and petrochemicals. Sovereign debt downgrades, defaults, inability to access debt markets due to credit or legal constraints, liquidity crises, the breakup or restructuring of fiscal, monetary, or political systems such as the European Union, and other events or conditions that impair the functioning of financial markets and institutions also pose risks to ExxonMobil, including risks to the safety of our financial assets and to the ability of our partners and customers to fulfill their commitments to ExxonMobil.</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demand-related factors. </w:t>
      </w:r>
      <w:r>
        <w:rPr>
          <w:rFonts w:ascii="Arial" w:cs="Arial" w:eastAsia="Arial" w:hAnsi="Arial"/>
          <w:sz w:val="18"/>
          <w:szCs w:val="18"/>
          <w:color w:val="auto"/>
        </w:rPr>
        <w:t>Other factors that may affect the demand for oil, gas, and petrochemicals, and therefore impact our results,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technological improvements in energy efficiency; seasonal weather patterns; increased competitiveness of alternative energy sources; changes in technology that alter fuel choices, such as technological advances in energy storage that make wind and solar more competitive for power generation; changes in consumer preferences for our products, including consumer demand for alternative fueled or electric transportation; and broad-based changes in personal income levels.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Other supply-related factors. </w:t>
      </w:r>
      <w:r>
        <w:rPr>
          <w:rFonts w:ascii="Arial" w:cs="Arial" w:eastAsia="Arial" w:hAnsi="Arial"/>
          <w:sz w:val="18"/>
          <w:szCs w:val="18"/>
          <w:color w:val="auto"/>
        </w:rPr>
        <w:t>Commodity prices and margins also vary depending on a number of factors affecting supply. For example, increased supply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development of new oil and gas supply sources and technologies to enhance recovery from existing sources tend to reduce commodity prices to the extent such supply increases are not offset by commensurate growth in demand. Similarly, increases in industry refining or petrochemical manufacturing capacity relative to demand tend to reduce margins on the affected products. World oil, gas, and petrochemical supply levels can also be affected by factors that reduce available supplies, such as adherence by countries to OPEC production quotas and other agreements among sovereigns, and the occurrence of wars, hostile actions, natural disasters, disruptions in competitors’ operations, logistics constraints or unexpected unavailability of distribution channels that may disrupt supplies. Technological change can also alter the relative costs for competitors to find, produce, and refine oil and gas and to manufacture petrochemicals.</w:t>
      </w:r>
    </w:p>
    <w:p>
      <w:pPr>
        <w:spacing w:after="0" w:line="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market factors. </w:t>
      </w:r>
      <w:r>
        <w:rPr>
          <w:rFonts w:ascii="Arial" w:cs="Arial" w:eastAsia="Arial" w:hAnsi="Arial"/>
          <w:sz w:val="18"/>
          <w:szCs w:val="18"/>
          <w:color w:val="auto"/>
        </w:rPr>
        <w:t>ExxonMobil’s business results are also exposed to potential negative impacts due to changes in interest rates, inflation,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rates, and other local or regional market conditions.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Political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ExxonMobil’s results can be adversely affected by political or regulatory developments affecting our operations.</w:t>
      </w:r>
    </w:p>
    <w:p>
      <w:pPr>
        <w:spacing w:after="0" w:line="59"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b w:val="1"/>
          <w:bCs w:val="1"/>
          <w:color w:val="auto"/>
        </w:rPr>
        <w:t xml:space="preserve">Access limitations. </w:t>
      </w:r>
      <w:r>
        <w:rPr>
          <w:rFonts w:ascii="Arial" w:cs="Arial" w:eastAsia="Arial" w:hAnsi="Arial"/>
          <w:sz w:val="17"/>
          <w:szCs w:val="17"/>
          <w:color w:val="auto"/>
        </w:rPr>
        <w:t>A number of countries limit access to their oil and gas resources, or may place resources off-limits from development altogether.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on foreign investment in the oil and gas sector tend to increase in times of high commodity prices, when national governments may have less need of outside sources of private capital. Many countries also restrict the import or export of certain products based on point of origin.</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Restrictions on doing business. </w:t>
      </w:r>
      <w:r>
        <w:rPr>
          <w:rFonts w:ascii="Arial" w:cs="Arial" w:eastAsia="Arial" w:hAnsi="Arial"/>
          <w:sz w:val="17"/>
          <w:szCs w:val="17"/>
          <w:color w:val="auto"/>
        </w:rPr>
        <w:t>ExxonMobil is subject to laws and sanctions imposed by the United States or by other jurisdictions where we do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prohibit ExxonMobil or certain of its affiliates from doing business in certain countries, or restricting the kind of business that may be conducted. Such restrictions may provide a competitive advantage to competitors who may not be subject to comparable restrictions.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Lack of legal certainty. </w:t>
      </w:r>
      <w:r>
        <w:rPr>
          <w:rFonts w:ascii="Arial" w:cs="Arial" w:eastAsia="Arial" w:hAnsi="Arial"/>
          <w:sz w:val="16"/>
          <w:szCs w:val="16"/>
          <w:color w:val="auto"/>
        </w:rPr>
        <w:t>Some countries in which we do business lack well-developed legal systems, or have not yet adopted, or may be unable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clear regulatory frameworks for oil and gas development. Lack of legal certainty exposes our operations to increased risk of adverse or unpredictable actions by government officials, and also makes it more difficult for us to enforce our contracts. In some cases these risks can be partially offset by agreements to arbitrate disputes in an international forum, but the adequacy of this remedy may still depend on the local legal system to enforce an award.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16"/>
          <w:szCs w:val="16"/>
          <w:b w:val="1"/>
          <w:bCs w:val="1"/>
          <w:color w:val="auto"/>
        </w:rPr>
        <w:t xml:space="preserve">Regulatory and litigation risks. </w:t>
      </w:r>
      <w:r>
        <w:rPr>
          <w:rFonts w:ascii="Arial" w:cs="Arial" w:eastAsia="Arial" w:hAnsi="Arial"/>
          <w:sz w:val="16"/>
          <w:szCs w:val="16"/>
          <w:color w:val="auto"/>
        </w:rPr>
        <w:t>Even in countries with well-developed legal systems where ExxonMobil does business, we remain exposed to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law or interpretation of settled law (including changes that result from international treaties and accords) that could adversely affect our results, such as:</w:t>
      </w:r>
    </w:p>
    <w:p>
      <w:pPr>
        <w:ind w:left="720" w:right="4620"/>
        <w:spacing w:after="0" w:line="281" w:lineRule="auto"/>
        <w:rPr>
          <w:sz w:val="20"/>
          <w:szCs w:val="20"/>
          <w:color w:val="auto"/>
        </w:rPr>
      </w:pPr>
      <w:r>
        <w:rPr>
          <w:rFonts w:ascii="Arial" w:cs="Arial" w:eastAsia="Arial" w:hAnsi="Arial"/>
          <w:sz w:val="18"/>
          <w:szCs w:val="18"/>
          <w:color w:val="auto"/>
        </w:rPr>
        <w:t>increases in taxes, duties, or government royalty rates (including retroactive claims); price controls;</w:t>
      </w:r>
    </w:p>
    <w:p>
      <w:pPr>
        <w:spacing w:after="0" w:line="2" w:lineRule="exact"/>
        <w:rPr>
          <w:sz w:val="20"/>
          <w:szCs w:val="20"/>
          <w:color w:val="auto"/>
        </w:rPr>
      </w:pPr>
    </w:p>
    <w:p>
      <w:pPr>
        <w:ind w:left="660" w:firstLine="81"/>
        <w:spacing w:after="0" w:line="281" w:lineRule="auto"/>
        <w:rPr>
          <w:sz w:val="20"/>
          <w:szCs w:val="20"/>
          <w:color w:val="auto"/>
        </w:rPr>
      </w:pPr>
      <w:r>
        <w:rPr>
          <w:rFonts w:ascii="Arial" w:cs="Arial" w:eastAsia="Arial" w:hAnsi="Arial"/>
          <w:sz w:val="17"/>
          <w:szCs w:val="17"/>
          <w:color w:val="auto"/>
        </w:rPr>
        <w:t>changes in environmental regulations or other laws that increase our cost of compliance or reduce or delay available business opportunities (including changes in laws related to offshore drilling operations, water use, methane emissions, hydraulic fracturing or use of plastics);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adoption of regulations mandating efficiency standards, the use of alternative fuels or uncompetitive fuel components;</w:t>
      </w:r>
    </w:p>
    <w:p>
      <w:pPr>
        <w:spacing w:after="0" w:line="36" w:lineRule="exact"/>
        <w:rPr>
          <w:sz w:val="20"/>
          <w:szCs w:val="20"/>
          <w:color w:val="auto"/>
        </w:rPr>
      </w:pPr>
    </w:p>
    <w:p>
      <w:pPr>
        <w:ind w:left="660" w:firstLine="54"/>
        <w:spacing w:after="0" w:line="266" w:lineRule="auto"/>
        <w:rPr>
          <w:sz w:val="20"/>
          <w:szCs w:val="20"/>
          <w:color w:val="auto"/>
        </w:rPr>
      </w:pPr>
      <w:r>
        <w:rPr>
          <w:rFonts w:ascii="Arial" w:cs="Arial" w:eastAsia="Arial" w:hAnsi="Arial"/>
          <w:sz w:val="18"/>
          <w:szCs w:val="18"/>
          <w:color w:val="auto"/>
        </w:rPr>
        <w:t>adoption of government payment transparency regulations that could require us to disclose competitively sensitive commercial information, or that could cause us to violate the non-disclosure laws of other countries; and</w:t>
      </w:r>
    </w:p>
    <w:p>
      <w:pPr>
        <w:ind w:left="660" w:firstLine="68"/>
        <w:spacing w:after="0" w:line="277" w:lineRule="auto"/>
        <w:rPr>
          <w:sz w:val="20"/>
          <w:szCs w:val="20"/>
          <w:color w:val="auto"/>
        </w:rPr>
      </w:pPr>
      <w:r>
        <w:rPr>
          <w:rFonts w:ascii="Arial" w:cs="Arial" w:eastAsia="Arial" w:hAnsi="Arial"/>
          <w:sz w:val="18"/>
          <w:szCs w:val="18"/>
          <w:color w:val="auto"/>
        </w:rPr>
        <w:t>government actions to cancel contracts, re-denominate the official currency, renounce or default on obligations, renegotiate terms unilaterally, or expropriate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Legal remedies available to compensate us for expropriation or other takings may be inadequate.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may be adversely affected by the outcome of litigation, especially in countries such as the United States in which very large and unpredictable punitive damage awards may occur; by government enforcement proceedings alleging non-compliance with applicable laws or regulations; or by state and local government actors as well as private plaintiffs acting in parallel that attempt to use the legal system to promote public policy agendas, gain political notoriety, or obtain monetary awards from the Company.</w:t>
      </w:r>
    </w:p>
    <w:p>
      <w:pPr>
        <w:spacing w:after="0" w:line="21" w:lineRule="exact"/>
        <w:rPr>
          <w:sz w:val="20"/>
          <w:szCs w:val="20"/>
          <w:color w:val="auto"/>
        </w:rPr>
      </w:pPr>
    </w:p>
    <w:p>
      <w:pPr>
        <w:jc w:val="both"/>
        <w:spacing w:after="0" w:line="317" w:lineRule="auto"/>
        <w:rPr>
          <w:sz w:val="20"/>
          <w:szCs w:val="20"/>
          <w:color w:val="auto"/>
        </w:rPr>
      </w:pPr>
      <w:r>
        <w:rPr>
          <w:rFonts w:ascii="Arial" w:cs="Arial" w:eastAsia="Arial" w:hAnsi="Arial"/>
          <w:sz w:val="16"/>
          <w:szCs w:val="16"/>
          <w:b w:val="1"/>
          <w:bCs w:val="1"/>
          <w:color w:val="auto"/>
        </w:rPr>
        <w:t xml:space="preserve">Security concerns. </w:t>
      </w:r>
      <w:r>
        <w:rPr>
          <w:rFonts w:ascii="Arial" w:cs="Arial" w:eastAsia="Arial" w:hAnsi="Arial"/>
          <w:sz w:val="16"/>
          <w:szCs w:val="16"/>
          <w:color w:val="auto"/>
        </w:rPr>
        <w:t>Successful operation of particular facilities or projects may be disrupted by civil unrest, acts of sabotage or terrorism, cybersecurity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attacks, and other local security concerns. Such concerns may require us to incur greater costs for security or to shut down operations for a period of time.</w:t>
      </w:r>
    </w:p>
    <w:p>
      <w:pPr>
        <w:jc w:val="both"/>
        <w:spacing w:after="0" w:line="274" w:lineRule="auto"/>
        <w:rPr>
          <w:sz w:val="20"/>
          <w:szCs w:val="20"/>
          <w:color w:val="auto"/>
        </w:rPr>
      </w:pPr>
      <w:r>
        <w:rPr>
          <w:rFonts w:ascii="Arial" w:cs="Arial" w:eastAsia="Arial" w:hAnsi="Arial"/>
          <w:sz w:val="17"/>
          <w:szCs w:val="17"/>
          <w:b w:val="1"/>
          <w:bCs w:val="1"/>
          <w:color w:val="auto"/>
        </w:rPr>
        <w:t xml:space="preserve">Climate change and greenhouse gas restrictions. </w:t>
      </w:r>
      <w:r>
        <w:rPr>
          <w:rFonts w:ascii="Arial" w:cs="Arial" w:eastAsia="Arial" w:hAnsi="Arial"/>
          <w:sz w:val="17"/>
          <w:szCs w:val="17"/>
          <w:color w:val="auto"/>
        </w:rPr>
        <w:t>Due to concern over the risks of climate change, a number of countries have adopted, or are considering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adoption of, regulatory frameworks to reduce greenhouse gas emissions. These include adoption of cap and trade regimes, carbon taxes, minimum renewable usage requirements, restrictive permitting, increased efficiency standards, and incentives or mandates for renewable energy. Such policies could make our products more expensive, less competitive, lengthen project implementation times, and reduce demand for hydrocarbons, as well as shift hydrocarbon demand toward relatively lower-carbon sources such as natural gas. Current and pending greenhouse gas regulations or policies may also increase our compliance costs, such as for monitoring or sequestering emissions.</w:t>
      </w:r>
    </w:p>
    <w:p>
      <w:pPr>
        <w:spacing w:after="0" w:line="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Alternative energy. </w:t>
      </w:r>
      <w:r>
        <w:rPr>
          <w:rFonts w:ascii="Arial" w:cs="Arial" w:eastAsia="Arial" w:hAnsi="Arial"/>
          <w:sz w:val="17"/>
          <w:szCs w:val="17"/>
          <w:color w:val="auto"/>
        </w:rPr>
        <w:t>Many governments are providing tax advantages and other subsidies to support transitioning to alternative energy sources or are</w:t>
      </w:r>
      <w:r>
        <w:rPr>
          <w:rFonts w:ascii="Arial" w:cs="Arial" w:eastAsia="Arial" w:hAnsi="Arial"/>
          <w:sz w:val="17"/>
          <w:szCs w:val="17"/>
          <w:b w:val="1"/>
          <w:bCs w:val="1"/>
          <w:color w:val="auto"/>
        </w:rPr>
        <w:t xml:space="preserve"> </w:t>
      </w:r>
      <w:r>
        <w:rPr>
          <w:rFonts w:ascii="Arial" w:cs="Arial" w:eastAsia="Arial" w:hAnsi="Arial"/>
          <w:sz w:val="17"/>
          <w:szCs w:val="17"/>
          <w:color w:val="auto"/>
        </w:rPr>
        <w:t>mandating the use of specific fuels or technologies. Governments and others are also promoting research into new technologies to reduce the cost and increase the scalability of alternative energy sources. We are conducting our own research both in-house and by working with more than 80 leading universities around the world, including the Massachusetts Institute of Technology, Princeton University, The University of Texas, and Stanford University. Our research projects focus on developing algae-based biofuels, carbon capture and storage, breakthrough energy efficiency processes, advanced energy-saving materials, and other technologies. For example, ExxonMobil is launching an innovative relationship with the U.S. Department of Energy’s National Laboratory network to bring low-emission energy breakthroughs to commercial scale. Our future results may depend in part on the success of our research efforts and on our ability to adapt and apply the strengths of our current business model to providing the energy products of the future in a cost-competitive manner. See “Operational and Other Factors”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Other Factors</w:t>
      </w:r>
    </w:p>
    <w:p>
      <w:pPr>
        <w:spacing w:after="0" w:line="67"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In addition to external economic and political factors, our future business results also depend on our ability to manage successfully those factors that are at least in part within our control. The extent to which we manage these factors will impact our performance relative to competition. For projects in which we are not the operator, we depend on the management effectiveness of one or more co-venturers whom we do not control.</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Exploration and development program. </w:t>
      </w:r>
      <w:r>
        <w:rPr>
          <w:rFonts w:ascii="Arial" w:cs="Arial" w:eastAsia="Arial" w:hAnsi="Arial"/>
          <w:sz w:val="18"/>
          <w:szCs w:val="18"/>
          <w:color w:val="auto"/>
        </w:rPr>
        <w:t>Our ability to maintain and grow our oil and gas production depends on the success of our exploration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efforts. Among other factors, we must continuously improve our ability to identify the most promising resource prospects and apply our project management expertise to bring discovered resources on line as scheduled and within budget.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7"/>
          <w:szCs w:val="17"/>
          <w:b w:val="1"/>
          <w:bCs w:val="1"/>
          <w:color w:val="auto"/>
        </w:rPr>
        <w:t xml:space="preserve">Project and portfolio management. </w:t>
      </w:r>
      <w:r>
        <w:rPr>
          <w:rFonts w:ascii="Arial" w:cs="Arial" w:eastAsia="Arial" w:hAnsi="Arial"/>
          <w:sz w:val="17"/>
          <w:szCs w:val="17"/>
          <w:color w:val="auto"/>
        </w:rPr>
        <w:t>The long-term success of ExxonMobil’s Upstream, Downstream, and Chemical businesses depends on complex, long-term, capital intensive projects. These projects in turn require a high degree of project management expertise to maximize efficiency. Specific factors that can affect the performance of major projects include our ability to: negotiate successfully with joint venturers, partners, governments, suppliers, customers, or others; model and optimize reservoir performance; develop markets for project outputs, whether through long-term contracts or the development of effective spot markets; manage changes in operating conditions and costs, including costs of third party equipment or services such as drilling rigs and shipping; prevent, to the extent possible, and respond effectively to unforeseen technical difficulties that could delay project startup or cause unscheduled project downtime; and influence the performance of project operators where ExxonMobil does not perform that role. In addition to the effective management of individual projects, ExxonMobil’s success, including our ability to mitigate risk and provide attractive returns to shareholders, depends on our ability to successfully manage our overall portfolio, including diversification among types and locations of our projects and strategies to divest assets. We may not be able to divest assets at a price or on the timeline we contemplate in our strategies. Additionally, we may retain certain liabilities following a divestment and could be held liable for past use or for different liabilities than anticipated.</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“project” as used in this report can refer to a variety of different activities and does not necessarily have the same meaning as in any government payment transparency reports.</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Operational efficiency. </w:t>
      </w:r>
      <w:r>
        <w:rPr>
          <w:rFonts w:ascii="Arial" w:cs="Arial" w:eastAsia="Arial" w:hAnsi="Arial"/>
          <w:sz w:val="18"/>
          <w:szCs w:val="18"/>
          <w:color w:val="auto"/>
        </w:rPr>
        <w:t>An important component of ExxonMobil’s competitive performance, especially given the commodity-based nature of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is our ability to operate efficiently, including our ability to manage expenses and improve production yields on an ongoing basis. This requires continuous management focus, including technology improvements, cost control, productivity enhancements, regular reappraisal of our asset portfolio, and the recruitment, development, and retention of high caliber employees.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Research and development and technological change. </w:t>
      </w:r>
      <w:r>
        <w:rPr>
          <w:rFonts w:ascii="Arial" w:cs="Arial" w:eastAsia="Arial" w:hAnsi="Arial"/>
          <w:sz w:val="18"/>
          <w:szCs w:val="18"/>
          <w:color w:val="auto"/>
        </w:rPr>
        <w:t>To maintain our competitive position, especially in light of the technological nature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and the need for continuous efficiency improvement, ExxonMobil’s research and development organizations must be successful and able to adapt to a changing market and policy environment, including developing technologies to help reduce greenhouse gas emissions. To remain competitive we must also continuously adapt and capture the benefits of new and emerging technologies, including successfully applying advances in the ability to process very large amounts of data to our businesses.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Safety, business controls, and environmental risk management. </w:t>
      </w:r>
      <w:r>
        <w:rPr>
          <w:rFonts w:ascii="Arial" w:cs="Arial" w:eastAsia="Arial" w:hAnsi="Arial"/>
          <w:sz w:val="17"/>
          <w:szCs w:val="17"/>
          <w:color w:val="auto"/>
        </w:rPr>
        <w:t>Our results depend on management’s ability to minimize the inherent risks of oil, gas, and</w:t>
      </w:r>
      <w:r>
        <w:rPr>
          <w:rFonts w:ascii="Arial" w:cs="Arial" w:eastAsia="Arial" w:hAnsi="Arial"/>
          <w:sz w:val="17"/>
          <w:szCs w:val="17"/>
          <w:b w:val="1"/>
          <w:bCs w:val="1"/>
          <w:color w:val="auto"/>
        </w:rPr>
        <w:t xml:space="preserve"> </w:t>
      </w:r>
      <w:r>
        <w:rPr>
          <w:rFonts w:ascii="Arial" w:cs="Arial" w:eastAsia="Arial" w:hAnsi="Arial"/>
          <w:sz w:val="17"/>
          <w:szCs w:val="17"/>
          <w:color w:val="auto"/>
        </w:rPr>
        <w:t>petrochemical operations, to control effectively our business activities, and to minimize the potential for human error. We apply rigorous management systems and continuous focus on workplace safety and avoiding spills or other adverse environmental events. For example, we work to minimize spills through a combined program of effective operations integrity management, ongoing upgrades, key equipment replacements, and comprehensive inspection and surveillance. Similarly, we are implementing cost-effective new technologies and adopting new operating practices to reduce air emissions, not only in response to government requirements but also to address community priorities. We also maintain a disciplined framework of internal controls and apply a controls management system for monitoring compliance with this framework. Substantial liabilities and other adverse impacts could result if our management systems and controls do not function as intended.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Cybersecurity. </w:t>
      </w:r>
      <w:r>
        <w:rPr>
          <w:rFonts w:ascii="Arial" w:cs="Arial" w:eastAsia="Arial" w:hAnsi="Arial"/>
          <w:sz w:val="17"/>
          <w:szCs w:val="17"/>
          <w:color w:val="auto"/>
        </w:rPr>
        <w:t>ExxonMobil is regularly subject to attempted cybersecurity disruptions from a variety of threat actors including state-sponsored actors.</w:t>
      </w:r>
      <w:r>
        <w:rPr>
          <w:rFonts w:ascii="Arial" w:cs="Arial" w:eastAsia="Arial" w:hAnsi="Arial"/>
          <w:sz w:val="17"/>
          <w:szCs w:val="17"/>
          <w:b w:val="1"/>
          <w:bCs w:val="1"/>
          <w:color w:val="auto"/>
        </w:rPr>
        <w:t xml:space="preserve"> </w:t>
      </w:r>
      <w:r>
        <w:rPr>
          <w:rFonts w:ascii="Arial" w:cs="Arial" w:eastAsia="Arial" w:hAnsi="Arial"/>
          <w:sz w:val="17"/>
          <w:szCs w:val="17"/>
          <w:color w:val="auto"/>
        </w:rPr>
        <w:t>ExxonMobil’s defensive preparedness includes multi-layered technological capabilities for prevention and detection of cybersecurity disruptions; non-technological measures such as threat information sharing with governmental and industry groups; internal training and awareness campaigns including routine testing of employee awareness and an emphasis on resiliency including business response and recovery. If the measures we are taking to protect against cybersecurity disruptions prove to be insufficient, ExxonMobil as well as our customers, employees, or third parties could be adversely affected. Cybersecurity disruptions could cause physical harm to people or the environment; damage or destroy assets; compromise business systems; result in proprietary information being altered, lost, or stolen; result in employee, customer, or third-party information being compromised; or otherwise disrupt our business operations. We could incur significant costs to remedy the effects of a major cybersecurity disruption in addition to costs in connection with resulting regulatory actions, litigation or reputational harm.</w:t>
      </w:r>
    </w:p>
    <w:p>
      <w:pPr>
        <w:spacing w:after="0" w:line="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Preparedness. </w:t>
      </w:r>
      <w:r>
        <w:rPr>
          <w:rFonts w:ascii="Arial" w:cs="Arial" w:eastAsia="Arial" w:hAnsi="Arial"/>
          <w:sz w:val="16"/>
          <w:szCs w:val="16"/>
          <w:color w:val="auto"/>
        </w:rPr>
        <w:t>Our operations may be disrupted by severe weather events, natural disasters, human error, and similar events. For example, hurricanes may</w:t>
      </w:r>
      <w:r>
        <w:rPr>
          <w:rFonts w:ascii="Arial" w:cs="Arial" w:eastAsia="Arial" w:hAnsi="Arial"/>
          <w:sz w:val="16"/>
          <w:szCs w:val="16"/>
          <w:b w:val="1"/>
          <w:bCs w:val="1"/>
          <w:color w:val="auto"/>
        </w:rPr>
        <w:t xml:space="preserve"> </w:t>
      </w:r>
      <w:r>
        <w:rPr>
          <w:rFonts w:ascii="Arial" w:cs="Arial" w:eastAsia="Arial" w:hAnsi="Arial"/>
          <w:sz w:val="16"/>
          <w:szCs w:val="16"/>
          <w:color w:val="auto"/>
        </w:rPr>
        <w:t>damage our offshore production facilities or coastal refining and petrochemical plants in vulnerable areas. Our facilities are designed, constructed, and operated to withstand a variety of extreme climatic and other conditions, with safety factors built in to cover a number of engineering uncertainties, including those associated with wave, wind, and current intensity, marine ice flow patterns, permafrost stability, storm surge magnitude, temperature extremes, extreme rainfall events, and earthquakes. Our consideration of changing weather conditions and inclusion of safety factors in design covers the engineering uncertainties that climate change and other events may potentially introduce. Our ability to mitigate the adverse impacts of these events depends in part upon the effectiveness of our robust facility engineering as well as our rigorous disaster preparedness and response and business continuity planning.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Insurance limitations. </w:t>
      </w:r>
      <w:r>
        <w:rPr>
          <w:rFonts w:ascii="Arial" w:cs="Arial" w:eastAsia="Arial" w:hAnsi="Arial"/>
          <w:sz w:val="18"/>
          <w:szCs w:val="18"/>
          <w:color w:val="auto"/>
        </w:rPr>
        <w:t>The ability of the Corporation to insure against many of the risks it faces as described in this Item 1A is limited by the capacity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insurance markets, which may not be sufficient.</w:t>
      </w:r>
    </w:p>
    <w:p>
      <w:pPr>
        <w:spacing w:after="0" w:line="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Competition. </w:t>
      </w:r>
      <w:r>
        <w:rPr>
          <w:rFonts w:ascii="Arial" w:cs="Arial" w:eastAsia="Arial" w:hAnsi="Arial"/>
          <w:sz w:val="16"/>
          <w:szCs w:val="16"/>
          <w:color w:val="auto"/>
        </w:rPr>
        <w:t>As noted in Item 1 above, the energy and petrochemical industries are highly competitive. We face competition not only from other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firms, but also from state-owned companies that are increasingly competing for opportunities outside of their home countries and as partners with other private firms. In some cases, these state-owned companies may pursue opportunities in furtherance of strategic objectives of their government owners, with less focus on financial returns than companies owned by private shareholders, such as ExxonMobil. Technology and expertise provided by industry service companies may also enhance the competitiveness of firms that may not have the internal resources and capabilities of ExxonMobil or reduce the need for resource-owning countries to partner with private-sector oil and gas companies in order to monetize national resources.</w:t>
      </w:r>
    </w:p>
    <w:p>
      <w:pPr>
        <w:spacing w:after="0" w:line="4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color w:val="auto"/>
        </w:rPr>
        <w:t xml:space="preserve">Reputation. </w:t>
      </w:r>
      <w:r>
        <w:rPr>
          <w:rFonts w:ascii="Arial" w:cs="Arial" w:eastAsia="Arial" w:hAnsi="Arial"/>
          <w:sz w:val="16"/>
          <w:szCs w:val="16"/>
          <w:color w:val="auto"/>
        </w:rPr>
        <w:t>Our reputation is an important corporate asset. An operating incident, significant cybersecurity disruption, change in consumer views concerning</w:t>
      </w:r>
      <w:r>
        <w:rPr>
          <w:rFonts w:ascii="Arial" w:cs="Arial" w:eastAsia="Arial" w:hAnsi="Arial"/>
          <w:sz w:val="16"/>
          <w:szCs w:val="16"/>
          <w:b w:val="1"/>
          <w:bCs w:val="1"/>
          <w:color w:val="auto"/>
        </w:rPr>
        <w:t xml:space="preserve"> </w:t>
      </w:r>
      <w:r>
        <w:rPr>
          <w:rFonts w:ascii="Arial" w:cs="Arial" w:eastAsia="Arial" w:hAnsi="Arial"/>
          <w:sz w:val="16"/>
          <w:szCs w:val="16"/>
          <w:color w:val="auto"/>
        </w:rPr>
        <w:t>our products, or other adverse event such as those described in this Item 1A may have a negative impact on our reputation, which in turn could make it more difficult for us to compete successfully for new opportunities, obtain necessary regulatory approvals, obtain financing, or could reduce consumer demand for our branded products. ExxonMobil’s reputation may also be harmed by events which negatively affect the image of our industry as a whole.</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Projections, estimates, and descriptions of ExxonMobil’s plans and objectives included or incorporated in Items 1, 1A, 2,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294"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tabs>
          <w:tab w:leader="none" w:pos="10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regard to oil and gas producing activities follows: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Disclosure of Reserves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Oil and Gas Reserves at Year-End 2019</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below summarizes the oil-equivalent proved reserves in each geographic area and by product type for consolidated subsidiaries and equity companies. Natural gas is converted to an oil-equivalent basis at six billion cubic feet per one million barrels. The Corporation has reported proved reserves on the basis of the average of the first-day-of-the-month price for each month during the last 12-month period. No major discovery or other favorable or adverse event has occurred since December 31, 2019, that would cause a significant change in the estimated proved reserves as of that date.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Oil-Equivalent</w:t>
            </w:r>
          </w:p>
        </w:tc>
      </w:tr>
      <w:tr>
        <w:trPr>
          <w:trHeight w:val="216"/>
        </w:trPr>
        <w:tc>
          <w:tcPr>
            <w:tcW w:w="2840" w:type="dxa"/>
            <w:vAlign w:val="bottom"/>
          </w:tcPr>
          <w:p>
            <w:pPr>
              <w:spacing w:after="0"/>
              <w:rPr>
                <w:sz w:val="18"/>
                <w:szCs w:val="18"/>
                <w:color w:val="auto"/>
              </w:rPr>
            </w:pPr>
          </w:p>
        </w:tc>
        <w:tc>
          <w:tcPr>
            <w:tcW w:w="156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Crude</w:t>
            </w:r>
          </w:p>
        </w:tc>
        <w:tc>
          <w:tcPr>
            <w:tcW w:w="142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Natural Gas</w:t>
            </w:r>
          </w:p>
        </w:tc>
        <w:tc>
          <w:tcPr>
            <w:tcW w:w="1440" w:type="dxa"/>
            <w:vAlign w:val="bottom"/>
          </w:tcPr>
          <w:p>
            <w:pPr>
              <w:spacing w:after="0"/>
              <w:rPr>
                <w:sz w:val="18"/>
                <w:szCs w:val="18"/>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Synthetic</w:t>
            </w:r>
          </w:p>
        </w:tc>
        <w:tc>
          <w:tcPr>
            <w:tcW w:w="144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Natural</w:t>
            </w:r>
          </w:p>
        </w:tc>
        <w:tc>
          <w:tcPr>
            <w:tcW w:w="13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2840" w:type="dxa"/>
            <w:vAlign w:val="bottom"/>
          </w:tcPr>
          <w:p>
            <w:pPr>
              <w:spacing w:after="0"/>
              <w:rPr>
                <w:sz w:val="18"/>
                <w:szCs w:val="18"/>
                <w:color w:val="auto"/>
              </w:rPr>
            </w:pPr>
          </w:p>
        </w:tc>
        <w:tc>
          <w:tcPr>
            <w:tcW w:w="156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Oil</w:t>
            </w:r>
          </w:p>
        </w:tc>
        <w:tc>
          <w:tcPr>
            <w:tcW w:w="1420" w:type="dxa"/>
            <w:vAlign w:val="bottom"/>
          </w:tcPr>
          <w:p>
            <w:pPr>
              <w:jc w:val="center"/>
              <w:ind w:right="172"/>
              <w:spacing w:after="0"/>
              <w:rPr>
                <w:sz w:val="20"/>
                <w:szCs w:val="20"/>
                <w:color w:val="auto"/>
              </w:rPr>
            </w:pPr>
            <w:r>
              <w:rPr>
                <w:rFonts w:ascii="Arial" w:cs="Arial" w:eastAsia="Arial" w:hAnsi="Arial"/>
                <w:sz w:val="14"/>
                <w:szCs w:val="14"/>
                <w:b w:val="1"/>
                <w:bCs w:val="1"/>
                <w:color w:val="auto"/>
                <w:w w:val="96"/>
              </w:rPr>
              <w:t>Liquids</w:t>
            </w:r>
          </w:p>
        </w:tc>
        <w:tc>
          <w:tcPr>
            <w:tcW w:w="1440" w:type="dxa"/>
            <w:vAlign w:val="bottom"/>
          </w:tcPr>
          <w:p>
            <w:pPr>
              <w:jc w:val="right"/>
              <w:ind w:right="491"/>
              <w:spacing w:after="0"/>
              <w:rPr>
                <w:sz w:val="20"/>
                <w:szCs w:val="20"/>
                <w:color w:val="auto"/>
              </w:rPr>
            </w:pPr>
            <w:r>
              <w:rPr>
                <w:rFonts w:ascii="Arial" w:cs="Arial" w:eastAsia="Arial" w:hAnsi="Arial"/>
                <w:sz w:val="14"/>
                <w:szCs w:val="14"/>
                <w:b w:val="1"/>
                <w:bCs w:val="1"/>
                <w:color w:val="auto"/>
              </w:rPr>
              <w:t>Bitumen</w:t>
            </w: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rPr>
              <w:t>Oil</w:t>
            </w:r>
          </w:p>
        </w:tc>
        <w:tc>
          <w:tcPr>
            <w:tcW w:w="144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Gas</w:t>
            </w:r>
          </w:p>
        </w:tc>
        <w:tc>
          <w:tcPr>
            <w:tcW w:w="13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All Products</w:t>
            </w:r>
          </w:p>
        </w:tc>
      </w:tr>
      <w:tr>
        <w:trPr>
          <w:trHeight w:val="26"/>
        </w:trPr>
        <w:tc>
          <w:tcPr>
            <w:tcW w:w="2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28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Arial" w:cs="Arial" w:eastAsia="Arial" w:hAnsi="Arial"/>
                <w:sz w:val="14"/>
                <w:szCs w:val="14"/>
                <w:i w:val="1"/>
                <w:iCs w:val="1"/>
                <w:color w:val="auto"/>
                <w:w w:val="99"/>
              </w:rPr>
              <w:t>(million bbls)</w:t>
            </w:r>
          </w:p>
        </w:tc>
        <w:tc>
          <w:tcPr>
            <w:tcW w:w="1420" w:type="dxa"/>
            <w:vAlign w:val="bottom"/>
          </w:tcPr>
          <w:p>
            <w:pPr>
              <w:jc w:val="center"/>
              <w:ind w:right="192"/>
              <w:spacing w:after="0"/>
              <w:rPr>
                <w:sz w:val="20"/>
                <w:szCs w:val="20"/>
                <w:color w:val="auto"/>
              </w:rPr>
            </w:pPr>
            <w:r>
              <w:rPr>
                <w:rFonts w:ascii="Arial" w:cs="Arial" w:eastAsia="Arial" w:hAnsi="Arial"/>
                <w:sz w:val="14"/>
                <w:szCs w:val="14"/>
                <w:i w:val="1"/>
                <w:iCs w:val="1"/>
                <w:color w:val="auto"/>
                <w:w w:val="99"/>
              </w:rPr>
              <w:t>(million bbls)</w:t>
            </w:r>
          </w:p>
        </w:tc>
        <w:tc>
          <w:tcPr>
            <w:tcW w:w="1440" w:type="dxa"/>
            <w:vAlign w:val="bottom"/>
          </w:tcPr>
          <w:p>
            <w:pPr>
              <w:jc w:val="right"/>
              <w:ind w:right="371"/>
              <w:spacing w:after="0"/>
              <w:rPr>
                <w:sz w:val="20"/>
                <w:szCs w:val="20"/>
                <w:color w:val="auto"/>
              </w:rPr>
            </w:pPr>
            <w:r>
              <w:rPr>
                <w:rFonts w:ascii="Arial" w:cs="Arial" w:eastAsia="Arial" w:hAnsi="Arial"/>
                <w:sz w:val="14"/>
                <w:szCs w:val="14"/>
                <w:i w:val="1"/>
                <w:iCs w:val="1"/>
                <w:color w:val="auto"/>
              </w:rPr>
              <w:t>(million bbls)</w:t>
            </w:r>
          </w:p>
        </w:tc>
        <w:tc>
          <w:tcPr>
            <w:tcW w:w="1400" w:type="dxa"/>
            <w:vAlign w:val="bottom"/>
          </w:tcPr>
          <w:p>
            <w:pPr>
              <w:jc w:val="center"/>
              <w:ind w:right="132"/>
              <w:spacing w:after="0"/>
              <w:rPr>
                <w:sz w:val="20"/>
                <w:szCs w:val="20"/>
                <w:color w:val="auto"/>
              </w:rPr>
            </w:pPr>
            <w:r>
              <w:rPr>
                <w:rFonts w:ascii="Arial" w:cs="Arial" w:eastAsia="Arial" w:hAnsi="Arial"/>
                <w:sz w:val="14"/>
                <w:szCs w:val="14"/>
                <w:i w:val="1"/>
                <w:iCs w:val="1"/>
                <w:color w:val="auto"/>
                <w:w w:val="99"/>
              </w:rPr>
              <w:t>(million bbls)</w:t>
            </w:r>
          </w:p>
        </w:tc>
        <w:tc>
          <w:tcPr>
            <w:tcW w:w="1440" w:type="dxa"/>
            <w:vAlign w:val="bottom"/>
          </w:tcPr>
          <w:p>
            <w:pPr>
              <w:jc w:val="center"/>
              <w:ind w:right="132"/>
              <w:spacing w:after="0"/>
              <w:rPr>
                <w:sz w:val="20"/>
                <w:szCs w:val="20"/>
                <w:color w:val="auto"/>
              </w:rPr>
            </w:pPr>
            <w:r>
              <w:rPr>
                <w:rFonts w:ascii="Arial" w:cs="Arial" w:eastAsia="Arial" w:hAnsi="Arial"/>
                <w:sz w:val="14"/>
                <w:szCs w:val="14"/>
                <w:i w:val="1"/>
                <w:iCs w:val="1"/>
                <w:color w:val="auto"/>
              </w:rPr>
              <w:t>(billion cubic ft)</w:t>
            </w:r>
          </w:p>
        </w:tc>
        <w:tc>
          <w:tcPr>
            <w:tcW w:w="1320" w:type="dxa"/>
            <w:vAlign w:val="bottom"/>
          </w:tcPr>
          <w:p>
            <w:pPr>
              <w:jc w:val="center"/>
              <w:ind w:right="12"/>
              <w:spacing w:after="0"/>
              <w:rPr>
                <w:sz w:val="20"/>
                <w:szCs w:val="20"/>
                <w:color w:val="auto"/>
              </w:rPr>
            </w:pPr>
            <w:r>
              <w:rPr>
                <w:rFonts w:ascii="Arial" w:cs="Arial" w:eastAsia="Arial" w:hAnsi="Arial"/>
                <w:sz w:val="14"/>
                <w:szCs w:val="14"/>
                <w:i w:val="1"/>
                <w:iCs w:val="1"/>
                <w:color w:val="auto"/>
                <w:w w:val="99"/>
              </w:rPr>
              <w:t>(million bbls)</w:t>
            </w:r>
          </w:p>
        </w:tc>
      </w:tr>
      <w:tr>
        <w:trPr>
          <w:trHeight w:val="223"/>
        </w:trPr>
        <w:tc>
          <w:tcPr>
            <w:tcW w:w="2840" w:type="dxa"/>
            <w:vAlign w:val="bottom"/>
          </w:tcPr>
          <w:p>
            <w:pPr>
              <w:spacing w:after="0"/>
              <w:rPr>
                <w:sz w:val="20"/>
                <w:szCs w:val="20"/>
                <w:color w:val="auto"/>
              </w:rPr>
            </w:pPr>
            <w:r>
              <w:rPr>
                <w:rFonts w:ascii="Arial" w:cs="Arial" w:eastAsia="Arial" w:hAnsi="Arial"/>
                <w:sz w:val="18"/>
                <w:szCs w:val="18"/>
                <w:b w:val="1"/>
                <w:bCs w:val="1"/>
                <w:color w:val="auto"/>
              </w:rPr>
              <w:t>Proved Reserves</w:t>
            </w: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2840" w:type="dxa"/>
            <w:vAlign w:val="bottom"/>
          </w:tcPr>
          <w:p>
            <w:pPr>
              <w:ind w:left="120"/>
              <w:spacing w:after="0"/>
              <w:rPr>
                <w:sz w:val="20"/>
                <w:szCs w:val="20"/>
                <w:color w:val="auto"/>
              </w:rPr>
            </w:pPr>
            <w:r>
              <w:rPr>
                <w:rFonts w:ascii="Arial" w:cs="Arial" w:eastAsia="Arial" w:hAnsi="Arial"/>
                <w:sz w:val="18"/>
                <w:szCs w:val="18"/>
                <w:b w:val="1"/>
                <w:bCs w:val="1"/>
                <w:color w:val="auto"/>
              </w:rPr>
              <w:t>Developed</w:t>
            </w: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1,226</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429</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11,882</w:t>
            </w:r>
          </w:p>
        </w:tc>
        <w:tc>
          <w:tcPr>
            <w:tcW w:w="1320" w:type="dxa"/>
            <w:vAlign w:val="bottom"/>
          </w:tcPr>
          <w:p>
            <w:pPr>
              <w:jc w:val="right"/>
              <w:spacing w:after="0"/>
              <w:rPr>
                <w:sz w:val="20"/>
                <w:szCs w:val="20"/>
                <w:color w:val="auto"/>
              </w:rPr>
            </w:pPr>
            <w:r>
              <w:rPr>
                <w:rFonts w:ascii="Arial" w:cs="Arial" w:eastAsia="Arial" w:hAnsi="Arial"/>
                <w:sz w:val="18"/>
                <w:szCs w:val="18"/>
                <w:color w:val="auto"/>
              </w:rPr>
              <w:t>3,635</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185</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3,528</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613</w:t>
            </w:r>
          </w:p>
        </w:tc>
        <w:tc>
          <w:tcPr>
            <w:tcW w:w="1320" w:type="dxa"/>
            <w:vAlign w:val="bottom"/>
          </w:tcPr>
          <w:p>
            <w:pPr>
              <w:jc w:val="right"/>
              <w:spacing w:after="0"/>
              <w:rPr>
                <w:sz w:val="20"/>
                <w:szCs w:val="20"/>
                <w:color w:val="auto"/>
              </w:rPr>
            </w:pPr>
            <w:r>
              <w:rPr>
                <w:rFonts w:ascii="Arial" w:cs="Arial" w:eastAsia="Arial" w:hAnsi="Arial"/>
                <w:sz w:val="18"/>
                <w:szCs w:val="18"/>
                <w:color w:val="auto"/>
              </w:rPr>
              <w:t>4,240</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Europe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502</w:t>
            </w: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Africa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384</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377</w:t>
            </w:r>
          </w:p>
        </w:tc>
        <w:tc>
          <w:tcPr>
            <w:tcW w:w="13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Asia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2,217</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3,508</w:t>
            </w:r>
          </w:p>
        </w:tc>
        <w:tc>
          <w:tcPr>
            <w:tcW w:w="132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30"/>
        </w:trPr>
        <w:tc>
          <w:tcPr>
            <w:tcW w:w="2840" w:type="dxa"/>
            <w:vAlign w:val="bottom"/>
          </w:tcPr>
          <w:p>
            <w:pPr>
              <w:ind w:left="340"/>
              <w:spacing w:after="0"/>
              <w:rPr>
                <w:sz w:val="20"/>
                <w:szCs w:val="20"/>
                <w:color w:val="auto"/>
              </w:rPr>
            </w:pPr>
            <w:r>
              <w:rPr>
                <w:rFonts w:ascii="Arial" w:cs="Arial" w:eastAsia="Arial" w:hAnsi="Arial"/>
                <w:sz w:val="18"/>
                <w:szCs w:val="18"/>
                <w:color w:val="auto"/>
              </w:rPr>
              <w:t>Australia/Oceania</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3,765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24"/>
        </w:trPr>
        <w:tc>
          <w:tcPr>
            <w:tcW w:w="284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4,095</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596</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3,528</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20,647</w:t>
            </w:r>
          </w:p>
        </w:tc>
        <w:tc>
          <w:tcPr>
            <w:tcW w:w="1320" w:type="dxa"/>
            <w:vAlign w:val="bottom"/>
          </w:tcPr>
          <w:p>
            <w:pPr>
              <w:jc w:val="right"/>
              <w:spacing w:after="0"/>
              <w:rPr>
                <w:sz w:val="20"/>
                <w:szCs w:val="20"/>
                <w:color w:val="auto"/>
              </w:rPr>
            </w:pPr>
            <w:r>
              <w:rPr>
                <w:rFonts w:ascii="Arial" w:cs="Arial" w:eastAsia="Arial" w:hAnsi="Arial"/>
                <w:sz w:val="18"/>
                <w:szCs w:val="18"/>
                <w:color w:val="auto"/>
              </w:rPr>
              <w:t>12,075</w:t>
            </w:r>
          </w:p>
        </w:tc>
      </w:tr>
      <w:tr>
        <w:trPr>
          <w:trHeight w:val="404"/>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143</w:t>
            </w: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Europe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505</w:t>
            </w: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Africa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340"/>
              <w:spacing w:after="0"/>
              <w:rPr>
                <w:sz w:val="20"/>
                <w:szCs w:val="20"/>
                <w:color w:val="auto"/>
              </w:rPr>
            </w:pPr>
            <w:r>
              <w:rPr>
                <w:rFonts w:ascii="Arial" w:cs="Arial" w:eastAsia="Arial" w:hAnsi="Arial"/>
                <w:sz w:val="18"/>
                <w:szCs w:val="18"/>
                <w:color w:val="auto"/>
              </w:rPr>
              <w:t>Asia</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499</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228</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9,859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r>
      <w:tr>
        <w:trPr>
          <w:trHeight w:val="210"/>
        </w:trPr>
        <w:tc>
          <w:tcPr>
            <w:tcW w:w="2840" w:type="dxa"/>
            <w:vAlign w:val="bottom"/>
          </w:tcPr>
          <w:p>
            <w:pPr>
              <w:ind w:left="440"/>
              <w:spacing w:after="0"/>
              <w:rPr>
                <w:sz w:val="20"/>
                <w:szCs w:val="20"/>
                <w:color w:val="auto"/>
              </w:rPr>
            </w:pPr>
            <w:r>
              <w:rPr>
                <w:rFonts w:ascii="Arial" w:cs="Arial" w:eastAsia="Arial" w:hAnsi="Arial"/>
                <w:sz w:val="18"/>
                <w:szCs w:val="18"/>
                <w:color w:val="auto"/>
              </w:rPr>
              <w:t>Total Equity Company</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707</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233</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10,507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r>
      <w:tr>
        <w:trPr>
          <w:trHeight w:val="224"/>
        </w:trPr>
        <w:tc>
          <w:tcPr>
            <w:tcW w:w="2840" w:type="dxa"/>
            <w:vAlign w:val="bottom"/>
          </w:tcPr>
          <w:p>
            <w:pPr>
              <w:ind w:left="440"/>
              <w:spacing w:after="0"/>
              <w:rPr>
                <w:sz w:val="20"/>
                <w:szCs w:val="20"/>
                <w:color w:val="auto"/>
              </w:rPr>
            </w:pPr>
            <w:r>
              <w:rPr>
                <w:rFonts w:ascii="Arial" w:cs="Arial" w:eastAsia="Arial" w:hAnsi="Arial"/>
                <w:sz w:val="18"/>
                <w:szCs w:val="18"/>
                <w:color w:val="auto"/>
              </w:rPr>
              <w:t>Total Developed</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4,802</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829</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3,528</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31,154</w:t>
            </w:r>
          </w:p>
        </w:tc>
        <w:tc>
          <w:tcPr>
            <w:tcW w:w="1320" w:type="dxa"/>
            <w:vAlign w:val="bottom"/>
          </w:tcPr>
          <w:p>
            <w:pPr>
              <w:jc w:val="right"/>
              <w:spacing w:after="0"/>
              <w:rPr>
                <w:sz w:val="20"/>
                <w:szCs w:val="20"/>
                <w:color w:val="auto"/>
              </w:rPr>
            </w:pPr>
            <w:r>
              <w:rPr>
                <w:rFonts w:ascii="Arial" w:cs="Arial" w:eastAsia="Arial" w:hAnsi="Arial"/>
                <w:sz w:val="18"/>
                <w:szCs w:val="18"/>
                <w:color w:val="auto"/>
              </w:rPr>
              <w:t>14,766</w:t>
            </w:r>
          </w:p>
        </w:tc>
      </w:tr>
      <w:tr>
        <w:trPr>
          <w:trHeight w:val="400"/>
        </w:trPr>
        <w:tc>
          <w:tcPr>
            <w:tcW w:w="2840" w:type="dxa"/>
            <w:vAlign w:val="bottom"/>
          </w:tcPr>
          <w:p>
            <w:pPr>
              <w:ind w:left="120"/>
              <w:spacing w:after="0"/>
              <w:rPr>
                <w:sz w:val="20"/>
                <w:szCs w:val="20"/>
                <w:color w:val="auto"/>
              </w:rPr>
            </w:pPr>
            <w:r>
              <w:rPr>
                <w:rFonts w:ascii="Arial" w:cs="Arial" w:eastAsia="Arial" w:hAnsi="Arial"/>
                <w:sz w:val="18"/>
                <w:szCs w:val="18"/>
                <w:b w:val="1"/>
                <w:bCs w:val="1"/>
                <w:color w:val="auto"/>
              </w:rPr>
              <w:t>Undeveloped</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1,862</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612</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7,144</w:t>
            </w:r>
          </w:p>
        </w:tc>
        <w:tc>
          <w:tcPr>
            <w:tcW w:w="1320" w:type="dxa"/>
            <w:vAlign w:val="bottom"/>
          </w:tcPr>
          <w:p>
            <w:pPr>
              <w:jc w:val="right"/>
              <w:spacing w:after="0"/>
              <w:rPr>
                <w:sz w:val="20"/>
                <w:szCs w:val="20"/>
                <w:color w:val="auto"/>
              </w:rPr>
            </w:pPr>
            <w:r>
              <w:rPr>
                <w:rFonts w:ascii="Arial" w:cs="Arial" w:eastAsia="Arial" w:hAnsi="Arial"/>
                <w:sz w:val="18"/>
                <w:szCs w:val="18"/>
                <w:color w:val="auto"/>
              </w:rPr>
              <w:t>3,665</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372</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330</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853</w:t>
            </w:r>
          </w:p>
        </w:tc>
        <w:tc>
          <w:tcPr>
            <w:tcW w:w="13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Europe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119</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Africa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Asia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1,118</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925</w:t>
            </w:r>
          </w:p>
        </w:tc>
        <w:tc>
          <w:tcPr>
            <w:tcW w:w="13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2840" w:type="dxa"/>
            <w:vAlign w:val="bottom"/>
          </w:tcPr>
          <w:p>
            <w:pPr>
              <w:ind w:left="340"/>
              <w:spacing w:after="0"/>
              <w:rPr>
                <w:sz w:val="20"/>
                <w:szCs w:val="20"/>
                <w:color w:val="auto"/>
              </w:rPr>
            </w:pPr>
            <w:r>
              <w:rPr>
                <w:rFonts w:ascii="Arial" w:cs="Arial" w:eastAsia="Arial" w:hAnsi="Arial"/>
                <w:sz w:val="18"/>
                <w:szCs w:val="18"/>
                <w:color w:val="auto"/>
              </w:rPr>
              <w:t>Australia/Oceania</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3,236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24"/>
        </w:trPr>
        <w:tc>
          <w:tcPr>
            <w:tcW w:w="2840" w:type="dxa"/>
            <w:vAlign w:val="bottom"/>
          </w:tcPr>
          <w:p>
            <w:pPr>
              <w:ind w:left="440"/>
              <w:spacing w:after="0"/>
              <w:rPr>
                <w:sz w:val="20"/>
                <w:szCs w:val="20"/>
                <w:color w:val="auto"/>
              </w:rPr>
            </w:pPr>
            <w:r>
              <w:rPr>
                <w:rFonts w:ascii="Arial" w:cs="Arial" w:eastAsia="Arial" w:hAnsi="Arial"/>
                <w:sz w:val="18"/>
                <w:szCs w:val="18"/>
                <w:color w:val="auto"/>
              </w:rPr>
              <w:t>Total Consolidated</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3,465</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679</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330</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12,277</w:t>
            </w:r>
          </w:p>
        </w:tc>
        <w:tc>
          <w:tcPr>
            <w:tcW w:w="1320" w:type="dxa"/>
            <w:vAlign w:val="bottom"/>
          </w:tcPr>
          <w:p>
            <w:pPr>
              <w:jc w:val="right"/>
              <w:spacing w:after="0"/>
              <w:rPr>
                <w:sz w:val="20"/>
                <w:szCs w:val="20"/>
                <w:color w:val="auto"/>
              </w:rPr>
            </w:pPr>
            <w:r>
              <w:rPr>
                <w:rFonts w:ascii="Arial" w:cs="Arial" w:eastAsia="Arial" w:hAnsi="Arial"/>
                <w:sz w:val="18"/>
                <w:szCs w:val="18"/>
                <w:color w:val="auto"/>
              </w:rPr>
              <w:t>6,521</w:t>
            </w:r>
          </w:p>
        </w:tc>
      </w:tr>
      <w:tr>
        <w:trPr>
          <w:trHeight w:val="404"/>
        </w:trPr>
        <w:tc>
          <w:tcPr>
            <w:tcW w:w="284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Europe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40" w:type="dxa"/>
            <w:vAlign w:val="bottom"/>
          </w:tcPr>
          <w:p>
            <w:pPr>
              <w:ind w:left="340"/>
              <w:spacing w:after="0"/>
              <w:rPr>
                <w:sz w:val="20"/>
                <w:szCs w:val="20"/>
                <w:color w:val="auto"/>
              </w:rPr>
            </w:pPr>
            <w:r>
              <w:rPr>
                <w:rFonts w:ascii="Arial" w:cs="Arial" w:eastAsia="Arial" w:hAnsi="Arial"/>
                <w:sz w:val="18"/>
                <w:szCs w:val="18"/>
                <w:color w:val="auto"/>
              </w:rPr>
              <w:t>Africa</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908</w:t>
            </w: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2840" w:type="dxa"/>
            <w:vAlign w:val="bottom"/>
          </w:tcPr>
          <w:p>
            <w:pPr>
              <w:ind w:left="340"/>
              <w:spacing w:after="0"/>
              <w:rPr>
                <w:sz w:val="20"/>
                <w:szCs w:val="20"/>
                <w:color w:val="auto"/>
              </w:rPr>
            </w:pPr>
            <w:r>
              <w:rPr>
                <w:rFonts w:ascii="Arial" w:cs="Arial" w:eastAsia="Arial" w:hAnsi="Arial"/>
                <w:sz w:val="18"/>
                <w:szCs w:val="18"/>
                <w:color w:val="auto"/>
              </w:rPr>
              <w:t>Asia</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398</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2,595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10"/>
        </w:trPr>
        <w:tc>
          <w:tcPr>
            <w:tcW w:w="2840" w:type="dxa"/>
            <w:vAlign w:val="bottom"/>
          </w:tcPr>
          <w:p>
            <w:pPr>
              <w:ind w:left="440"/>
              <w:spacing w:after="0"/>
              <w:rPr>
                <w:sz w:val="20"/>
                <w:szCs w:val="20"/>
                <w:color w:val="auto"/>
              </w:rPr>
            </w:pPr>
            <w:r>
              <w:rPr>
                <w:rFonts w:ascii="Arial" w:cs="Arial" w:eastAsia="Arial" w:hAnsi="Arial"/>
                <w:sz w:val="18"/>
                <w:szCs w:val="18"/>
                <w:color w:val="auto"/>
              </w:rPr>
              <w:t>Total Equity Company</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461</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3,649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10"/>
        </w:trPr>
        <w:tc>
          <w:tcPr>
            <w:tcW w:w="2840" w:type="dxa"/>
            <w:vAlign w:val="bottom"/>
          </w:tcPr>
          <w:p>
            <w:pPr>
              <w:ind w:left="440"/>
              <w:spacing w:after="0"/>
              <w:rPr>
                <w:sz w:val="20"/>
                <w:szCs w:val="20"/>
                <w:color w:val="auto"/>
              </w:rPr>
            </w:pPr>
            <w:r>
              <w:rPr>
                <w:rFonts w:ascii="Arial" w:cs="Arial" w:eastAsia="Arial" w:hAnsi="Arial"/>
                <w:sz w:val="18"/>
                <w:szCs w:val="18"/>
                <w:color w:val="auto"/>
              </w:rPr>
              <w:t>Total Undeveloped</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3,926</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768</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15,926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r>
      <w:tr>
        <w:trPr>
          <w:trHeight w:val="210"/>
        </w:trPr>
        <w:tc>
          <w:tcPr>
            <w:tcW w:w="2840" w:type="dxa"/>
            <w:vAlign w:val="bottom"/>
          </w:tcPr>
          <w:p>
            <w:pPr>
              <w:spacing w:after="0"/>
              <w:rPr>
                <w:sz w:val="20"/>
                <w:szCs w:val="20"/>
                <w:color w:val="auto"/>
              </w:rPr>
            </w:pPr>
            <w:r>
              <w:rPr>
                <w:rFonts w:ascii="Arial" w:cs="Arial" w:eastAsia="Arial" w:hAnsi="Arial"/>
                <w:sz w:val="18"/>
                <w:szCs w:val="18"/>
                <w:b w:val="1"/>
                <w:bCs w:val="1"/>
                <w:color w:val="auto"/>
              </w:rPr>
              <w:t>Total Proved Reserves</w:t>
            </w:r>
          </w:p>
        </w:tc>
        <w:tc>
          <w:tcPr>
            <w:tcW w:w="1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8,728</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1,597</w:t>
            </w: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3,858</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415</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47,080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22,445</w:t>
            </w:r>
          </w:p>
        </w:tc>
      </w:tr>
    </w:tbl>
    <w:p>
      <w:pPr>
        <w:spacing w:after="0" w:line="256" w:lineRule="exact"/>
        <w:rPr>
          <w:sz w:val="20"/>
          <w:szCs w:val="20"/>
          <w:color w:val="auto"/>
        </w:rPr>
      </w:pPr>
    </w:p>
    <w:p>
      <w:pPr>
        <w:ind w:left="180" w:right="20" w:hanging="172"/>
        <w:spacing w:after="0" w:line="258" w:lineRule="auto"/>
        <w:tabs>
          <w:tab w:leader="none" w:pos="546"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Americas includes proved developed reserves of 18 million barrels of crude oil and 75 billion cubic feet of natural gas, as well as proved undeveloped reserves of 280 million barrels of crude oil and 292 billion cubic feet of natural gas.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In the preceding reserves information, consolidated subsidiary and equity company reserves are reported separately. However, the Corporation operates its business with the same view of equity company reserves as it has for reserves from consolidated subsidiaries.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and other factors described in Item 1A. Risk Factors.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estimation of proved reserves, which is based on the requirement of reasonable certainty, is an ongoing process based on rigorous technical evaluations, commercial and market assessments and detailed analysis of well and reservoir information such as flow rates and reservoir pressures. Furthermore, the Corporation only records proved reserves for projects which have received significant funding commitments by management made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government policies, consumer preferences, and significant changes in long-term oil and natural gas price levels. In addition, proved reserves could be affected by an extended period of low prices which could reduce the level of the Corporation’s capital spending and also impact our partners’ capacity to fund their share of joint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Technologies Used in Establishing Proved Reserves Additions in 2019</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Additions to ExxonMobil’s proved reserves in 2019 were based on estimates generated through the integration of available and appropriate geological, engineering and production data, utilizing well-established technologies that have been demonstrated in the field to yield repeatable and consistent results.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Data used in these integrated assessments included information obtained directly from the subsurface via wellbores, such as well logs, reservoir core samples, fluid samples, static and dynamic pressure information, production test data, and surveillance and performance information. The data utilized also included subsurface information obtained through indirect measurements including high-quality 3-D and 4-D seismic data, calibrated with available well control information. The tools used to interpret the data included proprietary seismic processing software, proprietary reservoir modeling and simulation software, and commercially available data analysis packages.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some circumstances, where appropriate analog reservoirs were available, reservoir parameters from these analogs were used to increase the quality of and confidence in the reserves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Qualifications of Reserves Technical Oversight Group and Internal Controls over Proved Reserves</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ExxonMobil has a dedicated Global Reserves and Resources group that provides technical oversight and is separate from the operating organization. Primary responsibilities of this group include oversight of the reserves estimation process for compliance with Securities and Exchange Commission (SEC) rules and regulations, review of annual changes in reserves estimates, and the reporting of ExxonMobil’s proved reserves. This group also maintains the official company reserves estimates for ExxonMobil’s proved reserves of crude oil, natural gas liquids, bitumen, synthetic oil, and natural gas. In addition, the group provides training to personnel involved in the reserves estimation and reporting process within ExxonMobil and its affiliates. The Manager of the Global Reserves and Resources group has more than 30 years of experience in reservoir engineering and reserves assessment, has a degree in Engineering and currently serves on the Oil and Gas Reserves Committee of the Society of Petroleum Engineers (SPE). The group is staffed with individuals that have an average of more than 15 years of technical experience in the petroleum industry, including expertise in the classification and categorization of reserves under the SEC guidelines. This group includes individuals who hold degrees in either Engineering or Geology.</w:t>
      </w:r>
    </w:p>
    <w:p>
      <w:pPr>
        <w:spacing w:after="0" w:line="11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Global Reserves and Resources group maintains a central database containing the official company reserves estimates. Appropriate controls, including limitations on database access and update capabilities, are in place to ensure data integrity within this central database. An annual review of the system’s controls is performed by internal audit. Key components of the reserves estimation process include technical evaluations, commercial and market assessments, analysis of well and field performance, and long-standing approval guidelines. No changes may be made to the reserves estimates in the central database, including additions of any new initial reserves estimates or subsequent revisions, unless these changes have been thoroughly reviewed and evaluated by duly authorized geoscience and engineering professionals within the operating organization. In addition, changes to reserves estimates that exceed certain thresholds require further review and approval by the appropriate level of management within the operating organization before the changes may be made in the central database. Endorsement by the Global Reserves and Resources group for all proved reserves changes is a mandatory component of this review process. After all changes are made, reviews are held with senior management for final endorsement.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Proved Undeveloped Reserves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year-end 2019, approximately 7.7 billion oil-equivalent barrels (GOEB) of ExxonMobil’s proved reserves were classified as proved undeveloped. This represents 34 percent of the 22.4 GOEB reported in proved reserves. This compares to the 7.9 GOEB of proved undeveloped reserves reported at the end of 2018. During the year, ExxonMobil conducted development activities that resulted in the transfer of approximately 0.9 GOEB from proved undeveloped to proved developed reserves by year end. The largest transfers were related to development activities in the United States, the United Arab Emirates, and Kazakhstan. During 2019, extensions and discoveries, primarily in the United States and Guyana, resulted in an addition of 1.5 GOEB of proved undeveloped reserves, along with an increase of 0.6 GOEB due to revisions primarily in Asia. Also, the Corporation reclassified approximately 1.4 GOEB of proved undeveloped reserves which no longer met the SEC definition of proved reserves, primarily in the United States, which was offset by the extensions in the United States referenced above.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investments of $18.3 billion were made by the Corporation during 2019 to progress the development of reported proved undeveloped reserves, including $17.7 billion for oil and gas producing activities, along with additional investments for other non-oil and gas producing activities such as the construction of support infrastructure and other related facilities. These investments represented 78 percent of the $23.5 billion in total reported Upstream capital and exploration expenditures.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One of ExxonMobil’s requirements for reporting proved reserves is that management has made significant funding commitments toward the development of the reserves. ExxonMobil has a disciplined investment strategy and many major fields require long lead-time in order to be developed. Development projects typically take several years from the time of recording proved undeveloped reserves to the start of production and can exceed five years for large and complex projects. Proved undeveloped reserves in the United States, Canada, Australia, and Kazakhstan have remained undeveloped for five years or more primarily due to constraints on the capacity of infrastructure, as well as the time required to complete development for very large projects. The Corporation is reasonably certain that these proved reserves will be produced; however, the timing and amount recovered can be affected by a number of factors including completion of development projects, reservoir performance, regulatory approvals, government policies, consumer preferences, the pace of co-venturer/government funding, changes in the amount and timing of capital investments, and significant changes in long-term oil and natural gas price levels. Of the proved undeveloped reserves that have been reported for five or more years, over 80 percent are contained in the aforementioned countries. In Canada, proved undeveloped reserves are related to drilling activities in the offshore Hebron field and onshore Cold Lake operations. In Australia, proved undeveloped reserves are associated with future compression for the Gorgon Jansz LNG project. In Kazakhstan, the proved undeveloped reserves are related to the remainder of the Tengizchevroil joint venture development that includes a production license in the Tengiz - Korolev field complex. The Tengizchevroil joint venture is producing, and proved undeveloped reserves will continue to move to proved developed as approved development phases progress.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right="6240" w:firstLine="8"/>
        <w:spacing w:after="0" w:line="34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Oil and Gas Production, Production Prices and Production Costs A. Oil and Gas Production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production by final product sold and by geographic area for the last three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r>
      <w:tr>
        <w:trPr>
          <w:trHeight w:val="26"/>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4"/>
        </w:trPr>
        <w:tc>
          <w:tcPr>
            <w:tcW w:w="5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gridSpan w:val="4"/>
          </w:tcPr>
          <w:p>
            <w:pPr>
              <w:ind w:left="200"/>
              <w:spacing w:after="0"/>
              <w:rPr>
                <w:sz w:val="20"/>
                <w:szCs w:val="20"/>
                <w:color w:val="auto"/>
              </w:rPr>
            </w:pPr>
            <w:r>
              <w:rPr>
                <w:rFonts w:ascii="Arial" w:cs="Arial" w:eastAsia="Arial" w:hAnsi="Arial"/>
                <w:sz w:val="14"/>
                <w:szCs w:val="14"/>
                <w:i w:val="1"/>
                <w:iCs w:val="1"/>
                <w:color w:val="auto"/>
              </w:rPr>
              <w:t>(thousands of barrels daily)</w:t>
            </w: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5"/>
        </w:trPr>
        <w:tc>
          <w:tcPr>
            <w:tcW w:w="5960" w:type="dxa"/>
            <w:vAlign w:val="bottom"/>
          </w:tcPr>
          <w:p>
            <w:pPr>
              <w:spacing w:after="0"/>
              <w:rPr>
                <w:sz w:val="20"/>
                <w:szCs w:val="20"/>
                <w:color w:val="auto"/>
              </w:rPr>
            </w:pPr>
            <w:r>
              <w:rPr>
                <w:rFonts w:ascii="Arial" w:cs="Arial" w:eastAsia="Arial" w:hAnsi="Arial"/>
                <w:sz w:val="18"/>
                <w:szCs w:val="18"/>
                <w:b w:val="1"/>
                <w:bCs w:val="1"/>
                <w:color w:val="auto"/>
              </w:rPr>
              <w:t>Crude oil and natural gas liquids production</w:t>
            </w:r>
          </w:p>
        </w:tc>
        <w:tc>
          <w:tcPr>
            <w:tcW w:w="1100" w:type="dxa"/>
            <w:vAlign w:val="bottom"/>
          </w:tcPr>
          <w:p>
            <w:pPr>
              <w:jc w:val="right"/>
              <w:ind w:right="271"/>
              <w:spacing w:after="0"/>
              <w:rPr>
                <w:sz w:val="20"/>
                <w:szCs w:val="20"/>
                <w:color w:val="auto"/>
              </w:rPr>
            </w:pPr>
            <w:r>
              <w:rPr>
                <w:rFonts w:ascii="Arial" w:cs="Arial" w:eastAsia="Arial" w:hAnsi="Arial"/>
                <w:sz w:val="14"/>
                <w:szCs w:val="14"/>
                <w:color w:val="auto"/>
              </w:rPr>
              <w:t>Crude Oil</w:t>
            </w: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NGL</w:t>
            </w:r>
          </w:p>
        </w:tc>
        <w:tc>
          <w:tcPr>
            <w:tcW w:w="200" w:type="dxa"/>
            <w:vAlign w:val="bottom"/>
          </w:tcPr>
          <w:p>
            <w:pPr>
              <w:spacing w:after="0"/>
              <w:rPr>
                <w:sz w:val="22"/>
                <w:szCs w:val="22"/>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4"/>
              </w:rPr>
              <w:t>Crude Oil</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NGL</w:t>
            </w:r>
          </w:p>
        </w:tc>
        <w:tc>
          <w:tcPr>
            <w:tcW w:w="1020" w:type="dxa"/>
            <w:vAlign w:val="bottom"/>
          </w:tcPr>
          <w:p>
            <w:pPr>
              <w:jc w:val="right"/>
              <w:ind w:right="191"/>
              <w:spacing w:after="0"/>
              <w:rPr>
                <w:sz w:val="20"/>
                <w:szCs w:val="20"/>
                <w:color w:val="auto"/>
              </w:rPr>
            </w:pPr>
            <w:r>
              <w:rPr>
                <w:rFonts w:ascii="Arial" w:cs="Arial" w:eastAsia="Arial" w:hAnsi="Arial"/>
                <w:sz w:val="14"/>
                <w:szCs w:val="14"/>
                <w:color w:val="auto"/>
              </w:rPr>
              <w:t>Crude Oil</w:t>
            </w: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NGL</w:t>
            </w:r>
          </w:p>
        </w:tc>
      </w:tr>
      <w:tr>
        <w:trPr>
          <w:trHeight w:val="195"/>
        </w:trPr>
        <w:tc>
          <w:tcPr>
            <w:tcW w:w="5960" w:type="dxa"/>
            <w:vAlign w:val="bottom"/>
          </w:tcPr>
          <w:p>
            <w:pPr>
              <w:ind w:left="240"/>
              <w:spacing w:after="0" w:line="195" w:lineRule="exact"/>
              <w:rPr>
                <w:sz w:val="20"/>
                <w:szCs w:val="20"/>
                <w:color w:val="auto"/>
              </w:rPr>
            </w:pPr>
            <w:r>
              <w:rPr>
                <w:rFonts w:ascii="Arial" w:cs="Arial" w:eastAsia="Arial" w:hAnsi="Arial"/>
                <w:sz w:val="18"/>
                <w:szCs w:val="18"/>
                <w:b w:val="1"/>
                <w:bCs w:val="1"/>
                <w:color w:val="auto"/>
              </w:rPr>
              <w:t>Consolidated Subsidiaries</w:t>
            </w:r>
          </w:p>
        </w:tc>
        <w:tc>
          <w:tcPr>
            <w:tcW w:w="1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461</w:t>
            </w: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395</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87</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62</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101</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Africa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360</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377</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412</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432</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398</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373</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Australia/Oceania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31</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color w:val="auto"/>
              </w:rPr>
              <w:t>Total Consolidated Subsidiaries</w:t>
            </w: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1,454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1,364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1,372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404"/>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232</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226</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235</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960" w:type="dxa"/>
            <w:vAlign w:val="bottom"/>
          </w:tcPr>
          <w:p>
            <w:pPr>
              <w:ind w:left="700"/>
              <w:spacing w:after="0"/>
              <w:rPr>
                <w:sz w:val="20"/>
                <w:szCs w:val="20"/>
                <w:color w:val="auto"/>
              </w:rPr>
            </w:pPr>
            <w:r>
              <w:rPr>
                <w:rFonts w:ascii="Arial" w:cs="Arial" w:eastAsia="Arial" w:hAnsi="Arial"/>
                <w:sz w:val="18"/>
                <w:szCs w:val="18"/>
                <w:color w:val="auto"/>
              </w:rPr>
              <w:t>Total Equity Companies</w:t>
            </w: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287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284</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294</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426"/>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crude oil and natural gas liquids production</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1,741</w:t>
            </w: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1,648</w:t>
            </w: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1,666</w:t>
            </w: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414"/>
        </w:trPr>
        <w:tc>
          <w:tcPr>
            <w:tcW w:w="5960" w:type="dxa"/>
            <w:vAlign w:val="bottom"/>
          </w:tcPr>
          <w:p>
            <w:pPr>
              <w:spacing w:after="0"/>
              <w:rPr>
                <w:sz w:val="20"/>
                <w:szCs w:val="20"/>
                <w:color w:val="auto"/>
              </w:rPr>
            </w:pPr>
            <w:r>
              <w:rPr>
                <w:rFonts w:ascii="Arial" w:cs="Arial" w:eastAsia="Arial" w:hAnsi="Arial"/>
                <w:sz w:val="18"/>
                <w:szCs w:val="18"/>
                <w:b w:val="1"/>
                <w:bCs w:val="1"/>
                <w:color w:val="auto"/>
              </w:rPr>
              <w:t>Bitumen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Consolidated Subsidiaries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Canada/Other Americas</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0"/>
                <w:szCs w:val="20"/>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310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305</w:t>
            </w:r>
          </w:p>
        </w:tc>
        <w:tc>
          <w:tcPr>
            <w:tcW w:w="580" w:type="dxa"/>
            <w:vAlign w:val="bottom"/>
          </w:tcPr>
          <w:p>
            <w:pPr>
              <w:spacing w:after="0"/>
              <w:rPr>
                <w:sz w:val="20"/>
                <w:szCs w:val="20"/>
                <w:color w:val="auto"/>
              </w:rPr>
            </w:pPr>
          </w:p>
        </w:tc>
      </w:tr>
      <w:tr>
        <w:trPr>
          <w:trHeight w:val="414"/>
        </w:trPr>
        <w:tc>
          <w:tcPr>
            <w:tcW w:w="5960" w:type="dxa"/>
            <w:vAlign w:val="bottom"/>
          </w:tcPr>
          <w:p>
            <w:pPr>
              <w:spacing w:after="0"/>
              <w:rPr>
                <w:sz w:val="20"/>
                <w:szCs w:val="20"/>
                <w:color w:val="auto"/>
              </w:rPr>
            </w:pPr>
            <w:r>
              <w:rPr>
                <w:rFonts w:ascii="Arial" w:cs="Arial" w:eastAsia="Arial" w:hAnsi="Arial"/>
                <w:sz w:val="18"/>
                <w:szCs w:val="18"/>
                <w:b w:val="1"/>
                <w:bCs w:val="1"/>
                <w:color w:val="auto"/>
              </w:rPr>
              <w:t>Synthetic oil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Consolidated Subsidiaries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Canada/Other Americas</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w:t>
            </w:r>
          </w:p>
        </w:tc>
        <w:tc>
          <w:tcPr>
            <w:tcW w:w="580" w:type="dxa"/>
            <w:vAlign w:val="bottom"/>
            <w:tcBorders>
              <w:bottom w:val="single" w:sz="8" w:color="auto"/>
            </w:tcBorders>
          </w:tcPr>
          <w:p>
            <w:pPr>
              <w:spacing w:after="0"/>
              <w:rPr>
                <w:sz w:val="20"/>
                <w:szCs w:val="20"/>
                <w:color w:val="auto"/>
              </w:rPr>
            </w:pPr>
          </w:p>
        </w:tc>
      </w:tr>
      <w:tr>
        <w:trPr>
          <w:trHeight w:val="426"/>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liquids production</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2,386</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2,266</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2,283</w:t>
            </w:r>
          </w:p>
        </w:tc>
        <w:tc>
          <w:tcPr>
            <w:tcW w:w="580" w:type="dxa"/>
            <w:vAlign w:val="bottom"/>
            <w:tcBorders>
              <w:bottom w:val="single" w:sz="8" w:color="auto"/>
            </w:tcBorders>
          </w:tcPr>
          <w:p>
            <w:pPr>
              <w:spacing w:after="0"/>
              <w:rPr>
                <w:sz w:val="24"/>
                <w:szCs w:val="24"/>
                <w:color w:val="auto"/>
              </w:rPr>
            </w:pPr>
          </w:p>
        </w:tc>
      </w:tr>
      <w:tr>
        <w:trPr>
          <w:trHeight w:val="400"/>
        </w:trPr>
        <w:tc>
          <w:tcPr>
            <w:tcW w:w="5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i w:val="1"/>
                <w:iCs w:val="1"/>
                <w:color w:val="auto"/>
                <w:w w:val="96"/>
              </w:rPr>
              <w:t>(millions of cubic feet daily)</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Natural gas production available for sale</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Consolidated Subsidiaries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2,756</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2,550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2,910</w:t>
            </w:r>
          </w:p>
        </w:tc>
        <w:tc>
          <w:tcPr>
            <w:tcW w:w="580" w:type="dxa"/>
            <w:vAlign w:val="bottom"/>
          </w:tcPr>
          <w:p>
            <w:pPr>
              <w:spacing w:after="0"/>
              <w:rPr>
                <w:sz w:val="18"/>
                <w:szCs w:val="18"/>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258</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227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8"/>
                <w:szCs w:val="18"/>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808</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925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18"/>
                <w:szCs w:val="18"/>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Africa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851</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838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906</w:t>
            </w:r>
          </w:p>
        </w:tc>
        <w:tc>
          <w:tcPr>
            <w:tcW w:w="580" w:type="dxa"/>
            <w:vAlign w:val="bottom"/>
          </w:tcPr>
          <w:p>
            <w:pPr>
              <w:spacing w:after="0"/>
              <w:rPr>
                <w:sz w:val="18"/>
                <w:szCs w:val="18"/>
                <w:color w:val="auto"/>
              </w:rPr>
            </w:pP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Australia/Oceania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1,319</w:t>
            </w:r>
          </w:p>
        </w:tc>
        <w:tc>
          <w:tcPr>
            <w:tcW w:w="640" w:type="dxa"/>
            <w:vAlign w:val="bottom"/>
          </w:tcPr>
          <w:p>
            <w:pPr>
              <w:spacing w:after="0"/>
              <w:rPr>
                <w:sz w:val="20"/>
                <w:szCs w:val="20"/>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1,325</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1,310</w:t>
            </w:r>
          </w:p>
        </w:tc>
        <w:tc>
          <w:tcPr>
            <w:tcW w:w="580" w:type="dxa"/>
            <w:vAlign w:val="bottom"/>
          </w:tcPr>
          <w:p>
            <w:pPr>
              <w:spacing w:after="0"/>
              <w:rPr>
                <w:sz w:val="20"/>
                <w:szCs w:val="20"/>
                <w:color w:val="auto"/>
              </w:rPr>
            </w:pPr>
          </w:p>
        </w:tc>
      </w:tr>
      <w:tr>
        <w:trPr>
          <w:trHeight w:val="224"/>
        </w:trPr>
        <w:tc>
          <w:tcPr>
            <w:tcW w:w="5960" w:type="dxa"/>
            <w:vAlign w:val="bottom"/>
          </w:tcPr>
          <w:p>
            <w:pPr>
              <w:ind w:left="700"/>
              <w:spacing w:after="0"/>
              <w:rPr>
                <w:sz w:val="20"/>
                <w:szCs w:val="20"/>
                <w:color w:val="auto"/>
              </w:rPr>
            </w:pPr>
            <w:r>
              <w:rPr>
                <w:rFonts w:ascii="Arial" w:cs="Arial" w:eastAsia="Arial" w:hAnsi="Arial"/>
                <w:sz w:val="18"/>
                <w:szCs w:val="18"/>
                <w:color w:val="auto"/>
              </w:rPr>
              <w:t>Total Consolidated Subsidiaries</w:t>
            </w: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5,999</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5,878</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6,395</w:t>
            </w:r>
          </w:p>
        </w:tc>
        <w:tc>
          <w:tcPr>
            <w:tcW w:w="580" w:type="dxa"/>
            <w:vAlign w:val="bottom"/>
            <w:tcBorders>
              <w:top w:val="single" w:sz="8" w:color="auto"/>
            </w:tcBorders>
          </w:tcPr>
          <w:p>
            <w:pPr>
              <w:spacing w:after="0"/>
              <w:rPr>
                <w:sz w:val="19"/>
                <w:szCs w:val="19"/>
                <w:color w:val="auto"/>
              </w:rPr>
            </w:pPr>
          </w:p>
        </w:tc>
      </w:tr>
      <w:tr>
        <w:trPr>
          <w:trHeight w:val="404"/>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r>
      <w:tr>
        <w:trPr>
          <w:trHeight w:val="216"/>
        </w:trPr>
        <w:tc>
          <w:tcPr>
            <w:tcW w:w="5960" w:type="dxa"/>
            <w:vAlign w:val="bottom"/>
          </w:tcPr>
          <w:p>
            <w:pPr>
              <w:ind w:left="46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649</w:t>
            </w:r>
          </w:p>
        </w:tc>
        <w:tc>
          <w:tcPr>
            <w:tcW w:w="640" w:type="dxa"/>
            <w:vAlign w:val="bottom"/>
          </w:tcPr>
          <w:p>
            <w:pPr>
              <w:spacing w:after="0"/>
              <w:rPr>
                <w:sz w:val="18"/>
                <w:szCs w:val="18"/>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728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902</w:t>
            </w:r>
          </w:p>
        </w:tc>
        <w:tc>
          <w:tcPr>
            <w:tcW w:w="580" w:type="dxa"/>
            <w:vAlign w:val="bottom"/>
          </w:tcPr>
          <w:p>
            <w:pPr>
              <w:spacing w:after="0"/>
              <w:rPr>
                <w:sz w:val="18"/>
                <w:szCs w:val="18"/>
                <w:color w:val="auto"/>
              </w:rPr>
            </w:pP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2,724</w:t>
            </w:r>
          </w:p>
        </w:tc>
        <w:tc>
          <w:tcPr>
            <w:tcW w:w="640" w:type="dxa"/>
            <w:vAlign w:val="bottom"/>
          </w:tcPr>
          <w:p>
            <w:pPr>
              <w:spacing w:after="0"/>
              <w:rPr>
                <w:sz w:val="20"/>
                <w:szCs w:val="20"/>
                <w:color w:val="auto"/>
              </w:rPr>
            </w:pPr>
          </w:p>
        </w:tc>
        <w:tc>
          <w:tcPr>
            <w:tcW w:w="1280" w:type="dxa"/>
            <w:vAlign w:val="bottom"/>
            <w:gridSpan w:val="2"/>
          </w:tcPr>
          <w:p>
            <w:pPr>
              <w:jc w:val="right"/>
              <w:ind w:right="132"/>
              <w:spacing w:after="0"/>
              <w:rPr>
                <w:sz w:val="20"/>
                <w:szCs w:val="20"/>
                <w:color w:val="auto"/>
              </w:rPr>
            </w:pPr>
            <w:r>
              <w:rPr>
                <w:rFonts w:ascii="Arial" w:cs="Arial" w:eastAsia="Arial" w:hAnsi="Arial"/>
                <w:sz w:val="18"/>
                <w:szCs w:val="18"/>
                <w:color w:val="auto"/>
              </w:rPr>
              <w:t>2,775</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2,888</w:t>
            </w:r>
          </w:p>
        </w:tc>
        <w:tc>
          <w:tcPr>
            <w:tcW w:w="580" w:type="dxa"/>
            <w:vAlign w:val="bottom"/>
          </w:tcPr>
          <w:p>
            <w:pPr>
              <w:spacing w:after="0"/>
              <w:rPr>
                <w:sz w:val="20"/>
                <w:szCs w:val="20"/>
                <w:color w:val="auto"/>
              </w:rPr>
            </w:pPr>
          </w:p>
        </w:tc>
      </w:tr>
      <w:tr>
        <w:trPr>
          <w:trHeight w:val="210"/>
        </w:trPr>
        <w:tc>
          <w:tcPr>
            <w:tcW w:w="5960" w:type="dxa"/>
            <w:vAlign w:val="bottom"/>
          </w:tcPr>
          <w:p>
            <w:pPr>
              <w:ind w:left="700"/>
              <w:spacing w:after="0"/>
              <w:rPr>
                <w:sz w:val="20"/>
                <w:szCs w:val="20"/>
                <w:color w:val="auto"/>
              </w:rPr>
            </w:pPr>
            <w:r>
              <w:rPr>
                <w:rFonts w:ascii="Arial" w:cs="Arial" w:eastAsia="Arial" w:hAnsi="Arial"/>
                <w:sz w:val="18"/>
                <w:szCs w:val="18"/>
                <w:color w:val="auto"/>
              </w:rPr>
              <w:t>Total Equity Companies</w:t>
            </w: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3,395</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3,527</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3,816</w:t>
            </w:r>
          </w:p>
        </w:tc>
        <w:tc>
          <w:tcPr>
            <w:tcW w:w="580" w:type="dxa"/>
            <w:vAlign w:val="bottom"/>
            <w:tcBorders>
              <w:top w:val="single" w:sz="8" w:color="auto"/>
              <w:bottom w:val="single" w:sz="8" w:color="auto"/>
            </w:tcBorders>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natural gas production available for sale</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9,394</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9,405</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10,211</w:t>
            </w:r>
          </w:p>
        </w:tc>
        <w:tc>
          <w:tcPr>
            <w:tcW w:w="580" w:type="dxa"/>
            <w:vAlign w:val="bottom"/>
            <w:tcBorders>
              <w:bottom w:val="single" w:sz="8" w:color="auto"/>
            </w:tcBorders>
          </w:tcPr>
          <w:p>
            <w:pPr>
              <w:spacing w:after="0"/>
              <w:rPr>
                <w:sz w:val="18"/>
                <w:szCs w:val="18"/>
                <w:color w:val="auto"/>
              </w:rPr>
            </w:pPr>
          </w:p>
        </w:tc>
      </w:tr>
      <w:tr>
        <w:trPr>
          <w:trHeight w:val="400"/>
        </w:trPr>
        <w:tc>
          <w:tcPr>
            <w:tcW w:w="5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i w:val="1"/>
                <w:iCs w:val="1"/>
                <w:color w:val="auto"/>
                <w:w w:val="94"/>
              </w:rPr>
              <w:t>(thousands of oil-equivalent barrels daily)</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2"/>
        </w:trPr>
        <w:tc>
          <w:tcPr>
            <w:tcW w:w="5960" w:type="dxa"/>
            <w:vAlign w:val="bottom"/>
          </w:tcPr>
          <w:p>
            <w:pPr>
              <w:spacing w:after="0"/>
              <w:rPr>
                <w:sz w:val="20"/>
                <w:szCs w:val="20"/>
                <w:color w:val="auto"/>
              </w:rPr>
            </w:pPr>
            <w:r>
              <w:rPr>
                <w:rFonts w:ascii="Arial" w:cs="Arial" w:eastAsia="Arial" w:hAnsi="Arial"/>
                <w:sz w:val="18"/>
                <w:szCs w:val="18"/>
                <w:b w:val="1"/>
                <w:bCs w:val="1"/>
                <w:color w:val="auto"/>
              </w:rPr>
              <w:t>Oil-equivalent production</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3,952</w:t>
            </w: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3,833</w:t>
            </w: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3,985</w:t>
            </w:r>
          </w:p>
        </w:tc>
        <w:tc>
          <w:tcPr>
            <w:tcW w:w="580" w:type="dxa"/>
            <w:vAlign w:val="bottom"/>
            <w:tcBorders>
              <w:bottom w:val="single" w:sz="8" w:color="auto"/>
            </w:tcBorders>
          </w:tcPr>
          <w:p>
            <w:pPr>
              <w:spacing w:after="0"/>
              <w:rPr>
                <w:sz w:val="21"/>
                <w:szCs w:val="21"/>
                <w:color w:val="auto"/>
              </w:rPr>
            </w:pPr>
          </w:p>
        </w:tc>
      </w:tr>
    </w:tbl>
    <w:p>
      <w:pPr>
        <w:spacing w:after="0" w:line="310"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Other Americas includes crude oil production for 2019 and 2018 of two thousand barrels daily and natural gas production available for sale for 2019,</w:t>
      </w:r>
    </w:p>
    <w:p>
      <w:pPr>
        <w:spacing w:after="0" w:line="46" w:lineRule="exact"/>
        <w:rPr>
          <w:rFonts w:ascii="Arial" w:cs="Arial" w:eastAsia="Arial" w:hAnsi="Arial"/>
          <w:sz w:val="16"/>
          <w:szCs w:val="16"/>
          <w:i w:val="1"/>
          <w:iCs w:val="1"/>
          <w:color w:val="auto"/>
        </w:rPr>
      </w:pPr>
    </w:p>
    <w:p>
      <w:pPr>
        <w:ind w:left="18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2018 and 2017 of 36 million, 28 million, and 24 million cubic feet daily, respectively.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 Production Prices and Production Costs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average production prices and average production costs by geographic area and by product type for the last three years.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jc w:val="center"/>
              <w:ind w:right="3"/>
              <w:spacing w:after="0"/>
              <w:rPr>
                <w:sz w:val="20"/>
                <w:szCs w:val="20"/>
                <w:color w:val="auto"/>
              </w:rPr>
            </w:pPr>
            <w:r>
              <w:rPr>
                <w:rFonts w:ascii="Arial" w:cs="Arial" w:eastAsia="Arial" w:hAnsi="Arial"/>
                <w:sz w:val="15"/>
                <w:szCs w:val="15"/>
                <w:b w:val="1"/>
                <w:bCs w:val="1"/>
                <w:color w:val="auto"/>
                <w:w w:val="92"/>
              </w:rPr>
              <w:t>Canada/</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United</w:t>
            </w:r>
          </w:p>
        </w:tc>
        <w:tc>
          <w:tcPr>
            <w:tcW w:w="980" w:type="dxa"/>
            <w:vAlign w:val="bottom"/>
          </w:tcPr>
          <w:p>
            <w:pPr>
              <w:jc w:val="center"/>
              <w:ind w:right="3"/>
              <w:spacing w:after="0" w:line="162" w:lineRule="exact"/>
              <w:rPr>
                <w:sz w:val="20"/>
                <w:szCs w:val="20"/>
                <w:color w:val="auto"/>
              </w:rPr>
            </w:pPr>
            <w:r>
              <w:rPr>
                <w:rFonts w:ascii="Arial" w:cs="Arial" w:eastAsia="Arial" w:hAnsi="Arial"/>
                <w:sz w:val="15"/>
                <w:szCs w:val="15"/>
                <w:b w:val="1"/>
                <w:bCs w:val="1"/>
                <w:color w:val="auto"/>
                <w:w w:val="94"/>
              </w:rPr>
              <w:t>Other</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auto"/>
              </w:rPr>
              <w:t>Australia/</w:t>
            </w:r>
          </w:p>
        </w:tc>
        <w:tc>
          <w:tcPr>
            <w:tcW w:w="8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States</w:t>
            </w:r>
          </w:p>
        </w:tc>
        <w:tc>
          <w:tcPr>
            <w:tcW w:w="98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1"/>
              </w:rPr>
              <w:t>Americas</w:t>
            </w: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Europe</w:t>
            </w:r>
          </w:p>
        </w:tc>
        <w:tc>
          <w:tcPr>
            <w:tcW w:w="12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Africa</w:t>
            </w: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Asia</w:t>
            </w: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Oceania</w:t>
            </w: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38"/>
        </w:trPr>
        <w:tc>
          <w:tcPr>
            <w:tcW w:w="20" w:type="dxa"/>
            <w:vAlign w:val="bottom"/>
          </w:tcPr>
          <w:p>
            <w:pPr>
              <w:spacing w:after="0"/>
              <w:rPr>
                <w:sz w:val="12"/>
                <w:szCs w:val="12"/>
                <w:color w:val="auto"/>
              </w:rPr>
            </w:pPr>
          </w:p>
        </w:tc>
        <w:tc>
          <w:tcPr>
            <w:tcW w:w="4440" w:type="dxa"/>
            <w:vAlign w:val="bottom"/>
          </w:tcPr>
          <w:p>
            <w:pPr>
              <w:spacing w:after="0" w:line="138" w:lineRule="exact"/>
              <w:rPr>
                <w:sz w:val="20"/>
                <w:szCs w:val="20"/>
                <w:color w:val="auto"/>
              </w:rPr>
            </w:pPr>
            <w:r>
              <w:rPr>
                <w:rFonts w:ascii="Arial" w:cs="Arial" w:eastAsia="Arial" w:hAnsi="Arial"/>
                <w:sz w:val="15"/>
                <w:szCs w:val="15"/>
                <w:b w:val="1"/>
                <w:bCs w:val="1"/>
                <w:color w:val="auto"/>
              </w:rPr>
              <w:t>During 2019</w:t>
            </w: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3"/>
              <w:spacing w:after="0" w:line="138" w:lineRule="exact"/>
              <w:rPr>
                <w:sz w:val="20"/>
                <w:szCs w:val="20"/>
                <w:color w:val="auto"/>
              </w:rPr>
            </w:pPr>
            <w:r>
              <w:rPr>
                <w:rFonts w:ascii="Arial" w:cs="Arial" w:eastAsia="Arial" w:hAnsi="Arial"/>
                <w:sz w:val="15"/>
                <w:szCs w:val="15"/>
                <w:i w:val="1"/>
                <w:iCs w:val="1"/>
                <w:color w:val="auto"/>
              </w:rPr>
              <w:t>(dollars per unit)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100"/>
              <w:spacing w:after="0" w:line="167" w:lineRule="exact"/>
              <w:rPr>
                <w:sz w:val="20"/>
                <w:szCs w:val="20"/>
                <w:color w:val="auto"/>
              </w:rPr>
            </w:pPr>
            <w:r>
              <w:rPr>
                <w:rFonts w:ascii="Arial" w:cs="Arial" w:eastAsia="Arial" w:hAnsi="Arial"/>
                <w:sz w:val="15"/>
                <w:szCs w:val="15"/>
                <w:b w:val="1"/>
                <w:bCs w:val="1"/>
                <w:color w:val="auto"/>
              </w:rPr>
              <w:t>Consolidated Subsidiaries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54.41</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59.39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63.59</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65.64</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64.14</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61.08</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61.04</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18.94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16.59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30.56</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41.41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24.64</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30.55</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22.85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1.54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1.44</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4.50</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1.49</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2.07</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6.26</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3.05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36.25</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36.25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56.18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56.18</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12.25</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23.41</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13.69</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17.51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7.34</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6.60</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13.43</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24.18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24.18</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40.38</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40.38</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Equity Companies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60.95</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58.72</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58.74</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59.15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15.63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36.28</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35.76</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1.75</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5.01</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5.24</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5.17</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28.17</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14.04</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2.03</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5.16</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55.08</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59.39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63.41</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65.64</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62.27</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61.08</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60.73</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18.90</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16.59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30.56</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41.41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33.23</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30.55</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25.89</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1.54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1.44</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4.73</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1.49</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4.49</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6.26</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3.82</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36.25</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36.25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56.18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56.18</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13.08</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23.41</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13.80</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17.56</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4.39</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6.60</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11.51</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24.18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24.18</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40.38</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40.38</w:t>
            </w:r>
          </w:p>
        </w:tc>
      </w:tr>
      <w:tr>
        <w:trPr>
          <w:trHeight w:val="274"/>
        </w:trPr>
        <w:tc>
          <w:tcPr>
            <w:tcW w:w="4460" w:type="dxa"/>
            <w:vAlign w:val="bottom"/>
            <w:gridSpan w:val="2"/>
          </w:tcPr>
          <w:p>
            <w:pPr>
              <w:spacing w:after="0"/>
              <w:rPr>
                <w:sz w:val="20"/>
                <w:szCs w:val="20"/>
                <w:color w:val="auto"/>
              </w:rPr>
            </w:pPr>
            <w:r>
              <w:rPr>
                <w:rFonts w:ascii="Arial" w:cs="Arial" w:eastAsia="Arial" w:hAnsi="Arial"/>
                <w:sz w:val="15"/>
                <w:szCs w:val="15"/>
                <w:b w:val="1"/>
                <w:bCs w:val="1"/>
                <w:color w:val="auto"/>
              </w:rPr>
              <w:t>During 2018</w:t>
            </w:r>
          </w:p>
        </w:tc>
        <w:tc>
          <w:tcPr>
            <w:tcW w:w="1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100"/>
              <w:spacing w:after="0" w:line="167" w:lineRule="exact"/>
              <w:rPr>
                <w:sz w:val="20"/>
                <w:szCs w:val="20"/>
                <w:color w:val="auto"/>
              </w:rPr>
            </w:pPr>
            <w:r>
              <w:rPr>
                <w:rFonts w:ascii="Arial" w:cs="Arial" w:eastAsia="Arial" w:hAnsi="Arial"/>
                <w:sz w:val="15"/>
                <w:szCs w:val="15"/>
                <w:b w:val="1"/>
                <w:bCs w:val="1"/>
                <w:color w:val="auto"/>
              </w:rPr>
              <w:t>Consolidated Subsidiaries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59.84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64.53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69.80</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70.84</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69.86</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66.89</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66.91</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30.78</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37.27</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38.53</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47.10</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26.30</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36.34</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32.88</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2.14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1.68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6.97</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1.96</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2.33</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6.39</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3.87</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28.66</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28.66</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54.85</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54.85</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11.64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24.32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13.07</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17.28</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7.31</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6.94</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13.34</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22.93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22.93</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45.33</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45.33</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Equity Companies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66.30</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63.92</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67.31</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67.07</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27.16</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45.10</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44.64</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2.19</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5.03</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6.31</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6.01</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24.71</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16.30</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1.49</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4.96</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60.61</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64.53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69.57</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70.84</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68.92</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66.89</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66.93</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30.72</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37.27</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38.53</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47.10</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39.69</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36.34</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35.85</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2.14</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1.68</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6.11</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1.96</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5.38</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6.39</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4.67</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28.66</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28.66</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54.85</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54.85</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12.43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24.32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14.06</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17.31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3.98</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6.94</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11.29</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22.93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22.93</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45.33</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45.33</w:t>
            </w: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80" w:type="dxa"/>
            <w:vAlign w:val="bottom"/>
          </w:tcPr>
          <w:p>
            <w:pPr>
              <w:jc w:val="center"/>
              <w:ind w:right="3"/>
              <w:spacing w:after="0"/>
              <w:rPr>
                <w:sz w:val="20"/>
                <w:szCs w:val="20"/>
                <w:color w:val="auto"/>
              </w:rPr>
            </w:pPr>
            <w:r>
              <w:rPr>
                <w:rFonts w:ascii="Arial" w:cs="Arial" w:eastAsia="Arial" w:hAnsi="Arial"/>
                <w:sz w:val="15"/>
                <w:szCs w:val="15"/>
                <w:b w:val="1"/>
                <w:bCs w:val="1"/>
                <w:color w:val="auto"/>
                <w:w w:val="92"/>
              </w:rPr>
              <w:t>Canada/</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United</w:t>
            </w:r>
          </w:p>
        </w:tc>
        <w:tc>
          <w:tcPr>
            <w:tcW w:w="980" w:type="dxa"/>
            <w:vAlign w:val="bottom"/>
          </w:tcPr>
          <w:p>
            <w:pPr>
              <w:jc w:val="center"/>
              <w:ind w:right="3"/>
              <w:spacing w:after="0" w:line="162" w:lineRule="exact"/>
              <w:rPr>
                <w:sz w:val="20"/>
                <w:szCs w:val="20"/>
                <w:color w:val="auto"/>
              </w:rPr>
            </w:pPr>
            <w:r>
              <w:rPr>
                <w:rFonts w:ascii="Arial" w:cs="Arial" w:eastAsia="Arial" w:hAnsi="Arial"/>
                <w:sz w:val="15"/>
                <w:szCs w:val="15"/>
                <w:b w:val="1"/>
                <w:bCs w:val="1"/>
                <w:color w:val="auto"/>
                <w:w w:val="94"/>
              </w:rPr>
              <w:t>Other</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63"/>
              <w:spacing w:after="0" w:line="162" w:lineRule="exact"/>
              <w:rPr>
                <w:sz w:val="20"/>
                <w:szCs w:val="20"/>
                <w:color w:val="auto"/>
              </w:rPr>
            </w:pPr>
            <w:r>
              <w:rPr>
                <w:rFonts w:ascii="Arial" w:cs="Arial" w:eastAsia="Arial" w:hAnsi="Arial"/>
                <w:sz w:val="15"/>
                <w:szCs w:val="15"/>
                <w:b w:val="1"/>
                <w:bCs w:val="1"/>
                <w:color w:val="auto"/>
              </w:rPr>
              <w:t>Australia/</w:t>
            </w:r>
          </w:p>
        </w:tc>
        <w:tc>
          <w:tcPr>
            <w:tcW w:w="82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States</w:t>
            </w:r>
          </w:p>
        </w:tc>
        <w:tc>
          <w:tcPr>
            <w:tcW w:w="98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1"/>
              </w:rPr>
              <w:t>Americas</w:t>
            </w:r>
          </w:p>
        </w:tc>
        <w:tc>
          <w:tcPr>
            <w:tcW w:w="8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Europe</w:t>
            </w:r>
          </w:p>
        </w:tc>
        <w:tc>
          <w:tcPr>
            <w:tcW w:w="12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Africa</w:t>
            </w:r>
          </w:p>
        </w:tc>
        <w:tc>
          <w:tcPr>
            <w:tcW w:w="7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Asia</w:t>
            </w: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Oceania</w:t>
            </w: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38"/>
        </w:trPr>
        <w:tc>
          <w:tcPr>
            <w:tcW w:w="20" w:type="dxa"/>
            <w:vAlign w:val="bottom"/>
          </w:tcPr>
          <w:p>
            <w:pPr>
              <w:spacing w:after="0"/>
              <w:rPr>
                <w:sz w:val="12"/>
                <w:szCs w:val="12"/>
                <w:color w:val="auto"/>
              </w:rPr>
            </w:pPr>
          </w:p>
        </w:tc>
        <w:tc>
          <w:tcPr>
            <w:tcW w:w="4440" w:type="dxa"/>
            <w:vAlign w:val="bottom"/>
          </w:tcPr>
          <w:p>
            <w:pPr>
              <w:spacing w:after="0" w:line="138" w:lineRule="exact"/>
              <w:rPr>
                <w:sz w:val="20"/>
                <w:szCs w:val="20"/>
                <w:color w:val="auto"/>
              </w:rPr>
            </w:pPr>
            <w:r>
              <w:rPr>
                <w:rFonts w:ascii="Arial" w:cs="Arial" w:eastAsia="Arial" w:hAnsi="Arial"/>
                <w:sz w:val="15"/>
                <w:szCs w:val="15"/>
                <w:b w:val="1"/>
                <w:bCs w:val="1"/>
                <w:color w:val="auto"/>
              </w:rPr>
              <w:t>During 2017</w:t>
            </w:r>
          </w:p>
        </w:tc>
        <w:tc>
          <w:tcPr>
            <w:tcW w:w="1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3"/>
              <w:spacing w:after="0" w:line="138" w:lineRule="exact"/>
              <w:rPr>
                <w:sz w:val="20"/>
                <w:szCs w:val="20"/>
                <w:color w:val="auto"/>
              </w:rPr>
            </w:pPr>
            <w:r>
              <w:rPr>
                <w:rFonts w:ascii="Arial" w:cs="Arial" w:eastAsia="Arial" w:hAnsi="Arial"/>
                <w:sz w:val="15"/>
                <w:szCs w:val="15"/>
                <w:i w:val="1"/>
                <w:iCs w:val="1"/>
                <w:color w:val="auto"/>
              </w:rPr>
              <w:t>(dollars per unit)</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100"/>
              <w:spacing w:after="0" w:line="167" w:lineRule="exact"/>
              <w:rPr>
                <w:sz w:val="20"/>
                <w:szCs w:val="20"/>
                <w:color w:val="auto"/>
              </w:rPr>
            </w:pPr>
            <w:r>
              <w:rPr>
                <w:rFonts w:ascii="Arial" w:cs="Arial" w:eastAsia="Arial" w:hAnsi="Arial"/>
                <w:sz w:val="15"/>
                <w:szCs w:val="15"/>
                <w:b w:val="1"/>
                <w:bCs w:val="1"/>
                <w:color w:val="auto"/>
              </w:rPr>
              <w:t>Consolidated Subsidiaries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46.71</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52.42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52.02</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54.70</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53.26</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53.61</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51.88</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24.20</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27.07</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30.96</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37.38</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22.69</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33.15</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26.88</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2.03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2.03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5.48</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1.51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2.05</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4.22</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3.04</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29.70</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29.70</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52.72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52.72</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10.85</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23.44</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12.25</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13.33</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8.07</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6.30</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12.33</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21.39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21.39</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44.21</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44.21</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Equity Companies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49.13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47.69</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50.27</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50.02</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21.78</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38.23</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37.81</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2.42</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4.81</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4.15</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4.30</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23.38</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7.45</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1.18</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3.51</w:t>
            </w:r>
          </w:p>
        </w:tc>
      </w:tr>
      <w:tr>
        <w:trPr>
          <w:trHeight w:val="278"/>
        </w:trPr>
        <w:tc>
          <w:tcPr>
            <w:tcW w:w="2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prices</w:t>
            </w: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Crude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47.03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52.42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51.91</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54.70</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52.12</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53.61</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51.56</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NGL,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24.16</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27.07</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30.96</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37.38</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33.79</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33.15</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29.70</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Natural gas, per thousand cubic feet</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2.03</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2.03</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5.17</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1.51</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3.65</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4.22</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3.51</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Bitumen,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29.70</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29.70</w:t>
            </w:r>
          </w:p>
        </w:tc>
      </w:tr>
      <w:tr>
        <w:trPr>
          <w:trHeight w:val="162"/>
        </w:trPr>
        <w:tc>
          <w:tcPr>
            <w:tcW w:w="20" w:type="dxa"/>
            <w:vAlign w:val="bottom"/>
          </w:tcPr>
          <w:p>
            <w:pPr>
              <w:spacing w:after="0"/>
              <w:rPr>
                <w:sz w:val="14"/>
                <w:szCs w:val="14"/>
                <w:color w:val="auto"/>
              </w:rPr>
            </w:pPr>
          </w:p>
        </w:tc>
        <w:tc>
          <w:tcPr>
            <w:tcW w:w="4440" w:type="dxa"/>
            <w:vAlign w:val="bottom"/>
          </w:tcPr>
          <w:p>
            <w:pPr>
              <w:ind w:left="320"/>
              <w:spacing w:after="0" w:line="162" w:lineRule="exact"/>
              <w:rPr>
                <w:sz w:val="20"/>
                <w:szCs w:val="20"/>
                <w:color w:val="auto"/>
              </w:rPr>
            </w:pPr>
            <w:r>
              <w:rPr>
                <w:rFonts w:ascii="Arial" w:cs="Arial" w:eastAsia="Arial" w:hAnsi="Arial"/>
                <w:sz w:val="15"/>
                <w:szCs w:val="15"/>
                <w:color w:val="auto"/>
              </w:rPr>
              <w:t>Synthetic oil, per barrel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52.72</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52.72</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oil-equivalent barrel - total</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11.61</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23.44</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10.79</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13.33</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4.02</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6.30</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10.12</w:t>
            </w:r>
          </w:p>
        </w:tc>
      </w:tr>
      <w:tr>
        <w:trPr>
          <w:trHeight w:val="162"/>
        </w:trPr>
        <w:tc>
          <w:tcPr>
            <w:tcW w:w="20" w:type="dxa"/>
            <w:vAlign w:val="bottom"/>
          </w:tcPr>
          <w:p>
            <w:pPr>
              <w:spacing w:after="0"/>
              <w:rPr>
                <w:sz w:val="14"/>
                <w:szCs w:val="14"/>
                <w:color w:val="auto"/>
              </w:rPr>
            </w:pPr>
          </w:p>
        </w:tc>
        <w:tc>
          <w:tcPr>
            <w:tcW w:w="4440" w:type="dxa"/>
            <w:vAlign w:val="bottom"/>
          </w:tcPr>
          <w:p>
            <w:pPr>
              <w:ind w:left="200"/>
              <w:spacing w:after="0" w:line="162" w:lineRule="exact"/>
              <w:rPr>
                <w:sz w:val="20"/>
                <w:szCs w:val="20"/>
                <w:color w:val="auto"/>
              </w:rPr>
            </w:pPr>
            <w:r>
              <w:rPr>
                <w:rFonts w:ascii="Arial" w:cs="Arial" w:eastAsia="Arial" w:hAnsi="Arial"/>
                <w:sz w:val="15"/>
                <w:szCs w:val="15"/>
                <w:color w:val="auto"/>
              </w:rPr>
              <w:t>Average production costs, per barrel - bitumen</w:t>
            </w:r>
          </w:p>
        </w:tc>
        <w:tc>
          <w:tcPr>
            <w:tcW w:w="13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21.39</w:t>
            </w: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21.39</w:t>
            </w:r>
          </w:p>
        </w:tc>
      </w:tr>
      <w:tr>
        <w:trPr>
          <w:trHeight w:val="194"/>
        </w:trPr>
        <w:tc>
          <w:tcPr>
            <w:tcW w:w="20" w:type="dxa"/>
            <w:vAlign w:val="bottom"/>
          </w:tcPr>
          <w:p>
            <w:pPr>
              <w:spacing w:after="0"/>
              <w:rPr>
                <w:sz w:val="16"/>
                <w:szCs w:val="16"/>
                <w:color w:val="auto"/>
              </w:rPr>
            </w:pPr>
          </w:p>
        </w:tc>
        <w:tc>
          <w:tcPr>
            <w:tcW w:w="4440" w:type="dxa"/>
            <w:vAlign w:val="bottom"/>
          </w:tcPr>
          <w:p>
            <w:pPr>
              <w:ind w:left="200"/>
              <w:spacing w:after="0"/>
              <w:rPr>
                <w:sz w:val="20"/>
                <w:szCs w:val="20"/>
                <w:color w:val="auto"/>
              </w:rPr>
            </w:pPr>
            <w:r>
              <w:rPr>
                <w:rFonts w:ascii="Arial" w:cs="Arial" w:eastAsia="Arial" w:hAnsi="Arial"/>
                <w:sz w:val="15"/>
                <w:szCs w:val="15"/>
                <w:color w:val="auto"/>
              </w:rPr>
              <w:t>Average production costs, per barrel - synthetic oil</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03"/>
              <w:spacing w:after="0"/>
              <w:rPr>
                <w:sz w:val="20"/>
                <w:szCs w:val="20"/>
                <w:color w:val="auto"/>
              </w:rPr>
            </w:pPr>
            <w:r>
              <w:rPr>
                <w:rFonts w:ascii="Arial" w:cs="Arial" w:eastAsia="Arial" w:hAnsi="Arial"/>
                <w:sz w:val="15"/>
                <w:szCs w:val="15"/>
                <w:color w:val="auto"/>
              </w:rPr>
              <w:t>44.21</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44.21</w:t>
            </w:r>
          </w:p>
        </w:tc>
      </w:tr>
    </w:tbl>
    <w:p>
      <w:pPr>
        <w:spacing w:after="0" w:line="3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Average production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oil and gas production table in section 3.A. The volumes of natural gas used in the calculation are the production volumes of natural gas available for sale and are also shown in section 3.A. The natural gas available for sale volumes are different from those shown in the reserves table in the “Oil and Gas Reserves” part of the “Supplemental Information on Oil and Gas Exploration and Production Activities” portion of the Financial Section of this report due to volumes consumed or flared. Natural gas is converted to an oil-equivalent basis at six million cubic feet per one thousand barrels.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6" w:right="239" w:bottom="1440" w:gutter="0" w:footer="0" w:header="0"/>
        </w:sectPr>
      </w:pPr>
    </w:p>
    <w:bookmarkStart w:id="13" w:name="page14"/>
    <w:bookmarkEnd w:id="13"/>
    <w:p>
      <w:pPr>
        <w:ind w:right="6660" w:firstLine="8"/>
        <w:spacing w:after="0" w:line="453"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Drilling and Other Exploratory and Development Activities A. Number of Net Productive and Dry Wells Drilled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47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44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Net Productive Exploratory Wells Drilled</w:t>
            </w:r>
          </w:p>
        </w:tc>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Consolidated Subsidiaries</w:t>
            </w:r>
          </w:p>
        </w:tc>
        <w:tc>
          <w:tcPr>
            <w:tcW w:w="3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Canada/Other Americas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6</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Europe</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Africa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Asia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Australia/Oceania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tcPr>
          <w:p>
            <w:pPr>
              <w:ind w:left="700"/>
              <w:spacing w:after="0"/>
              <w:rPr>
                <w:sz w:val="20"/>
                <w:szCs w:val="20"/>
                <w:color w:val="auto"/>
              </w:rPr>
            </w:pPr>
            <w:r>
              <w:rPr>
                <w:rFonts w:ascii="Arial" w:cs="Arial" w:eastAsia="Arial" w:hAnsi="Arial"/>
                <w:sz w:val="18"/>
                <w:szCs w:val="18"/>
                <w:color w:val="auto"/>
              </w:rPr>
              <w:t>Total Consolidated Subsidiaries</w:t>
            </w:r>
          </w:p>
        </w:tc>
        <w:tc>
          <w:tcPr>
            <w:tcW w:w="3500" w:type="dxa"/>
            <w:vAlign w:val="bottom"/>
          </w:tcPr>
          <w:p>
            <w:pPr>
              <w:spacing w:after="0"/>
              <w:rPr>
                <w:sz w:val="19"/>
                <w:szCs w:val="19"/>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11</w:t>
            </w:r>
          </w:p>
        </w:tc>
        <w:tc>
          <w:tcPr>
            <w:tcW w:w="140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4"/>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Equity Companies</w:t>
            </w:r>
          </w:p>
        </w:tc>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Europe</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Africa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Asia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tcPr>
          <w:p>
            <w:pPr>
              <w:ind w:left="700"/>
              <w:spacing w:after="0"/>
              <w:rPr>
                <w:sz w:val="20"/>
                <w:szCs w:val="20"/>
                <w:color w:val="auto"/>
              </w:rPr>
            </w:pPr>
            <w:r>
              <w:rPr>
                <w:rFonts w:ascii="Arial" w:cs="Arial" w:eastAsia="Arial" w:hAnsi="Arial"/>
                <w:sz w:val="18"/>
                <w:szCs w:val="18"/>
                <w:color w:val="auto"/>
              </w:rPr>
              <w:t>Total Equity Companies</w:t>
            </w:r>
          </w:p>
        </w:tc>
        <w:tc>
          <w:tcPr>
            <w:tcW w:w="3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Total productive exploratory wells drilled</w:t>
            </w:r>
          </w:p>
        </w:tc>
        <w:tc>
          <w:tcPr>
            <w:tcW w:w="3500" w:type="dxa"/>
            <w:vAlign w:val="bottom"/>
          </w:tcPr>
          <w:p>
            <w:pPr>
              <w:spacing w:after="0"/>
              <w:rPr>
                <w:sz w:val="19"/>
                <w:szCs w:val="19"/>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7</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Net Dry Exploratory Wells Drilled</w:t>
            </w:r>
          </w:p>
        </w:tc>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Consolidated Subsidiaries</w:t>
            </w:r>
          </w:p>
        </w:tc>
        <w:tc>
          <w:tcPr>
            <w:tcW w:w="3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Canada/Other Americas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Europe</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Africa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Asia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Australia/Oceania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420" w:type="dxa"/>
            <w:vAlign w:val="bottom"/>
          </w:tcPr>
          <w:p>
            <w:pPr>
              <w:ind w:left="700"/>
              <w:spacing w:after="0"/>
              <w:rPr>
                <w:sz w:val="20"/>
                <w:szCs w:val="20"/>
                <w:color w:val="auto"/>
              </w:rPr>
            </w:pPr>
            <w:r>
              <w:rPr>
                <w:rFonts w:ascii="Arial" w:cs="Arial" w:eastAsia="Arial" w:hAnsi="Arial"/>
                <w:sz w:val="18"/>
                <w:szCs w:val="18"/>
                <w:color w:val="auto"/>
              </w:rPr>
              <w:t>Total Consolidated Subsidiaries</w:t>
            </w:r>
          </w:p>
        </w:tc>
        <w:tc>
          <w:tcPr>
            <w:tcW w:w="3500" w:type="dxa"/>
            <w:vAlign w:val="bottom"/>
          </w:tcPr>
          <w:p>
            <w:pPr>
              <w:spacing w:after="0"/>
              <w:rPr>
                <w:sz w:val="19"/>
                <w:szCs w:val="19"/>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3</w:t>
            </w:r>
          </w:p>
        </w:tc>
        <w:tc>
          <w:tcPr>
            <w:tcW w:w="140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4"/>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Equity Companies</w:t>
            </w:r>
          </w:p>
        </w:tc>
        <w:tc>
          <w:tcPr>
            <w:tcW w:w="3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Europe</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80"/>
              <w:spacing w:after="0"/>
              <w:rPr>
                <w:sz w:val="20"/>
                <w:szCs w:val="20"/>
                <w:color w:val="auto"/>
              </w:rPr>
            </w:pPr>
            <w:r>
              <w:rPr>
                <w:rFonts w:ascii="Arial" w:cs="Arial" w:eastAsia="Arial" w:hAnsi="Arial"/>
                <w:sz w:val="18"/>
                <w:szCs w:val="18"/>
                <w:color w:val="auto"/>
              </w:rPr>
              <w:t>Africa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Asia</w:t>
            </w:r>
          </w:p>
        </w:tc>
        <w:tc>
          <w:tcPr>
            <w:tcW w:w="4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420" w:type="dxa"/>
            <w:vAlign w:val="bottom"/>
          </w:tcPr>
          <w:p>
            <w:pPr>
              <w:ind w:left="700"/>
              <w:spacing w:after="0"/>
              <w:rPr>
                <w:sz w:val="20"/>
                <w:szCs w:val="20"/>
                <w:color w:val="auto"/>
              </w:rPr>
            </w:pPr>
            <w:r>
              <w:rPr>
                <w:rFonts w:ascii="Arial" w:cs="Arial" w:eastAsia="Arial" w:hAnsi="Arial"/>
                <w:sz w:val="18"/>
                <w:szCs w:val="18"/>
                <w:color w:val="auto"/>
              </w:rPr>
              <w:t>Total Equity Companies</w:t>
            </w:r>
          </w:p>
        </w:tc>
        <w:tc>
          <w:tcPr>
            <w:tcW w:w="3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Total dry exploratory wells drilled</w:t>
            </w:r>
          </w:p>
        </w:tc>
        <w:tc>
          <w:tcPr>
            <w:tcW w:w="3500" w:type="dxa"/>
            <w:vAlign w:val="bottom"/>
            <w:vMerge w:val="restart"/>
          </w:tcPr>
          <w:p>
            <w:pPr>
              <w:jc w:val="right"/>
              <w:ind w:right="2031"/>
              <w:spacing w:after="0"/>
              <w:rPr>
                <w:sz w:val="20"/>
                <w:szCs w:val="20"/>
                <w:color w:val="auto"/>
              </w:rPr>
            </w:pPr>
            <w:r>
              <w:rPr>
                <w:rFonts w:ascii="Arial" w:cs="Arial" w:eastAsia="Arial" w:hAnsi="Arial"/>
                <w:sz w:val="18"/>
                <w:szCs w:val="18"/>
                <w:color w:val="auto"/>
              </w:rPr>
              <w:t>12</w:t>
            </w: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1400" w:type="dxa"/>
            <w:vAlign w:val="bottom"/>
          </w:tcPr>
          <w:p>
            <w:pPr>
              <w:jc w:val="right"/>
              <w:ind w:right="471"/>
              <w:spacing w:after="0"/>
              <w:rPr>
                <w:sz w:val="20"/>
                <w:szCs w:val="20"/>
                <w:color w:val="auto"/>
              </w:rPr>
            </w:pPr>
            <w:r>
              <w:rPr>
                <w:rFonts w:ascii="Arial" w:cs="Arial" w:eastAsia="Arial" w:hAnsi="Arial"/>
                <w:sz w:val="18"/>
                <w:szCs w:val="18"/>
                <w:color w:val="auto"/>
              </w:rPr>
              <w:t>6</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44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9A9A9A"/>
            </w:tcBorders>
          </w:tcPr>
          <w:p>
            <w:pPr>
              <w:spacing w:after="0"/>
              <w:rPr>
                <w:sz w:val="17"/>
                <w:szCs w:val="17"/>
                <w:color w:val="auto"/>
              </w:rPr>
            </w:pPr>
          </w:p>
        </w:tc>
        <w:tc>
          <w:tcPr>
            <w:tcW w:w="35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47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42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r>
        <w:trPr>
          <w:trHeight w:val="26"/>
        </w:trPr>
        <w:tc>
          <w:tcPr>
            <w:tcW w:w="4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07"/>
        </w:trPr>
        <w:tc>
          <w:tcPr>
            <w:tcW w:w="4460" w:type="dxa"/>
            <w:vAlign w:val="bottom"/>
          </w:tcPr>
          <w:p>
            <w:pPr>
              <w:spacing w:after="0"/>
              <w:rPr>
                <w:sz w:val="20"/>
                <w:szCs w:val="20"/>
                <w:color w:val="auto"/>
              </w:rPr>
            </w:pPr>
            <w:r>
              <w:rPr>
                <w:rFonts w:ascii="Arial" w:cs="Arial" w:eastAsia="Arial" w:hAnsi="Arial"/>
                <w:sz w:val="18"/>
                <w:szCs w:val="18"/>
                <w:b w:val="1"/>
                <w:bCs w:val="1"/>
                <w:color w:val="auto"/>
              </w:rPr>
              <w:t>Net Productive Development Wells Drilled</w:t>
            </w: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0"/>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3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618</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389</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Canada/Other Americas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49</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32</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Europe</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Africa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Asia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12</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14</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Australia/Oceania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4460" w:type="dxa"/>
            <w:vAlign w:val="bottom"/>
          </w:tcPr>
          <w:p>
            <w:pPr>
              <w:ind w:left="660"/>
              <w:spacing w:after="0"/>
              <w:rPr>
                <w:sz w:val="20"/>
                <w:szCs w:val="20"/>
                <w:color w:val="auto"/>
              </w:rPr>
            </w:pPr>
            <w:r>
              <w:rPr>
                <w:rFonts w:ascii="Arial" w:cs="Arial" w:eastAsia="Arial" w:hAnsi="Arial"/>
                <w:sz w:val="18"/>
                <w:szCs w:val="18"/>
                <w:color w:val="auto"/>
              </w:rPr>
              <w:t>Total Consolidated Subsidiaries</w:t>
            </w:r>
          </w:p>
        </w:tc>
        <w:tc>
          <w:tcPr>
            <w:tcW w:w="3460" w:type="dxa"/>
            <w:vAlign w:val="bottom"/>
          </w:tcPr>
          <w:p>
            <w:pPr>
              <w:spacing w:after="0"/>
              <w:rPr>
                <w:sz w:val="19"/>
                <w:szCs w:val="19"/>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686</w:t>
            </w:r>
          </w:p>
        </w:tc>
        <w:tc>
          <w:tcPr>
            <w:tcW w:w="14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439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40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199</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168</w:t>
            </w: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Europe</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Africa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Asia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4460" w:type="dxa"/>
            <w:vAlign w:val="bottom"/>
          </w:tcPr>
          <w:p>
            <w:pPr>
              <w:ind w:left="660"/>
              <w:spacing w:after="0"/>
              <w:rPr>
                <w:sz w:val="20"/>
                <w:szCs w:val="20"/>
                <w:color w:val="auto"/>
              </w:rPr>
            </w:pPr>
            <w:r>
              <w:rPr>
                <w:rFonts w:ascii="Arial" w:cs="Arial" w:eastAsia="Arial" w:hAnsi="Arial"/>
                <w:sz w:val="18"/>
                <w:szCs w:val="18"/>
                <w:color w:val="auto"/>
              </w:rPr>
              <w:t>Total Equity Companies</w:t>
            </w:r>
          </w:p>
        </w:tc>
        <w:tc>
          <w:tcPr>
            <w:tcW w:w="34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208</w:t>
            </w:r>
          </w:p>
        </w:tc>
        <w:tc>
          <w:tcPr>
            <w:tcW w:w="14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177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4"/>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productive development wells drilled</w:t>
            </w:r>
          </w:p>
        </w:tc>
        <w:tc>
          <w:tcPr>
            <w:tcW w:w="346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894</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616</w:t>
            </w: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400"/>
        </w:trPr>
        <w:tc>
          <w:tcPr>
            <w:tcW w:w="4460" w:type="dxa"/>
            <w:vAlign w:val="bottom"/>
          </w:tcPr>
          <w:p>
            <w:pPr>
              <w:spacing w:after="0"/>
              <w:rPr>
                <w:sz w:val="20"/>
                <w:szCs w:val="20"/>
                <w:color w:val="auto"/>
              </w:rPr>
            </w:pPr>
            <w:r>
              <w:rPr>
                <w:rFonts w:ascii="Arial" w:cs="Arial" w:eastAsia="Arial" w:hAnsi="Arial"/>
                <w:sz w:val="18"/>
                <w:szCs w:val="18"/>
                <w:b w:val="1"/>
                <w:bCs w:val="1"/>
                <w:color w:val="auto"/>
              </w:rPr>
              <w:t>Net Dry Development Wells Drilled</w:t>
            </w: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0"/>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3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Canada/Other Americas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Europe</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Africa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Asia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Australia/Oceania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660"/>
              <w:spacing w:after="0"/>
              <w:rPr>
                <w:sz w:val="20"/>
                <w:szCs w:val="20"/>
                <w:color w:val="auto"/>
              </w:rPr>
            </w:pPr>
            <w:r>
              <w:rPr>
                <w:rFonts w:ascii="Arial" w:cs="Arial" w:eastAsia="Arial" w:hAnsi="Arial"/>
                <w:sz w:val="18"/>
                <w:szCs w:val="18"/>
                <w:color w:val="auto"/>
              </w:rPr>
              <w:t>Total Consolidated Subsidiaries</w:t>
            </w:r>
          </w:p>
        </w:tc>
        <w:tc>
          <w:tcPr>
            <w:tcW w:w="3460" w:type="dxa"/>
            <w:vAlign w:val="bottom"/>
          </w:tcPr>
          <w:p>
            <w:pPr>
              <w:spacing w:after="0"/>
              <w:rPr>
                <w:sz w:val="19"/>
                <w:szCs w:val="19"/>
                <w:color w:val="auto"/>
              </w:rPr>
            </w:pPr>
          </w:p>
        </w:tc>
        <w:tc>
          <w:tcPr>
            <w:tcW w:w="12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9</w:t>
            </w:r>
          </w:p>
        </w:tc>
        <w:tc>
          <w:tcPr>
            <w:tcW w:w="14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40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3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Europe</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Africa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Asia</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Pr>
          <w:p>
            <w:pPr>
              <w:ind w:left="660"/>
              <w:spacing w:after="0"/>
              <w:rPr>
                <w:sz w:val="20"/>
                <w:szCs w:val="20"/>
                <w:color w:val="auto"/>
              </w:rPr>
            </w:pPr>
            <w:r>
              <w:rPr>
                <w:rFonts w:ascii="Arial" w:cs="Arial" w:eastAsia="Arial" w:hAnsi="Arial"/>
                <w:sz w:val="18"/>
                <w:szCs w:val="18"/>
                <w:color w:val="auto"/>
              </w:rPr>
              <w:t>Total Equity Companies</w:t>
            </w:r>
          </w:p>
        </w:tc>
        <w:tc>
          <w:tcPr>
            <w:tcW w:w="34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dry development wells drilled</w:t>
            </w:r>
          </w:p>
        </w:tc>
        <w:tc>
          <w:tcPr>
            <w:tcW w:w="3460" w:type="dxa"/>
            <w:vAlign w:val="bottom"/>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426"/>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Total number of net wells drilled</w:t>
            </w:r>
          </w:p>
        </w:tc>
        <w:tc>
          <w:tcPr>
            <w:tcW w:w="4700" w:type="dxa"/>
            <w:vAlign w:val="bottom"/>
            <w:gridSpan w:val="2"/>
          </w:tcPr>
          <w:p>
            <w:pPr>
              <w:jc w:val="right"/>
              <w:ind w:right="450"/>
              <w:spacing w:after="0"/>
              <w:rPr>
                <w:sz w:val="20"/>
                <w:szCs w:val="20"/>
                <w:color w:val="auto"/>
              </w:rPr>
            </w:pPr>
            <w:r>
              <w:rPr>
                <w:rFonts w:ascii="Arial" w:cs="Arial" w:eastAsia="Arial" w:hAnsi="Arial"/>
                <w:sz w:val="18"/>
                <w:szCs w:val="18"/>
                <w:color w:val="auto"/>
              </w:rPr>
              <w:t>917</w:t>
            </w: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635</w:t>
            </w: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4460" w:type="dxa"/>
            <w:vAlign w:val="bottom"/>
          </w:tcPr>
          <w:p>
            <w:pPr>
              <w:spacing w:after="0"/>
              <w:rPr>
                <w:sz w:val="19"/>
                <w:szCs w:val="19"/>
                <w:color w:val="auto"/>
              </w:rPr>
            </w:pPr>
          </w:p>
        </w:tc>
        <w:tc>
          <w:tcPr>
            <w:tcW w:w="3460" w:type="dxa"/>
            <w:vAlign w:val="bottom"/>
          </w:tcPr>
          <w:p>
            <w:pPr>
              <w:jc w:val="right"/>
              <w:ind w:right="2031"/>
              <w:spacing w:after="0"/>
              <w:rPr>
                <w:sz w:val="20"/>
                <w:szCs w:val="20"/>
                <w:color w:val="auto"/>
              </w:rPr>
            </w:pPr>
            <w:r>
              <w:rPr>
                <w:rFonts w:ascii="Arial" w:cs="Arial" w:eastAsia="Arial" w:hAnsi="Arial"/>
                <w:sz w:val="18"/>
                <w:szCs w:val="18"/>
                <w:color w:val="auto"/>
              </w:rPr>
              <w:t>13</w:t>
            </w:r>
          </w:p>
        </w:tc>
        <w:tc>
          <w:tcPr>
            <w:tcW w:w="1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196"/>
        </w:trPr>
        <w:tc>
          <w:tcPr>
            <w:tcW w:w="4460" w:type="dxa"/>
            <w:vAlign w:val="bottom"/>
            <w:tcBorders>
              <w:bottom w:val="single" w:sz="8" w:color="9A9A9A"/>
            </w:tcBorders>
          </w:tcPr>
          <w:p>
            <w:pPr>
              <w:spacing w:after="0"/>
              <w:rPr>
                <w:sz w:val="17"/>
                <w:szCs w:val="17"/>
                <w:color w:val="auto"/>
              </w:rPr>
            </w:pPr>
          </w:p>
        </w:tc>
        <w:tc>
          <w:tcPr>
            <w:tcW w:w="34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 Exploratory and Development Activities Regarding Oil and Gas Resources Extracted by Mining Technologies</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Syncrude Operations. </w:t>
      </w:r>
      <w:r>
        <w:rPr>
          <w:rFonts w:ascii="Arial" w:cs="Arial" w:eastAsia="Arial" w:hAnsi="Arial"/>
          <w:sz w:val="16"/>
          <w:szCs w:val="16"/>
          <w:color w:val="auto"/>
        </w:rPr>
        <w:t>Syncrude is a joint venture established to recover shallow deposits of oil sands using open-pit mining methods to extract the crude</w:t>
      </w:r>
      <w:r>
        <w:rPr>
          <w:rFonts w:ascii="Arial" w:cs="Arial" w:eastAsia="Arial" w:hAnsi="Arial"/>
          <w:sz w:val="16"/>
          <w:szCs w:val="16"/>
          <w:b w:val="1"/>
          <w:bCs w:val="1"/>
          <w:color w:val="auto"/>
        </w:rPr>
        <w:t xml:space="preserve"> </w:t>
      </w:r>
      <w:r>
        <w:rPr>
          <w:rFonts w:ascii="Arial" w:cs="Arial" w:eastAsia="Arial" w:hAnsi="Arial"/>
          <w:sz w:val="16"/>
          <w:szCs w:val="16"/>
          <w:color w:val="auto"/>
        </w:rPr>
        <w:t>bitumen, and then upgrade it to produce a high-quality, light (32 degrees API), sweet, synthetic crude oil. Imperial Oil Limited is the owner of a 25 percent interest in the joint venture. Exxon Mobil Corporation has a 69.6 percent interest in Imperial Oil Limited. In 2019, the company’s share of net production of synthetic crude oil was about 65 thousand barrels per day and share of net acreage was about 63 thousand acres in the Athabasca oil sands deposit.</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Kearl Operations. </w:t>
      </w:r>
      <w:r>
        <w:rPr>
          <w:rFonts w:ascii="Arial" w:cs="Arial" w:eastAsia="Arial" w:hAnsi="Arial"/>
          <w:sz w:val="18"/>
          <w:szCs w:val="18"/>
          <w:color w:val="auto"/>
        </w:rPr>
        <w:t>Kearl is a joint venture established to recover shallow deposits of oil sands using open-pit mining methods to extract the crude bitumen.</w:t>
      </w:r>
      <w:r>
        <w:rPr>
          <w:rFonts w:ascii="Arial" w:cs="Arial" w:eastAsia="Arial" w:hAnsi="Arial"/>
          <w:sz w:val="18"/>
          <w:szCs w:val="18"/>
          <w:b w:val="1"/>
          <w:bCs w:val="1"/>
          <w:color w:val="auto"/>
        </w:rPr>
        <w:t xml:space="preserve"> </w:t>
      </w:r>
      <w:r>
        <w:rPr>
          <w:rFonts w:ascii="Arial" w:cs="Arial" w:eastAsia="Arial" w:hAnsi="Arial"/>
          <w:sz w:val="18"/>
          <w:szCs w:val="18"/>
          <w:color w:val="auto"/>
        </w:rPr>
        <w:t>Imperial Oil Limited holds a 70.96 percent interest in the joint venture and ExxonMobil Canada Properties holds the other 29.04 percent. Exxon Mobil Corporation has a 69.6 percent interest in Imperial Oil Limited and a 100 percent interest in ExxonMobil Canada Properties. Kearl is comprised of six oil sands leases covering about 49 thousand acres in the Athabasca oil sands deposit.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Kearl is located approximately 40 miles north of Fort McMurray, Alberta, Canada. Bitumen is extracted from oil sands and processed through bitumen extraction and froth treatment trains. The product, a blend of bitumen and diluent, is shipped to our refineries and to other third parties. Diluent is natural gas condensate or other light hydrocarbons added to the crude bitumen to facilitate transportation by pipeline and rail. During 2019, average net production at Kearl was about 197 thousand barrels per day.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Present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Wells Drilling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Year-End 2019</w:t>
            </w:r>
          </w:p>
        </w:tc>
        <w:tc>
          <w:tcPr>
            <w:tcW w:w="8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Year-End 2018</w:t>
            </w:r>
          </w:p>
        </w:tc>
        <w:tc>
          <w:tcPr>
            <w:tcW w:w="460" w:type="dxa"/>
            <w:vAlign w:val="bottom"/>
          </w:tcPr>
          <w:p>
            <w:pPr>
              <w:spacing w:after="0"/>
              <w:rPr>
                <w:sz w:val="16"/>
                <w:szCs w:val="16"/>
                <w:color w:val="auto"/>
              </w:rPr>
            </w:pPr>
          </w:p>
        </w:tc>
      </w:tr>
      <w:tr>
        <w:trPr>
          <w:trHeight w:val="26"/>
        </w:trPr>
        <w:tc>
          <w:tcPr>
            <w:tcW w:w="4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4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Gross</w:t>
            </w:r>
          </w:p>
        </w:tc>
        <w:tc>
          <w:tcPr>
            <w:tcW w:w="8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8"/>
              </w:rPr>
              <w:t>Net</w:t>
            </w:r>
          </w:p>
        </w:tc>
        <w:tc>
          <w:tcPr>
            <w:tcW w:w="17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Gross</w:t>
            </w:r>
          </w:p>
        </w:tc>
        <w:tc>
          <w:tcPr>
            <w:tcW w:w="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88"/>
              </w:rPr>
              <w:t>Net</w:t>
            </w:r>
          </w:p>
        </w:tc>
      </w:tr>
      <w:tr>
        <w:trPr>
          <w:trHeight w:val="197"/>
        </w:trPr>
        <w:tc>
          <w:tcPr>
            <w:tcW w:w="430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Wells Drilling</w:t>
            </w:r>
          </w:p>
        </w:tc>
        <w:tc>
          <w:tcPr>
            <w:tcW w:w="2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0"/>
        </w:trPr>
        <w:tc>
          <w:tcPr>
            <w:tcW w:w="4300" w:type="dxa"/>
            <w:vAlign w:val="bottom"/>
          </w:tcPr>
          <w:p>
            <w:pPr>
              <w:ind w:left="260"/>
              <w:spacing w:after="0"/>
              <w:rPr>
                <w:sz w:val="20"/>
                <w:szCs w:val="20"/>
                <w:color w:val="auto"/>
              </w:rPr>
            </w:pPr>
            <w:r>
              <w:rPr>
                <w:rFonts w:ascii="Arial" w:cs="Arial" w:eastAsia="Arial" w:hAnsi="Arial"/>
                <w:sz w:val="18"/>
                <w:szCs w:val="18"/>
                <w:b w:val="1"/>
                <w:bCs w:val="1"/>
                <w:color w:val="auto"/>
              </w:rPr>
              <w:t>Consolidated Subsidiaries</w:t>
            </w:r>
          </w:p>
        </w:tc>
        <w:tc>
          <w:tcPr>
            <w:tcW w:w="2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1,133</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704</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997</w:t>
            </w:r>
          </w:p>
        </w:tc>
        <w:tc>
          <w:tcPr>
            <w:tcW w:w="4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Canada/Other Americas</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20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41</w:t>
            </w: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Europe</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16</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7</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13</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Africa</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1</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5</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Asia</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46</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14</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50</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300" w:type="dxa"/>
            <w:vAlign w:val="bottom"/>
          </w:tcPr>
          <w:p>
            <w:pPr>
              <w:ind w:left="480"/>
              <w:spacing w:after="0"/>
              <w:rPr>
                <w:sz w:val="20"/>
                <w:szCs w:val="20"/>
                <w:color w:val="auto"/>
              </w:rPr>
            </w:pPr>
            <w:r>
              <w:rPr>
                <w:rFonts w:ascii="Arial" w:cs="Arial" w:eastAsia="Arial" w:hAnsi="Arial"/>
                <w:sz w:val="18"/>
                <w:szCs w:val="18"/>
                <w:color w:val="auto"/>
              </w:rPr>
              <w:t>Australia/Oceania</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4</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4</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4300" w:type="dxa"/>
            <w:vAlign w:val="bottom"/>
          </w:tcPr>
          <w:p>
            <w:pPr>
              <w:ind w:left="700"/>
              <w:spacing w:after="0"/>
              <w:rPr>
                <w:sz w:val="20"/>
                <w:szCs w:val="20"/>
                <w:color w:val="auto"/>
              </w:rPr>
            </w:pPr>
            <w:r>
              <w:rPr>
                <w:rFonts w:ascii="Arial" w:cs="Arial" w:eastAsia="Arial" w:hAnsi="Arial"/>
                <w:sz w:val="18"/>
                <w:szCs w:val="18"/>
                <w:color w:val="auto"/>
              </w:rPr>
              <w:t>Total Consolidated Subsidiaries</w:t>
            </w:r>
          </w:p>
        </w:tc>
        <w:tc>
          <w:tcPr>
            <w:tcW w:w="2760" w:type="dxa"/>
            <w:vAlign w:val="bottom"/>
          </w:tcPr>
          <w:p>
            <w:pPr>
              <w:spacing w:after="0"/>
              <w:rPr>
                <w:sz w:val="19"/>
                <w:szCs w:val="19"/>
                <w:color w:val="auto"/>
              </w:rPr>
            </w:pPr>
          </w:p>
        </w:tc>
        <w:tc>
          <w:tcPr>
            <w:tcW w:w="13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rPr>
              <w:t>1,240</w:t>
            </w:r>
          </w:p>
        </w:tc>
        <w:tc>
          <w:tcPr>
            <w:tcW w:w="8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750</w:t>
            </w:r>
          </w:p>
        </w:tc>
        <w:tc>
          <w:tcPr>
            <w:tcW w:w="170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rPr>
              <w:t>1,110</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404"/>
        </w:trPr>
        <w:tc>
          <w:tcPr>
            <w:tcW w:w="4300" w:type="dxa"/>
            <w:vAlign w:val="bottom"/>
          </w:tcPr>
          <w:p>
            <w:pPr>
              <w:ind w:left="260"/>
              <w:spacing w:after="0"/>
              <w:rPr>
                <w:sz w:val="20"/>
                <w:szCs w:val="20"/>
                <w:color w:val="auto"/>
              </w:rPr>
            </w:pPr>
            <w:r>
              <w:rPr>
                <w:rFonts w:ascii="Arial" w:cs="Arial" w:eastAsia="Arial" w:hAnsi="Arial"/>
                <w:sz w:val="18"/>
                <w:szCs w:val="18"/>
                <w:b w:val="1"/>
                <w:bCs w:val="1"/>
                <w:color w:val="auto"/>
              </w:rPr>
              <w:t>Equity Companies</w:t>
            </w:r>
          </w:p>
        </w:tc>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3</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1</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7</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Europe</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300" w:type="dxa"/>
            <w:vAlign w:val="bottom"/>
          </w:tcPr>
          <w:p>
            <w:pPr>
              <w:ind w:left="480"/>
              <w:spacing w:after="0"/>
              <w:rPr>
                <w:sz w:val="20"/>
                <w:szCs w:val="20"/>
                <w:color w:val="auto"/>
              </w:rPr>
            </w:pPr>
            <w:r>
              <w:rPr>
                <w:rFonts w:ascii="Arial" w:cs="Arial" w:eastAsia="Arial" w:hAnsi="Arial"/>
                <w:sz w:val="18"/>
                <w:szCs w:val="18"/>
                <w:color w:val="auto"/>
              </w:rPr>
              <w:t>Africa</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1</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480"/>
              <w:spacing w:after="0"/>
              <w:rPr>
                <w:sz w:val="20"/>
                <w:szCs w:val="20"/>
                <w:color w:val="auto"/>
              </w:rPr>
            </w:pPr>
            <w:r>
              <w:rPr>
                <w:rFonts w:ascii="Arial" w:cs="Arial" w:eastAsia="Arial" w:hAnsi="Arial"/>
                <w:sz w:val="18"/>
                <w:szCs w:val="18"/>
                <w:color w:val="auto"/>
              </w:rPr>
              <w:t>Asia</w:t>
            </w:r>
          </w:p>
        </w:tc>
        <w:tc>
          <w:tcPr>
            <w:tcW w:w="4120" w:type="dxa"/>
            <w:vAlign w:val="bottom"/>
            <w:gridSpan w:val="2"/>
          </w:tcPr>
          <w:p>
            <w:pPr>
              <w:jc w:val="right"/>
              <w:ind w:right="677"/>
              <w:spacing w:after="0"/>
              <w:rPr>
                <w:sz w:val="20"/>
                <w:szCs w:val="20"/>
                <w:color w:val="auto"/>
              </w:rPr>
            </w:pPr>
            <w:r>
              <w:rPr>
                <w:rFonts w:ascii="Arial" w:cs="Arial" w:eastAsia="Arial" w:hAnsi="Arial"/>
                <w:sz w:val="18"/>
                <w:szCs w:val="18"/>
                <w:color w:val="auto"/>
              </w:rPr>
              <w:t>11</w:t>
            </w:r>
          </w:p>
        </w:tc>
        <w:tc>
          <w:tcPr>
            <w:tcW w:w="840" w:type="dxa"/>
            <w:vAlign w:val="bottom"/>
          </w:tcPr>
          <w:p>
            <w:pPr>
              <w:jc w:val="right"/>
              <w:ind w:right="371"/>
              <w:spacing w:after="0"/>
              <w:rPr>
                <w:sz w:val="20"/>
                <w:szCs w:val="20"/>
                <w:color w:val="auto"/>
              </w:rPr>
            </w:pPr>
            <w:r>
              <w:rPr>
                <w:rFonts w:ascii="Arial" w:cs="Arial" w:eastAsia="Arial" w:hAnsi="Arial"/>
                <w:sz w:val="18"/>
                <w:szCs w:val="18"/>
                <w:color w:val="auto"/>
              </w:rPr>
              <w:t>3</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17</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300" w:type="dxa"/>
            <w:vAlign w:val="bottom"/>
          </w:tcPr>
          <w:p>
            <w:pPr>
              <w:ind w:left="700"/>
              <w:spacing w:after="0"/>
              <w:rPr>
                <w:sz w:val="20"/>
                <w:szCs w:val="20"/>
                <w:color w:val="auto"/>
              </w:rPr>
            </w:pPr>
            <w:r>
              <w:rPr>
                <w:rFonts w:ascii="Arial" w:cs="Arial" w:eastAsia="Arial" w:hAnsi="Arial"/>
                <w:sz w:val="18"/>
                <w:szCs w:val="18"/>
                <w:color w:val="auto"/>
              </w:rPr>
              <w:t>Total Equity Companies</w:t>
            </w:r>
          </w:p>
        </w:tc>
        <w:tc>
          <w:tcPr>
            <w:tcW w:w="27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rPr>
              <w:t>20</w:t>
            </w: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rPr>
              <w:t>5</w:t>
            </w:r>
          </w:p>
        </w:tc>
        <w:tc>
          <w:tcPr>
            <w:tcW w:w="17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rPr>
              <w:t>25</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Total gross and net wells drilling</w:t>
            </w:r>
          </w:p>
        </w:tc>
        <w:tc>
          <w:tcPr>
            <w:tcW w:w="2760" w:type="dxa"/>
            <w:vAlign w:val="bottom"/>
          </w:tcPr>
          <w:p>
            <w:pPr>
              <w:spacing w:after="0"/>
              <w:rPr>
                <w:sz w:val="18"/>
                <w:szCs w:val="18"/>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rPr>
              <w:t>1,260</w:t>
            </w: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755</w:t>
            </w:r>
          </w:p>
        </w:tc>
        <w:tc>
          <w:tcPr>
            <w:tcW w:w="170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1,135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4300" w:type="dxa"/>
            <w:vAlign w:val="bottom"/>
          </w:tcPr>
          <w:p>
            <w:pPr>
              <w:spacing w:after="0"/>
              <w:rPr>
                <w:sz w:val="19"/>
                <w:szCs w:val="19"/>
                <w:color w:val="auto"/>
              </w:rPr>
            </w:pPr>
          </w:p>
        </w:tc>
        <w:tc>
          <w:tcPr>
            <w:tcW w:w="2760" w:type="dxa"/>
            <w:vAlign w:val="bottom"/>
          </w:tcPr>
          <w:p>
            <w:pPr>
              <w:jc w:val="right"/>
              <w:ind w:right="117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96"/>
        </w:trPr>
        <w:tc>
          <w:tcPr>
            <w:tcW w:w="4300" w:type="dxa"/>
            <w:vAlign w:val="bottom"/>
            <w:tcBorders>
              <w:bottom w:val="single" w:sz="8" w:color="9A9A9A"/>
            </w:tcBorders>
          </w:tcPr>
          <w:p>
            <w:pPr>
              <w:spacing w:after="0"/>
              <w:rPr>
                <w:sz w:val="17"/>
                <w:szCs w:val="17"/>
                <w:color w:val="auto"/>
              </w:rPr>
            </w:pPr>
          </w:p>
        </w:tc>
        <w:tc>
          <w:tcPr>
            <w:tcW w:w="27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 Review of Principal Ongoing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ExxonMobil’s year-end 2019 acreage holdings totaled 11.5 million net acres, of which 0.6 million net acres were offshore. ExxonMobil was active in areas onshore and offshore in the lower 48 states and in Alaska. The Golden Pass liquefied natural gas export project was funded in 2019.</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815.6 net exploration and development wells were completed in the inland lower 48 states. Development activities focused on liquids-rich opportunities in the onshore U.S., primarily in the Permian Basin of West Texas and New Mexico and the Bakken oil play in North Dakota. In addition, gas development activities continued in the Marcellus Shale of Pennsylvania and West Virginia, the Utica Shale of Ohio and the Haynesville Shale of East Texas and Louisiana.</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in the Gulf of Mexico at year-end 2019 was 0.5 million acres. A total of 0.9 net exploration and development wells were completed during the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Alaska production and development continued with a total of 11.6 net development wells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 OTHER AMERICAS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Oil and Gas Operations: </w:t>
      </w:r>
      <w:r>
        <w:rPr>
          <w:rFonts w:ascii="Arial" w:cs="Arial" w:eastAsia="Arial" w:hAnsi="Arial"/>
          <w:sz w:val="18"/>
          <w:szCs w:val="18"/>
          <w:color w:val="auto"/>
        </w:rPr>
        <w:t>ExxonMobil’s year-end 2019 acreage holdings totaled 6.8 million net acres, of which 3.9 million net acres were offshore. A total of</w:t>
      </w:r>
      <w:r>
        <w:rPr>
          <w:rFonts w:ascii="Arial" w:cs="Arial" w:eastAsia="Arial" w:hAnsi="Arial"/>
          <w:sz w:val="18"/>
          <w:szCs w:val="18"/>
          <w:i w:val="1"/>
          <w:iCs w:val="1"/>
          <w:color w:val="auto"/>
        </w:rPr>
        <w:t xml:space="preserve"> </w:t>
      </w:r>
      <w:r>
        <w:rPr>
          <w:rFonts w:ascii="Arial" w:cs="Arial" w:eastAsia="Arial" w:hAnsi="Arial"/>
          <w:sz w:val="18"/>
          <w:szCs w:val="18"/>
          <w:color w:val="auto"/>
        </w:rPr>
        <w:t>29.7 net development wells were completed during the year.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 Situ Bitumen Operations: </w:t>
      </w:r>
      <w:r>
        <w:rPr>
          <w:rFonts w:ascii="Arial" w:cs="Arial" w:eastAsia="Arial" w:hAnsi="Arial"/>
          <w:sz w:val="18"/>
          <w:szCs w:val="18"/>
          <w:color w:val="auto"/>
        </w:rPr>
        <w:t>ExxonMobil’s year-end 2019 in situ bitumen acreage holdings totaled 0.6 million net onshore acres. A total of 14 net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wells at Cold Lake were completed during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net acreage totaled 2.9 million acres, of which 2.6 million net acres were offshore at year-end 2019. During the year, a total of 4.2 net exploration and development wells were completed. In 2019, ExxonMobil acquired approximately 2.6 million net acres in three offshore blocks located in the Malvinas Basin.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Guyana</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acreage totaled 4.6 million offshore acres at year-end 2019. During the year, 6.3 net exploration and development wells were completed.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Liza Phase 1 project started up in December 2019, and the Liza Phase 2 project was funded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acreage totaled 2.2 million onshore acres at year-end 2019. During the year, 0.7 net exploration and development wells were completed.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ExxonMobil’s net interest in licenses totaled approximately 1.5 million acres, of which 1.1 million acres were onshore at year-end 2019. In 2018, the Dutch Cabinet notified Parliament of its intention to further reduce previously legislated Groningen gas extraction in response to seismic events over the last several years. Affiliates of the Corporation and their partners have actively been in discussions with the government on the associated implementation measures, which resulted in a signed Heads of Agreement in 2018 followed by the execution of additional implementation agreements. In 2019, the Dutch Cabinet informed Parliament of its intention to further reduce Groningen gas extraction and terminate production in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interest in licenses totaled approximately 0.3 million offshore acres at year-end 2019. During the year, a total of 0.4 net development wells were completed. Development activities continued on the Penguins Redevelopment project.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AFRICA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Angola</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net acreage totaled 0.2 million offshore acres at year-end 2019. During the year, a total of 1.3 net development wells were completed. On Block 32, the Kaombo Split Hub Sul floating production storage and offloading (FPSO) vessel started up in April 2019, and the Norte FPSO started up in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acreage holdings totaled 46 thousand onshore acres at year-end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Equatorial Guinea</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0.5 million offshore acres at year-end 2019. During the year, a total of 2.4 net development wells were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Mozambique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net acreage totaled approximately 1.8 million offshore acres at year-end 2019. In 2019, ExxonMobil relinquished approximately 0.8 million net acres as the Company reduced its working interest in Area 5 offshore blocks, Angoche A5-B, Zambezi Z5-C, and Zambezi Z5-D. Development activities continued on the Coral South Floating LNG project during the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Nigeria</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ExxonMobil’s net acreage totaled 0.9 million offshore acres at year-end 2019. During the year, a total of 1.3 net exploration and development wells were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Azerbaijan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7 thousand offshore acres at year-end 2019. During the year, a total of 0.7 net development wells were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Indonesia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acreage totaled 0.1 million onshore acres at year-end 2019. The Kedung Keris project started up in November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Iraq</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ExxonMobil’s net acreage totaled 0.1 million onshore acres at year-end 2019. During the year, a total of 2.6 net development wells were completed at the West Qurna Phase I oil field. Oil field rehabilitation activities continued during 2019 and across the life of this project will include drilling of new wells, working over of existing wells, and optimization and debottlenecking of existing facilities. In the Kurdistan Region of Iraq, ExxonMobil has continued exploration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Kazakhstan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0.3 million acres, of which 0.2 million net acres were offshore at year-end 2019. During the year, a total of 9.5 net development wells were completed. Development activities continued on the Tengiz Expansion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ExxonMobil’s interests in production sharing contracts covered 2.4 million net acres offshore at year-end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Qatar</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our joint ventures with Qatar Petroleum, ExxonMobil’s net acreage totaled 65 thousand acres offshore at year-end 2019. ExxonMobil participated in 62.2 million tonnes per year gross liquefied natural gas capacity and 2.0 billion cubic feet per day of flowing gas capacity at year-end. Development activities continued on the Barzan project during the year.</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Russia</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holdings in Sakhalin totaled 85 thousand offshore acres at year-end 2019. During the year, a total of 2.1 net development wells were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Thailand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onshore acreage in Thailand concessions totaled 21 thousand acres at year-end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Arab Emirates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net acreage in the Abu Dhabi offshore Upper Zakum oil concession was 81 thousand acres at year-end 2019. During the year, a total of 5.3 net development wells were completed. Commissioning activities continued on the Upper Zakum 750 project, while development activities progressed on the Upper Zakum 1 MBD project.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 OCEANIA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1.8 million acres offshore and 10 thousand acres onshore at year-end 2019. During the year, a total of 1.0 net exploration well was completed in the Bass Strait. Development activities continued on the West Barracouta project during the year.</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co-venturer-operated Gorgon Jansz liquefied natural gas (LNG) development consists of a subsea infrastructure for offshore production and transportation of the gas, a 15.6 million tonnes per year LNG facility and a 280 million cubic feet per day domestic gas plant located on Barrow Island, Western Australia. Development activities continued on the Gorgon Stage 2 project during the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Papua New Guinea</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ExxonMobil’s net acreage totaled 6.9 million acres, of which 3.3 million net acres were offshore at year-end 2019. During the year, a total of 1.2 net exploration and development wells were completed. In 2019, ExxonMobil relinquished approximately 3 million net acres as the Company reduced its working interest, primarily in deepwater offshore licenses. The Papua New Guinea (PNG) liquefied natural gas integrated development includes gas production and processing facilities in the southern PNG Highlands, onshore and offshore pipelines, and a 6.9 million tonnes per year liquefied natural gas facility near Port Moresby.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WORLDWIDE EXPLORATION</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year-end 2019, exploration activities were under way in several areas in which ExxonMobil has no established production operations and thus are not included above. A total of 41.5 million net acres were held at year-end 2019 and 2.7 net exploration wells were completed during the year in these countries.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Delivery Commitments</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ExxonMobil sells crude oil and natural gas from its producing operations under a variety of contractual obligations, some of which may specify the delivery of a fixed and determinable quantity for periods longer than one year. ExxonMobil also enters into natural gas sales contracts where the source of the natural gas used to fulfill the contract can be a combination of our own production and the spot market. Worldwide, we are contractually committed to deliver approximately 44 million barrels of oil and 2,500 billion cubic feet of natural gas for the period from 2020 through 2022. We expect to fulfill the majority of these delivery commitments with production from our proved developed reserves. Any remaining commitments will be fulfilled with production from our proved undeveloped reserves and purchases on the open market as necessary.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9" w:name="page20"/>
    <w:bookmarkEnd w:id="19"/>
    <w:p>
      <w:pPr>
        <w:ind w:right="7000" w:firstLine="8"/>
        <w:spacing w:after="0" w:line="376"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Oil and Gas Properties, Wells, Operations and Acreage A. Gross and Net Productive Wells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gridSpan w:val="2"/>
          </w:tcPr>
          <w:p>
            <w:pPr>
              <w:jc w:val="right"/>
              <w:ind w:right="613"/>
              <w:spacing w:after="0"/>
              <w:rPr>
                <w:sz w:val="20"/>
                <w:szCs w:val="20"/>
                <w:color w:val="auto"/>
              </w:rPr>
            </w:pPr>
            <w:r>
              <w:rPr>
                <w:rFonts w:ascii="Arial" w:cs="Arial" w:eastAsia="Arial" w:hAnsi="Arial"/>
                <w:sz w:val="14"/>
                <w:szCs w:val="14"/>
                <w:b w:val="1"/>
                <w:bCs w:val="1"/>
                <w:color w:val="auto"/>
              </w:rPr>
              <w:t>Year-End 2019</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Year-End 2018</w:t>
            </w:r>
          </w:p>
        </w:tc>
        <w:tc>
          <w:tcPr>
            <w:tcW w:w="62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Oil</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Gas</w:t>
            </w: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Oil</w:t>
            </w: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Gas</w:t>
            </w:r>
          </w:p>
        </w:tc>
        <w:tc>
          <w:tcPr>
            <w:tcW w:w="6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Gross</w:t>
            </w: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Net</w:t>
            </w: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Gross</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w:t>
            </w: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Gross</w:t>
            </w: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Net</w:t>
            </w: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Arial" w:cs="Arial" w:eastAsia="Arial" w:hAnsi="Arial"/>
                <w:sz w:val="18"/>
                <w:szCs w:val="18"/>
                <w:b w:val="1"/>
                <w:bCs w:val="1"/>
                <w:color w:val="auto"/>
              </w:rPr>
              <w:t>Gross and Net Productive Wells</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20,559</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8,502</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21,893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13,182</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20,996</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8,460</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25,061</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14,396</w:t>
            </w: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Canada/Other Americas</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4,905</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4,724</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3,441</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1,347</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5,037</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4,781</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4,262</w:t>
            </w:r>
          </w:p>
        </w:tc>
        <w:tc>
          <w:tcPr>
            <w:tcW w:w="6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Europe</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741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207</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517</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236</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981</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256</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648</w:t>
            </w: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Africa</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1,191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456</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1,221</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472</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Asia</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943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301</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133</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79</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891</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286</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133</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Australia/Oceania</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582</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120</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87</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36</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577</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123</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4"/>
        </w:trPr>
        <w:tc>
          <w:tcPr>
            <w:tcW w:w="20" w:type="dxa"/>
            <w:vAlign w:val="bottom"/>
          </w:tcPr>
          <w:p>
            <w:pPr>
              <w:spacing w:after="0"/>
              <w:rPr>
                <w:sz w:val="19"/>
                <w:szCs w:val="19"/>
                <w:color w:val="auto"/>
              </w:rPr>
            </w:pPr>
          </w:p>
        </w:tc>
        <w:tc>
          <w:tcPr>
            <w:tcW w:w="4100" w:type="dxa"/>
            <w:vAlign w:val="bottom"/>
          </w:tcPr>
          <w:p>
            <w:pPr>
              <w:ind w:left="680"/>
              <w:spacing w:after="0"/>
              <w:rPr>
                <w:sz w:val="20"/>
                <w:szCs w:val="20"/>
                <w:color w:val="auto"/>
              </w:rPr>
            </w:pPr>
            <w:r>
              <w:rPr>
                <w:rFonts w:ascii="Arial" w:cs="Arial" w:eastAsia="Arial" w:hAnsi="Arial"/>
                <w:sz w:val="18"/>
                <w:szCs w:val="18"/>
                <w:color w:val="auto"/>
              </w:rPr>
              <w:t>Total Consolidated Subsidiaries</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28,921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14,310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26,084</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14,885</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29,703</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14,378</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30,197</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16,424</w:t>
            </w:r>
          </w:p>
        </w:tc>
      </w:tr>
      <w:tr>
        <w:trPr>
          <w:trHeight w:val="404"/>
        </w:trPr>
        <w:tc>
          <w:tcPr>
            <w:tcW w:w="2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12,947</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5,328</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4,500</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577</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13,126</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5,398</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4,503</w:t>
            </w: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2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Europe</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57</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561</w:t>
            </w: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175</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57</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602</w:t>
            </w: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2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Asia</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194</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126</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30</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164</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4100" w:type="dxa"/>
            <w:vAlign w:val="bottom"/>
          </w:tcPr>
          <w:p>
            <w:pPr>
              <w:ind w:left="680"/>
              <w:spacing w:after="0"/>
              <w:rPr>
                <w:sz w:val="20"/>
                <w:szCs w:val="20"/>
                <w:color w:val="auto"/>
              </w:rPr>
            </w:pPr>
            <w:r>
              <w:rPr>
                <w:rFonts w:ascii="Arial" w:cs="Arial" w:eastAsia="Arial" w:hAnsi="Arial"/>
                <w:sz w:val="18"/>
                <w:szCs w:val="18"/>
                <w:color w:val="auto"/>
              </w:rPr>
              <w:t>Total Equity Companies</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13,198</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5,397</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5,187</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782</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13,347</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5,459</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5,231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gross and net productive wells</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42,119</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19,707</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31,271</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15,667</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43,050</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19,837</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35,428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17,218</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27,532 gross and 23,857 net operated wells at year-end 2019 and 28,847 gross and 24,696 net operated wells at year-end 2018. The number of wells with multiple completions was 1,023 gross in 2019 and 947 gross in 2018.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 Gross and Net Developed Acreage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400" w:type="dxa"/>
            <w:vAlign w:val="bottom"/>
            <w:gridSpan w:val="2"/>
          </w:tcPr>
          <w:p>
            <w:pPr>
              <w:jc w:val="right"/>
              <w:ind w:right="873"/>
              <w:spacing w:after="0"/>
              <w:rPr>
                <w:sz w:val="20"/>
                <w:szCs w:val="20"/>
                <w:color w:val="auto"/>
              </w:rPr>
            </w:pPr>
            <w:r>
              <w:rPr>
                <w:rFonts w:ascii="Arial" w:cs="Arial" w:eastAsia="Arial" w:hAnsi="Arial"/>
                <w:sz w:val="14"/>
                <w:szCs w:val="14"/>
                <w:b w:val="1"/>
                <w:bCs w:val="1"/>
                <w:color w:val="auto"/>
              </w:rPr>
              <w:t>Year-End 2019</w:t>
            </w:r>
          </w:p>
        </w:tc>
        <w:tc>
          <w:tcPr>
            <w:tcW w:w="2240" w:type="dxa"/>
            <w:vAlign w:val="bottom"/>
            <w:gridSpan w:val="2"/>
          </w:tcPr>
          <w:p>
            <w:pPr>
              <w:jc w:val="right"/>
              <w:ind w:right="451"/>
              <w:spacing w:after="0"/>
              <w:rPr>
                <w:sz w:val="20"/>
                <w:szCs w:val="20"/>
                <w:color w:val="auto"/>
              </w:rPr>
            </w:pPr>
            <w:r>
              <w:rPr>
                <w:rFonts w:ascii="Arial" w:cs="Arial" w:eastAsia="Arial" w:hAnsi="Arial"/>
                <w:sz w:val="14"/>
                <w:szCs w:val="14"/>
                <w:b w:val="1"/>
                <w:bCs w:val="1"/>
                <w:color w:val="auto"/>
              </w:rPr>
              <w:t>Year-End 2018</w:t>
            </w:r>
          </w:p>
        </w:tc>
      </w:tr>
      <w:tr>
        <w:trPr>
          <w:trHeight w:val="26"/>
        </w:trPr>
        <w:tc>
          <w:tcPr>
            <w:tcW w:w="6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Gross</w:t>
            </w: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Net</w:t>
            </w: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Net</w:t>
            </w:r>
          </w:p>
        </w:tc>
      </w:tr>
      <w:tr>
        <w:trPr>
          <w:trHeight w:val="190"/>
        </w:trPr>
        <w:tc>
          <w:tcPr>
            <w:tcW w:w="6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2"/>
          </w:tcPr>
          <w:p>
            <w:pPr>
              <w:jc w:val="right"/>
              <w:ind w:right="773"/>
              <w:spacing w:after="0"/>
              <w:rPr>
                <w:sz w:val="20"/>
                <w:szCs w:val="20"/>
                <w:color w:val="auto"/>
              </w:rPr>
            </w:pPr>
            <w:r>
              <w:rPr>
                <w:rFonts w:ascii="Arial" w:cs="Arial" w:eastAsia="Arial" w:hAnsi="Arial"/>
                <w:sz w:val="14"/>
                <w:szCs w:val="14"/>
                <w:i w:val="1"/>
                <w:iCs w:val="1"/>
                <w:color w:val="auto"/>
              </w:rPr>
              <w:t>(thousands of acres)</w:t>
            </w:r>
          </w:p>
        </w:tc>
        <w:tc>
          <w:tcPr>
            <w:tcW w:w="880" w:type="dxa"/>
            <w:vAlign w:val="bottom"/>
          </w:tcPr>
          <w:p>
            <w:pPr>
              <w:spacing w:after="0"/>
              <w:rPr>
                <w:sz w:val="16"/>
                <w:szCs w:val="16"/>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Gross and Net Developed Acreage</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678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13,283</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8,097</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13,900</w:t>
            </w:r>
          </w:p>
        </w:tc>
        <w:tc>
          <w:tcPr>
            <w:tcW w:w="880" w:type="dxa"/>
            <w:vAlign w:val="bottom"/>
          </w:tcPr>
          <w:p>
            <w:pPr>
              <w:jc w:val="right"/>
              <w:spacing w:after="0"/>
              <w:rPr>
                <w:sz w:val="20"/>
                <w:szCs w:val="20"/>
                <w:color w:val="auto"/>
              </w:rPr>
            </w:pPr>
            <w:r>
              <w:rPr>
                <w:rFonts w:ascii="Arial" w:cs="Arial" w:eastAsia="Arial" w:hAnsi="Arial"/>
                <w:sz w:val="18"/>
                <w:szCs w:val="18"/>
                <w:color w:val="auto"/>
              </w:rPr>
              <w:t>8,399</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3,020</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2,100</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3,596</w:t>
            </w:r>
          </w:p>
        </w:tc>
        <w:tc>
          <w:tcPr>
            <w:tcW w:w="88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2,229</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1,182</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2,937</w:t>
            </w:r>
          </w:p>
        </w:tc>
        <w:tc>
          <w:tcPr>
            <w:tcW w:w="88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Africa</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2,409</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832</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2,492</w:t>
            </w: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1,938</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561</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1,939</w:t>
            </w:r>
          </w:p>
        </w:tc>
        <w:tc>
          <w:tcPr>
            <w:tcW w:w="8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Australia/Oceania</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3,262</w:t>
            </w: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1,068</w:t>
            </w: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3,262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24"/>
        </w:trPr>
        <w:tc>
          <w:tcPr>
            <w:tcW w:w="6780" w:type="dxa"/>
            <w:vAlign w:val="bottom"/>
          </w:tcPr>
          <w:p>
            <w:pPr>
              <w:ind w:left="660"/>
              <w:spacing w:after="0"/>
              <w:rPr>
                <w:sz w:val="20"/>
                <w:szCs w:val="20"/>
                <w:color w:val="auto"/>
              </w:rPr>
            </w:pPr>
            <w:r>
              <w:rPr>
                <w:rFonts w:ascii="Arial" w:cs="Arial" w:eastAsia="Arial" w:hAnsi="Arial"/>
                <w:sz w:val="18"/>
                <w:szCs w:val="18"/>
                <w:color w:val="auto"/>
              </w:rPr>
              <w:t>Total Consolidated Subsidiaries</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26,141</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13,840</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28,126</w:t>
            </w:r>
          </w:p>
        </w:tc>
        <w:tc>
          <w:tcPr>
            <w:tcW w:w="880" w:type="dxa"/>
            <w:vAlign w:val="bottom"/>
          </w:tcPr>
          <w:p>
            <w:pPr>
              <w:jc w:val="right"/>
              <w:spacing w:after="0"/>
              <w:rPr>
                <w:sz w:val="20"/>
                <w:szCs w:val="20"/>
                <w:color w:val="auto"/>
              </w:rPr>
            </w:pPr>
            <w:r>
              <w:rPr>
                <w:rFonts w:ascii="Arial" w:cs="Arial" w:eastAsia="Arial" w:hAnsi="Arial"/>
                <w:sz w:val="18"/>
                <w:szCs w:val="18"/>
                <w:color w:val="auto"/>
              </w:rPr>
              <w:t>14,536</w:t>
            </w:r>
          </w:p>
        </w:tc>
      </w:tr>
      <w:tr>
        <w:trPr>
          <w:trHeight w:val="404"/>
        </w:trPr>
        <w:tc>
          <w:tcPr>
            <w:tcW w:w="678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926</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207</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929</w:t>
            </w: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4,069</w:t>
            </w:r>
          </w:p>
        </w:tc>
        <w:tc>
          <w:tcPr>
            <w:tcW w:w="1300" w:type="dxa"/>
            <w:vAlign w:val="bottom"/>
          </w:tcPr>
          <w:p>
            <w:pPr>
              <w:jc w:val="right"/>
              <w:ind w:right="393"/>
              <w:spacing w:after="0"/>
              <w:rPr>
                <w:sz w:val="20"/>
                <w:szCs w:val="20"/>
                <w:color w:val="auto"/>
              </w:rPr>
            </w:pPr>
            <w:r>
              <w:rPr>
                <w:rFonts w:ascii="Arial" w:cs="Arial" w:eastAsia="Arial" w:hAnsi="Arial"/>
                <w:sz w:val="18"/>
                <w:szCs w:val="18"/>
                <w:color w:val="auto"/>
              </w:rPr>
              <w:t>1,280</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4,110</w:t>
            </w:r>
          </w:p>
        </w:tc>
        <w:tc>
          <w:tcPr>
            <w:tcW w:w="8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Asia</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628</w:t>
            </w: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155</w:t>
            </w: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10"/>
        </w:trPr>
        <w:tc>
          <w:tcPr>
            <w:tcW w:w="6780" w:type="dxa"/>
            <w:vAlign w:val="bottom"/>
          </w:tcPr>
          <w:p>
            <w:pPr>
              <w:ind w:left="660"/>
              <w:spacing w:after="0"/>
              <w:rPr>
                <w:sz w:val="20"/>
                <w:szCs w:val="20"/>
                <w:color w:val="auto"/>
              </w:rPr>
            </w:pPr>
            <w:r>
              <w:rPr>
                <w:rFonts w:ascii="Arial" w:cs="Arial" w:eastAsia="Arial" w:hAnsi="Arial"/>
                <w:sz w:val="18"/>
                <w:szCs w:val="18"/>
                <w:color w:val="auto"/>
              </w:rPr>
              <w:t>Total Equity Companies</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5,623</w:t>
            </w: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1,642</w:t>
            </w: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5,667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gross and net developed acreage</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31,764</w:t>
            </w: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15,482</w:t>
            </w: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33,793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16,186</w:t>
            </w:r>
          </w:p>
        </w:tc>
      </w:tr>
    </w:tbl>
    <w:p>
      <w:pPr>
        <w:spacing w:after="0" w:line="40" w:lineRule="exact"/>
        <w:rPr>
          <w:sz w:val="20"/>
          <w:szCs w:val="20"/>
          <w:color w:val="auto"/>
        </w:rPr>
      </w:pPr>
    </w:p>
    <w:p>
      <w:pPr>
        <w:ind w:left="180" w:hanging="172"/>
        <w:spacing w:after="0" w:line="277" w:lineRule="auto"/>
        <w:tabs>
          <w:tab w:leader="none" w:pos="546"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developed acreage in Other Americas of 472 gross and 295 net thousands of acres for 2019 and 375 gross and 244 net thousands of acres for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Separate acreage data for oil and gas are not maintained because, in many instances, both are produced from the same acreage.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Gross and Net Undeveloped Acreage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380" w:type="dxa"/>
            <w:vAlign w:val="bottom"/>
            <w:gridSpan w:val="2"/>
          </w:tcPr>
          <w:p>
            <w:pPr>
              <w:jc w:val="right"/>
              <w:ind w:right="852"/>
              <w:spacing w:after="0"/>
              <w:rPr>
                <w:sz w:val="20"/>
                <w:szCs w:val="20"/>
                <w:color w:val="auto"/>
              </w:rPr>
            </w:pPr>
            <w:r>
              <w:rPr>
                <w:rFonts w:ascii="Arial" w:cs="Arial" w:eastAsia="Arial" w:hAnsi="Arial"/>
                <w:sz w:val="14"/>
                <w:szCs w:val="14"/>
                <w:b w:val="1"/>
                <w:bCs w:val="1"/>
                <w:color w:val="auto"/>
              </w:rPr>
              <w:t>Year-End 2019</w:t>
            </w:r>
          </w:p>
        </w:tc>
        <w:tc>
          <w:tcPr>
            <w:tcW w:w="2260" w:type="dxa"/>
            <w:vAlign w:val="bottom"/>
            <w:gridSpan w:val="2"/>
          </w:tcPr>
          <w:p>
            <w:pPr>
              <w:jc w:val="right"/>
              <w:ind w:right="451"/>
              <w:spacing w:after="0"/>
              <w:rPr>
                <w:sz w:val="20"/>
                <w:szCs w:val="20"/>
                <w:color w:val="auto"/>
              </w:rPr>
            </w:pPr>
            <w:r>
              <w:rPr>
                <w:rFonts w:ascii="Arial" w:cs="Arial" w:eastAsia="Arial" w:hAnsi="Arial"/>
                <w:sz w:val="14"/>
                <w:szCs w:val="14"/>
                <w:b w:val="1"/>
                <w:bCs w:val="1"/>
                <w:color w:val="auto"/>
              </w:rPr>
              <w:t>Year-End 2018</w:t>
            </w:r>
          </w:p>
        </w:tc>
      </w:tr>
      <w:tr>
        <w:trPr>
          <w:trHeight w:val="26"/>
        </w:trPr>
        <w:tc>
          <w:tcPr>
            <w:tcW w:w="6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Gross</w:t>
            </w: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Net</w:t>
            </w: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Gross</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Net</w:t>
            </w:r>
          </w:p>
        </w:tc>
      </w:tr>
      <w:tr>
        <w:trPr>
          <w:trHeight w:val="190"/>
        </w:trPr>
        <w:tc>
          <w:tcPr>
            <w:tcW w:w="6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60" w:type="dxa"/>
            <w:vAlign w:val="bottom"/>
            <w:gridSpan w:val="2"/>
          </w:tcPr>
          <w:p>
            <w:pPr>
              <w:jc w:val="right"/>
              <w:ind w:right="772"/>
              <w:spacing w:after="0"/>
              <w:rPr>
                <w:sz w:val="20"/>
                <w:szCs w:val="20"/>
                <w:color w:val="auto"/>
              </w:rPr>
            </w:pPr>
            <w:r>
              <w:rPr>
                <w:rFonts w:ascii="Arial" w:cs="Arial" w:eastAsia="Arial" w:hAnsi="Arial"/>
                <w:sz w:val="14"/>
                <w:szCs w:val="14"/>
                <w:i w:val="1"/>
                <w:iCs w:val="1"/>
                <w:color w:val="auto"/>
              </w:rPr>
              <w:t>(thousands of acres)</w:t>
            </w:r>
          </w:p>
        </w:tc>
        <w:tc>
          <w:tcPr>
            <w:tcW w:w="880" w:type="dxa"/>
            <w:vAlign w:val="bottom"/>
          </w:tcPr>
          <w:p>
            <w:pPr>
              <w:spacing w:after="0"/>
              <w:rPr>
                <w:sz w:val="16"/>
                <w:szCs w:val="16"/>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Gross and Net Undeveloped Acreage</w:t>
            </w: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678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7,123</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3,146</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7,421</w:t>
            </w:r>
          </w:p>
        </w:tc>
        <w:tc>
          <w:tcPr>
            <w:tcW w:w="880" w:type="dxa"/>
            <w:vAlign w:val="bottom"/>
          </w:tcPr>
          <w:p>
            <w:pPr>
              <w:jc w:val="right"/>
              <w:spacing w:after="0"/>
              <w:rPr>
                <w:sz w:val="20"/>
                <w:szCs w:val="20"/>
                <w:color w:val="auto"/>
              </w:rPr>
            </w:pPr>
            <w:r>
              <w:rPr>
                <w:rFonts w:ascii="Arial" w:cs="Arial" w:eastAsia="Arial" w:hAnsi="Arial"/>
                <w:sz w:val="18"/>
                <w:szCs w:val="18"/>
                <w:color w:val="auto"/>
              </w:rPr>
              <w:t>3,427</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4"/>
                <w:szCs w:val="14"/>
                <w:i w:val="1"/>
                <w:iCs w:val="1"/>
                <w:color w:val="auto"/>
              </w:rPr>
              <w:t>(1)</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36,509</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17,950</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34,932</w:t>
            </w:r>
          </w:p>
        </w:tc>
        <w:tc>
          <w:tcPr>
            <w:tcW w:w="880" w:type="dxa"/>
            <w:vAlign w:val="bottom"/>
          </w:tcPr>
          <w:p>
            <w:pPr>
              <w:jc w:val="right"/>
              <w:spacing w:after="0"/>
              <w:rPr>
                <w:sz w:val="20"/>
                <w:szCs w:val="20"/>
                <w:color w:val="auto"/>
              </w:rPr>
            </w:pPr>
            <w:r>
              <w:rPr>
                <w:rFonts w:ascii="Arial" w:cs="Arial" w:eastAsia="Arial" w:hAnsi="Arial"/>
                <w:sz w:val="18"/>
                <w:szCs w:val="18"/>
                <w:color w:val="auto"/>
              </w:rPr>
              <w:t>15,340</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18,212</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7,619</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9,168</w:t>
            </w:r>
          </w:p>
        </w:tc>
        <w:tc>
          <w:tcPr>
            <w:tcW w:w="880" w:type="dxa"/>
            <w:vAlign w:val="bottom"/>
          </w:tcPr>
          <w:p>
            <w:pPr>
              <w:jc w:val="right"/>
              <w:spacing w:after="0"/>
              <w:rPr>
                <w:sz w:val="20"/>
                <w:szCs w:val="20"/>
                <w:color w:val="auto"/>
              </w:rPr>
            </w:pPr>
            <w:r>
              <w:rPr>
                <w:rFonts w:ascii="Arial" w:cs="Arial" w:eastAsia="Arial" w:hAnsi="Arial"/>
                <w:sz w:val="18"/>
                <w:szCs w:val="18"/>
                <w:color w:val="auto"/>
              </w:rPr>
              <w:t>4,191</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Africa</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56,049</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32,449</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44,556</w:t>
            </w: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Asia</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6,880</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2,911</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7,195</w:t>
            </w:r>
          </w:p>
        </w:tc>
        <w:tc>
          <w:tcPr>
            <w:tcW w:w="880" w:type="dxa"/>
            <w:vAlign w:val="bottom"/>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Australia/Oceania</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14,773</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7,689</w:t>
            </w: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15,337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10,756</w:t>
            </w:r>
          </w:p>
        </w:tc>
      </w:tr>
      <w:tr>
        <w:trPr>
          <w:trHeight w:val="224"/>
        </w:trPr>
        <w:tc>
          <w:tcPr>
            <w:tcW w:w="6780" w:type="dxa"/>
            <w:vAlign w:val="bottom"/>
          </w:tcPr>
          <w:p>
            <w:pPr>
              <w:ind w:left="660"/>
              <w:spacing w:after="0"/>
              <w:rPr>
                <w:sz w:val="20"/>
                <w:szCs w:val="20"/>
                <w:color w:val="auto"/>
              </w:rPr>
            </w:pPr>
            <w:r>
              <w:rPr>
                <w:rFonts w:ascii="Arial" w:cs="Arial" w:eastAsia="Arial" w:hAnsi="Arial"/>
                <w:sz w:val="18"/>
                <w:szCs w:val="18"/>
                <w:color w:val="auto"/>
              </w:rPr>
              <w:t>Total Consolidated Subsidiaries</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139,546</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71,764</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118,609</w:t>
            </w:r>
          </w:p>
        </w:tc>
        <w:tc>
          <w:tcPr>
            <w:tcW w:w="880" w:type="dxa"/>
            <w:vAlign w:val="bottom"/>
          </w:tcPr>
          <w:p>
            <w:pPr>
              <w:jc w:val="right"/>
              <w:spacing w:after="0"/>
              <w:rPr>
                <w:sz w:val="20"/>
                <w:szCs w:val="20"/>
                <w:color w:val="auto"/>
              </w:rPr>
            </w:pPr>
            <w:r>
              <w:rPr>
                <w:rFonts w:ascii="Arial" w:cs="Arial" w:eastAsia="Arial" w:hAnsi="Arial"/>
                <w:sz w:val="18"/>
                <w:szCs w:val="18"/>
                <w:color w:val="auto"/>
              </w:rPr>
              <w:t>60,678</w:t>
            </w:r>
          </w:p>
        </w:tc>
      </w:tr>
      <w:tr>
        <w:trPr>
          <w:trHeight w:val="404"/>
        </w:trPr>
        <w:tc>
          <w:tcPr>
            <w:tcW w:w="678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189</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73</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203</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Europe</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366</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105</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Africa</w:t>
            </w:r>
          </w:p>
        </w:tc>
        <w:tc>
          <w:tcPr>
            <w:tcW w:w="1100" w:type="dxa"/>
            <w:vAlign w:val="bottom"/>
          </w:tcPr>
          <w:p>
            <w:pPr>
              <w:jc w:val="right"/>
              <w:ind w:right="252"/>
              <w:spacing w:after="0"/>
              <w:rPr>
                <w:sz w:val="20"/>
                <w:szCs w:val="20"/>
                <w:color w:val="auto"/>
              </w:rPr>
            </w:pPr>
            <w:r>
              <w:rPr>
                <w:rFonts w:ascii="Arial" w:cs="Arial" w:eastAsia="Arial" w:hAnsi="Arial"/>
                <w:sz w:val="18"/>
                <w:szCs w:val="18"/>
                <w:color w:val="auto"/>
              </w:rPr>
              <w:t>596</w:t>
            </w:r>
          </w:p>
        </w:tc>
        <w:tc>
          <w:tcPr>
            <w:tcW w:w="1280" w:type="dxa"/>
            <w:vAlign w:val="bottom"/>
          </w:tcPr>
          <w:p>
            <w:pPr>
              <w:jc w:val="right"/>
              <w:ind w:right="372"/>
              <w:spacing w:after="0"/>
              <w:rPr>
                <w:sz w:val="20"/>
                <w:szCs w:val="20"/>
                <w:color w:val="auto"/>
              </w:rPr>
            </w:pPr>
            <w:r>
              <w:rPr>
                <w:rFonts w:ascii="Arial" w:cs="Arial" w:eastAsia="Arial" w:hAnsi="Arial"/>
                <w:sz w:val="18"/>
                <w:szCs w:val="18"/>
                <w:color w:val="auto"/>
              </w:rPr>
              <w:t>149</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596</w:t>
            </w: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Asia</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73</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w:t>
            </w: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6780" w:type="dxa"/>
            <w:vAlign w:val="bottom"/>
          </w:tcPr>
          <w:p>
            <w:pPr>
              <w:ind w:left="660"/>
              <w:spacing w:after="0"/>
              <w:rPr>
                <w:sz w:val="20"/>
                <w:szCs w:val="20"/>
                <w:color w:val="auto"/>
              </w:rPr>
            </w:pPr>
            <w:r>
              <w:rPr>
                <w:rFonts w:ascii="Arial" w:cs="Arial" w:eastAsia="Arial" w:hAnsi="Arial"/>
                <w:sz w:val="18"/>
                <w:szCs w:val="18"/>
                <w:color w:val="auto"/>
              </w:rPr>
              <w:t>Total Equity Companies</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1,224</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332</w:t>
            </w: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972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gross and net undeveloped acreage</w:t>
            </w: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140,770</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72,096</w:t>
            </w: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119,581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60,933</w:t>
            </w:r>
          </w:p>
        </w:tc>
      </w:tr>
    </w:tbl>
    <w:p>
      <w:pPr>
        <w:spacing w:after="0" w:line="40" w:lineRule="exact"/>
        <w:rPr>
          <w:sz w:val="20"/>
          <w:szCs w:val="20"/>
          <w:color w:val="auto"/>
        </w:rPr>
      </w:pPr>
    </w:p>
    <w:p>
      <w:pPr>
        <w:ind w:left="180" w:right="20" w:hanging="172"/>
        <w:spacing w:after="0" w:line="277" w:lineRule="auto"/>
        <w:tabs>
          <w:tab w:leader="none" w:pos="546"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undeveloped acreage in Other Americas of 25,327 gross and 12,065 net thousands of acres for 2019 and 23,872 gross and 9,595 net thousands of acres for 2018.</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 The scheduled expiration of leases and concessions for undeveloped acreage over the next three years is not expected to have a material adverse impact on the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 Summary of Acreage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Oil and gas exploration and production rights are acquired from mineral interest owners through a lease. Mineral interest owners include the Federal and State governments, as well as private mineral interest owners. Leases typically have an exploration period ranging from one to ten years, and a production period that normally remains in effect until production ceases. Under certain circumstances, a lease may be held beyond its exploration term even if production has not commenced. In some instances regarding private property, a “fee interest” is acquired where the underlying mineral interests are owned outright.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 OTHER AMERICAS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Exploration licenses or leases in onshore areas are acquired for varying periods of time with renewals or extensions possible. These licenses or leases entitle the holder to continue existing licenses or leases upon completing specified work. In general, these license and lease agreements are held as long as there is proven production capability on the licenses and leases. Exploration licenses in offshore eastern Canada and the Beaufort Sea are held by work commitments of various amounts and rentals. They are valid for a maximum term of nine years. Offshore production licenses are valid for 25 years, with rights of extension for continued production. Significant discovery licenses in the offshore, relating to currently undeveloped discoveries, do not have a definite term.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Hydrocarbon Law was amended in 2014. Pursuant to the amended law, the production term for an onshore unconventional concession is 35 years, and 25 years for a conventional concession, with unlimited ten-year extensions possible, once a field has been developed. In 2019, the government granted three offshore exploration licenses, with terms of eight years, divided into two exploration periods of four years, with an optional extension of five years for each license. Three onshore exploration concessions were initially granted prior to the amendment and are governed under Provincial Law with expiration terms between 2020 and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Guyana</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Petroleum (Exploration and Production) Act authorizes the government of Guyana to grant petroleum prospecting and production licenses and to enter into petroleum agreements for the exploration and production of hydrocarbons. Petroleum agreements provide for an exploration period of up to 10 years and a production period of 20 years, with a 10 year extension.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Exploration concessions are granted for an initial maximum period of five years, with an unlimited number of extensions up to three years each. Extensions are subject to specific minimum work commitments. Production licenses are normally granted for 20 to 25 years with multiple possible extensions subject to production on the license.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license and are based on the Mining Law.</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Acreage terms are fixed by the government and are periodically changed. For example, many of the early licenses issued under the first four licensing rounds provided an initial term of six years with relinquishment of at least one-half of the original area at the end of the initial term, subject to extension for a further 40 years. At the end of any such 40-year term, licenses may continue in producing areas until cessation of production; or licenses may continue in development areas for periods agreed on a case-by-case basis until they become producing areas; or licenses terminate in all other areas. The majority of traditional licenses currently issued have an initial exploration term of four years with a second term extension of four years, and a final production term of 18 years, with a mandatory relinquishment of 50 percent of the acreage after the initial term and of all acreage that is not covered by a development plan at the end of the second term.</w:t>
      </w:r>
    </w:p>
    <w:p>
      <w:pPr>
        <w:spacing w:after="0" w:line="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Terms for exploration acreage in technically challenged areas are governed by frontier production licenses, generally covering a larger initial area than traditional licenses, with an initial exploration term of six or nine years with a second term extension of six years, and a final production term of 18 years, with relinquishment of 75 percent of the original area after three years and 50 percent of the remaining acreage after the next three years. Innovate licenses issued replace traditional and frontier licenses and offer greater flexibility with respect to periods and work program commitments.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Angola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Exploration and production activities are governed by production sharing agreements with an initial exploration term of four years and an optional second phase of two to three years. The production period is 25 years, and agreements generally provide for a negotiated extension.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Chad</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Exploration permits are issued for a period of five years, and are renewable for one or two further five-year periods. The terms and conditions of the permits, including relinquishment obligations, are specified in a negotiated convention. The production term is 30 years and in 2017 was extended by 20 years to 2050.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Equatorial Guinea</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Exploration, development and production activities are governed by production sharing contracts (PSCs) negotiated with the State Ministry of Mines and Hydrocarbons. A new PSC was ratified in 2018; the initial exploration period is five years for oil and gas, with multi-year extensions available at the discretion of the Ministry and limited relinquishments in the absence of commercial discoveries. The production period for crude oil ranges from 25 to 30 years, while the production period for natural gas ranges from 25 to 50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Mozambique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Exploration and production activities are generally governed by concession contracts with the Government of the Republic of Mozambique, represented by the Ministry of Mineral Resources and Energy. An interest in Area 4 offshore Mozambique was acquired in 2017. Terms for Area 4 are governed by the Exploration and Production Concession Contract (EPCC) for Area 4 Offshore of the Rovuma Block. The EPCC expires 30 years after an approved plan of development becomes effective for a given discovery area.</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an interest was acquired in offshore blocks, A5-B, Z5-C and Z5-D. Terms for the three blocks are governed by their respective EPCCs, which have an initial exploration phase that expires in 2022 with the possibility of two additional exploration phases expiring in 2024 and 2025. The EPCCs provide a development and production period that expires 30 years after the approval of a plan of development.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Nigeria</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Exploration and production activities in the deepwater offshore areas are typically governed by production sharing contracts (PSCs) with the national oil company, the Nigerian National Petroleum Corporation (NNPC). NNPC typically holds the underlying Oil Prospecting License (OPL) and any resulting Oil Mining Lease (OML). The terms of the PSCs are generally 30 years, including a ten-year exploration period (an initial exploration phase that can be divided into multiple optional periods) covered by an OPL. Upon commercial discovery, an OPL may be converted to an OML. Partial relinquishment is required under the PSC at the end of the ten-year exploration period, and OMLs have a 20-year production period that may be extended.</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exploration activities are carried out in deepwater by joint ventures with local companies holding interests in an OPL. OPLs in deepwater offshore areas are valid for 10 years, while in all other areas the licenses are for five years. Demonstrating a commercial discovery is the basis for conversion of an OPL to an OML.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OMLs granted prior to the 1969 Petroleum Act (i.e., under the Mineral Oils Act 1914, repealed by the 1969 Petroleum Act) were for 30 years onshore and 40 years in offshore areas and have been renewed, effective December 1, 2008, for a further period of 20 years, with a further renewal option of 20 years. Operations under these pre-1969 OMLs are conducted under a joint venture agreement with NNPC rather than a PSC. Commercial terms applicable to the existing joint venture oil production are defined by the Petroleum Profits Tax Act.</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OMLs granted under the 1969 Petroleum Act, which include all deepwater OMLs, have a maximum term of 20 years without distinction for onshore or offshore location and are renewable, upon 12 months’ written notice, for another period of 20 years. OMLs not held by NNPC are also subject to a mandatory 50-percent relinquishment after the first 10 years of their duration.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Azerbaijan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production sharing agreement (PSA) for the development of the Azeri-Chirag-Gunashli field was established for an initial period of 30 years starting from the PSA execution date in 1994. The PSA was amended in September 2017 to extend the term by 25 years to 2049.</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exploration and production activities are governed by PSAs negotiated with the national oil company of Azerbaijan. The exploration period typically consists of three or four years with the possibility of a one to three-year extension. The production period, which includes development, is for 25 years or 35 years with the possibility of one or two five-year extensions.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Indonesia</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Exploration and production activities in Indonesia are generally governed by cooperation contracts, usually in the form of a production sharing contract (PSC), negotiated with BPMIGAS, a government agency established in 2002 to manage upstream oil and gas activities. In 2012, Indonesia’s Constitutional Court ruled certain articles of law relating to BPMIGAS to be unconstitutional, but stated that all existing PSCs signed with BPMIGAS should remain in force until their expiry, and the functions and duties previously performed by BPMIGAS are to be carried out by the relevant Ministry of the Government of Indonesia until the promulgation of a new oil and gas law. By presidential decree, SKKMIGAS became the interim successor to BPMIGAS. The current PSCs have an exploration period of six years, which can be extended up to 10 years, and an exploitation period of 20 years. PSCs generally require the contractor to relinquish 10 to 20 percent of the contract area after three years and generally allow the contractor to retain no more than 50 to 80 percent of the original contract area after six years, depending on the acreage and terms.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Iraq</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Development and production activities in the state-owned oil and gas fields are governed by contracts with regional oil companies of the Iraqi Ministry of Oil. An ExxonMobil affiliate entered into a contract with Basra Oil Company of the Iraqi Ministry of Oil for the rights to participate in the development and production activities of the West Qurna Phase I oil and gas field effective March 1, 2010. The term of the contract is 20 years with the right to extend for five years. The contract provides for cost recovery plus per-barrel fees for incremental production above specified levels.</w:t>
      </w:r>
    </w:p>
    <w:p>
      <w:pPr>
        <w:spacing w:after="0" w:line="3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Exploration and production activities in the Kurdistan Region of Iraq are governed by production sharing contracts (PSCs) negotiated with the regional government of Kurdistan in 2011. The exploration term is for five years, with extensions available as provided by the PSCs and at the discretion of the regional government of Kurdistan. Current PSCs remain in effect by agreement of the regional government to allow additional time for exploration or evaluation of commerciality. The production period is 20 years with the right to extend for five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Kazakhstan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Onshore exploration and production activities are governed by the production license, exploration license and joint venture agreements negotiated with the Republic of Kazakhstan. Existing production operations have a 40-year production period that commenced in 1993.</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Offshore exploration and production activities are governed by a production sharing agreement negotiated with the Republic of Kazakhstan. The exploration period is six years followed by separate appraisal periods for each discovery. The production period for each discovery, which includes development, is 20 years from the date of declaration of commerciality with the possibility of two ten-year extensions.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Production activities are governed by production sharing contracts (PSCs) negotiated with the national oil company. The PSCs have exploration and production terms ranging up to 38 years. All extensions are subject to the national oil company’s prior written approval. The production periods range from 15 to 29 years, depending on the provisions of the respective contract.</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Qatar</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for ExxonMobil’s Sakhalin acreage are fixed by the current production sharing agreement between the Russian government and the Sakhalin-1 consortium, of which ExxonMobil is the operator.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Thailand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Petroleum Act of 1971 allows production under ExxonMobil’s concessions for 30 years with a ten-year extension at terms generally prevalent at the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 of one of the two concessions expires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Arab Emirates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interest in the development and production activities of the offshore Upper Zakum field was acquired in 2006. In 2017 the governing agreements were extended to 2051.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 OCEANIA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Exploration and production activities conducted offshore in Commonwealth waters are governed by Federal legislation. Exploration permits are granted for an initial term of six years with two possible five-year renewal periods. Retention leases may be granted for resources that are not commercially viable at the time of application, but are expected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Effective from July 1998, new production licenses are granted “indefinitely”. In each case, a production license may be terminated if no production operations have been carried on for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Papua New Guinea</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of up to 20 years may be granted at the Minister’s discretion. Petroleum retention licenses may be granted for gas resources that are not commercially viable at the time of application, but may become commercially viable within the maximum possible retention time of 15 years. Petroleum retention licenses are granted for five-year terms, and may be extended, at the Minister’s discretion, twice for the maximum retention time of 15 years. Extensions of petroleum retention licenses may be for periods of less than one year, renewable annually, if the Minister considers at the time of extension that the resources could become commercially viable in less than five years.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Information with regard to the Downstream segment follows: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Downstream segment manufactures, trades and sells petroleum products. The refining and supply operations encompass a global network of manufacturing plants, transportation systems, and distribution centers that provide a range of fuels, lubricants and other products and feedstocks to our customers around the world.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Refining Capacity At Year-End 2019 </w:t>
      </w:r>
      <w:r>
        <w:rPr>
          <w:rFonts w:ascii="Arial" w:cs="Arial" w:eastAsia="Arial" w:hAnsi="Arial"/>
          <w:sz w:val="14"/>
          <w:szCs w:val="14"/>
          <w:i w:val="1"/>
          <w:iCs w:val="1"/>
          <w:color w:val="auto"/>
        </w:rPr>
        <w:t>(1)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ExxonMobil</w:t>
            </w: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ExxonMobil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 xml:space="preserve">Share KBD </w:t>
            </w:r>
            <w:r>
              <w:rPr>
                <w:rFonts w:ascii="Arial" w:cs="Arial" w:eastAsia="Arial" w:hAnsi="Arial"/>
                <w:sz w:val="14"/>
                <w:szCs w:val="14"/>
                <w:b w:val="1"/>
                <w:bCs w:val="1"/>
                <w:i w:val="1"/>
                <w:iCs w:val="1"/>
                <w:color w:val="auto"/>
                <w:w w:val="95"/>
              </w:rPr>
              <w:t>(2)</w:t>
            </w:r>
          </w:p>
        </w:tc>
        <w:tc>
          <w:tcPr>
            <w:tcW w:w="1440" w:type="dxa"/>
            <w:vAlign w:val="bottom"/>
          </w:tcPr>
          <w:p>
            <w:pPr>
              <w:jc w:val="right"/>
              <w:ind w:right="312"/>
              <w:spacing w:after="0"/>
              <w:rPr>
                <w:sz w:val="20"/>
                <w:szCs w:val="20"/>
                <w:color w:val="auto"/>
              </w:rPr>
            </w:pPr>
            <w:r>
              <w:rPr>
                <w:rFonts w:ascii="Arial" w:cs="Arial" w:eastAsia="Arial" w:hAnsi="Arial"/>
                <w:sz w:val="14"/>
                <w:szCs w:val="14"/>
                <w:b w:val="1"/>
                <w:bCs w:val="1"/>
                <w:color w:val="auto"/>
              </w:rPr>
              <w:t>Interest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40" w:type="dxa"/>
            <w:vAlign w:val="bottom"/>
          </w:tcPr>
          <w:p>
            <w:pPr>
              <w:spacing w:after="0" w:line="195" w:lineRule="exact"/>
              <w:rPr>
                <w:sz w:val="20"/>
                <w:szCs w:val="20"/>
                <w:color w:val="auto"/>
              </w:rPr>
            </w:pPr>
            <w:r>
              <w:rPr>
                <w:rFonts w:ascii="Arial" w:cs="Arial" w:eastAsia="Arial" w:hAnsi="Arial"/>
                <w:sz w:val="18"/>
                <w:szCs w:val="18"/>
                <w:b w:val="1"/>
                <w:bCs w:val="1"/>
                <w:color w:val="auto"/>
              </w:rPr>
              <w:t>United States</w:t>
            </w:r>
          </w:p>
        </w:tc>
        <w:tc>
          <w:tcPr>
            <w:tcW w:w="5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Joliet</w:t>
            </w:r>
          </w:p>
        </w:tc>
        <w:tc>
          <w:tcPr>
            <w:tcW w:w="5300" w:type="dxa"/>
            <w:vAlign w:val="bottom"/>
          </w:tcPr>
          <w:p>
            <w:pPr>
              <w:ind w:left="1300"/>
              <w:spacing w:after="0"/>
              <w:rPr>
                <w:sz w:val="20"/>
                <w:szCs w:val="20"/>
                <w:color w:val="auto"/>
              </w:rPr>
            </w:pPr>
            <w:r>
              <w:rPr>
                <w:rFonts w:ascii="Arial" w:cs="Arial" w:eastAsia="Arial" w:hAnsi="Arial"/>
                <w:sz w:val="18"/>
                <w:szCs w:val="18"/>
                <w:color w:val="auto"/>
              </w:rPr>
              <w:t>Illinois</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Baton Rouge</w:t>
            </w:r>
          </w:p>
        </w:tc>
        <w:tc>
          <w:tcPr>
            <w:tcW w:w="5300" w:type="dxa"/>
            <w:vAlign w:val="bottom"/>
          </w:tcPr>
          <w:p>
            <w:pPr>
              <w:ind w:left="1300"/>
              <w:spacing w:after="0"/>
              <w:rPr>
                <w:sz w:val="20"/>
                <w:szCs w:val="20"/>
                <w:color w:val="auto"/>
              </w:rPr>
            </w:pPr>
            <w:r>
              <w:rPr>
                <w:rFonts w:ascii="Arial" w:cs="Arial" w:eastAsia="Arial" w:hAnsi="Arial"/>
                <w:sz w:val="18"/>
                <w:szCs w:val="18"/>
                <w:color w:val="auto"/>
              </w:rPr>
              <w:t>Louisiana</w:t>
            </w: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Billings</w:t>
            </w:r>
          </w:p>
        </w:tc>
        <w:tc>
          <w:tcPr>
            <w:tcW w:w="5300" w:type="dxa"/>
            <w:vAlign w:val="bottom"/>
          </w:tcPr>
          <w:p>
            <w:pPr>
              <w:ind w:left="1300"/>
              <w:spacing w:after="0"/>
              <w:rPr>
                <w:sz w:val="20"/>
                <w:szCs w:val="20"/>
                <w:color w:val="auto"/>
              </w:rPr>
            </w:pPr>
            <w:r>
              <w:rPr>
                <w:rFonts w:ascii="Arial" w:cs="Arial" w:eastAsia="Arial" w:hAnsi="Arial"/>
                <w:sz w:val="18"/>
                <w:szCs w:val="18"/>
                <w:color w:val="auto"/>
              </w:rPr>
              <w:t>Montana</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Baytown</w:t>
            </w:r>
          </w:p>
        </w:tc>
        <w:tc>
          <w:tcPr>
            <w:tcW w:w="5300" w:type="dxa"/>
            <w:vAlign w:val="bottom"/>
          </w:tcPr>
          <w:p>
            <w:pPr>
              <w:ind w:left="1300"/>
              <w:spacing w:after="0"/>
              <w:rPr>
                <w:sz w:val="20"/>
                <w:szCs w:val="20"/>
                <w:color w:val="auto"/>
              </w:rPr>
            </w:pPr>
            <w:r>
              <w:rPr>
                <w:rFonts w:ascii="Arial" w:cs="Arial" w:eastAsia="Arial" w:hAnsi="Arial"/>
                <w:sz w:val="18"/>
                <w:szCs w:val="18"/>
                <w:color w:val="auto"/>
              </w:rPr>
              <w:t>Texas</w:t>
            </w: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Beaumont</w:t>
            </w:r>
          </w:p>
        </w:tc>
        <w:tc>
          <w:tcPr>
            <w:tcW w:w="5300" w:type="dxa"/>
            <w:vAlign w:val="bottom"/>
          </w:tcPr>
          <w:p>
            <w:pPr>
              <w:ind w:left="1300"/>
              <w:spacing w:after="0"/>
              <w:rPr>
                <w:sz w:val="20"/>
                <w:szCs w:val="20"/>
                <w:color w:val="auto"/>
              </w:rPr>
            </w:pPr>
            <w:r>
              <w:rPr>
                <w:rFonts w:ascii="Arial" w:cs="Arial" w:eastAsia="Arial" w:hAnsi="Arial"/>
                <w:sz w:val="18"/>
                <w:szCs w:val="18"/>
                <w:color w:val="auto"/>
              </w:rPr>
              <w:t>Texas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480" w:type="dxa"/>
            <w:vAlign w:val="bottom"/>
          </w:tcPr>
          <w:p>
            <w:pPr>
              <w:spacing w:after="0"/>
              <w:rPr>
                <w:sz w:val="20"/>
                <w:szCs w:val="20"/>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Total United States</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1,744</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Canada</w:t>
            </w:r>
          </w:p>
        </w:tc>
        <w:tc>
          <w:tcPr>
            <w:tcW w:w="5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Strathcona</w:t>
            </w:r>
          </w:p>
        </w:tc>
        <w:tc>
          <w:tcPr>
            <w:tcW w:w="5300" w:type="dxa"/>
            <w:vAlign w:val="bottom"/>
          </w:tcPr>
          <w:p>
            <w:pPr>
              <w:ind w:left="1300"/>
              <w:spacing w:after="0"/>
              <w:rPr>
                <w:sz w:val="20"/>
                <w:szCs w:val="20"/>
                <w:color w:val="auto"/>
              </w:rPr>
            </w:pPr>
            <w:r>
              <w:rPr>
                <w:rFonts w:ascii="Arial" w:cs="Arial" w:eastAsia="Arial" w:hAnsi="Arial"/>
                <w:sz w:val="18"/>
                <w:szCs w:val="18"/>
                <w:color w:val="auto"/>
              </w:rPr>
              <w:t>Alberta</w:t>
            </w: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Nanticoke</w:t>
            </w:r>
          </w:p>
        </w:tc>
        <w:tc>
          <w:tcPr>
            <w:tcW w:w="5300" w:type="dxa"/>
            <w:vAlign w:val="bottom"/>
          </w:tcPr>
          <w:p>
            <w:pPr>
              <w:ind w:left="1300"/>
              <w:spacing w:after="0"/>
              <w:rPr>
                <w:sz w:val="20"/>
                <w:szCs w:val="20"/>
                <w:color w:val="auto"/>
              </w:rPr>
            </w:pPr>
            <w:r>
              <w:rPr>
                <w:rFonts w:ascii="Arial" w:cs="Arial" w:eastAsia="Arial" w:hAnsi="Arial"/>
                <w:sz w:val="18"/>
                <w:szCs w:val="18"/>
                <w:color w:val="auto"/>
              </w:rPr>
              <w:t>Ontario</w:t>
            </w: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Sarnia</w:t>
            </w:r>
          </w:p>
        </w:tc>
        <w:tc>
          <w:tcPr>
            <w:tcW w:w="5300" w:type="dxa"/>
            <w:vAlign w:val="bottom"/>
          </w:tcPr>
          <w:p>
            <w:pPr>
              <w:ind w:left="1300"/>
              <w:spacing w:after="0"/>
              <w:rPr>
                <w:sz w:val="20"/>
                <w:szCs w:val="20"/>
                <w:color w:val="auto"/>
              </w:rPr>
            </w:pPr>
            <w:r>
              <w:rPr>
                <w:rFonts w:ascii="Arial" w:cs="Arial" w:eastAsia="Arial" w:hAnsi="Arial"/>
                <w:sz w:val="18"/>
                <w:szCs w:val="18"/>
                <w:color w:val="auto"/>
              </w:rPr>
              <w:t>Ontario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20"/>
                <w:szCs w:val="20"/>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Total Canada</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5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Antwerp</w:t>
            </w:r>
          </w:p>
        </w:tc>
        <w:tc>
          <w:tcPr>
            <w:tcW w:w="5300" w:type="dxa"/>
            <w:vAlign w:val="bottom"/>
          </w:tcPr>
          <w:p>
            <w:pPr>
              <w:ind w:left="1300"/>
              <w:spacing w:after="0"/>
              <w:rPr>
                <w:sz w:val="20"/>
                <w:szCs w:val="20"/>
                <w:color w:val="auto"/>
              </w:rPr>
            </w:pPr>
            <w:r>
              <w:rPr>
                <w:rFonts w:ascii="Arial" w:cs="Arial" w:eastAsia="Arial" w:hAnsi="Arial"/>
                <w:sz w:val="18"/>
                <w:szCs w:val="18"/>
                <w:color w:val="auto"/>
              </w:rPr>
              <w:t>Belgium</w:t>
            </w: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Fos-sur-Mer</w:t>
            </w:r>
          </w:p>
        </w:tc>
        <w:tc>
          <w:tcPr>
            <w:tcW w:w="5300" w:type="dxa"/>
            <w:vAlign w:val="bottom"/>
          </w:tcPr>
          <w:p>
            <w:pPr>
              <w:ind w:left="1300"/>
              <w:spacing w:after="0"/>
              <w:rPr>
                <w:sz w:val="20"/>
                <w:szCs w:val="20"/>
                <w:color w:val="auto"/>
              </w:rPr>
            </w:pPr>
            <w:r>
              <w:rPr>
                <w:rFonts w:ascii="Arial" w:cs="Arial" w:eastAsia="Arial" w:hAnsi="Arial"/>
                <w:sz w:val="18"/>
                <w:szCs w:val="18"/>
                <w:color w:val="auto"/>
              </w:rPr>
              <w:t>France</w:t>
            </w: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Gravenchon</w:t>
            </w:r>
          </w:p>
        </w:tc>
        <w:tc>
          <w:tcPr>
            <w:tcW w:w="5300" w:type="dxa"/>
            <w:vAlign w:val="bottom"/>
          </w:tcPr>
          <w:p>
            <w:pPr>
              <w:ind w:left="1300"/>
              <w:spacing w:after="0"/>
              <w:rPr>
                <w:sz w:val="20"/>
                <w:szCs w:val="20"/>
                <w:color w:val="auto"/>
              </w:rPr>
            </w:pPr>
            <w:r>
              <w:rPr>
                <w:rFonts w:ascii="Arial" w:cs="Arial" w:eastAsia="Arial" w:hAnsi="Arial"/>
                <w:sz w:val="18"/>
                <w:szCs w:val="18"/>
                <w:color w:val="auto"/>
              </w:rPr>
              <w:t>France</w:t>
            </w: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Karlsruhe</w:t>
            </w:r>
          </w:p>
        </w:tc>
        <w:tc>
          <w:tcPr>
            <w:tcW w:w="5300" w:type="dxa"/>
            <w:vAlign w:val="bottom"/>
          </w:tcPr>
          <w:p>
            <w:pPr>
              <w:ind w:left="1300"/>
              <w:spacing w:after="0"/>
              <w:rPr>
                <w:sz w:val="20"/>
                <w:szCs w:val="20"/>
                <w:color w:val="auto"/>
              </w:rPr>
            </w:pPr>
            <w:r>
              <w:rPr>
                <w:rFonts w:ascii="Arial" w:cs="Arial" w:eastAsia="Arial" w:hAnsi="Arial"/>
                <w:sz w:val="18"/>
                <w:szCs w:val="18"/>
                <w:color w:val="auto"/>
              </w:rPr>
              <w:t>Germany</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Trecate</w:t>
            </w:r>
          </w:p>
        </w:tc>
        <w:tc>
          <w:tcPr>
            <w:tcW w:w="5300" w:type="dxa"/>
            <w:vAlign w:val="bottom"/>
          </w:tcPr>
          <w:p>
            <w:pPr>
              <w:ind w:left="1300"/>
              <w:spacing w:after="0"/>
              <w:rPr>
                <w:sz w:val="20"/>
                <w:szCs w:val="20"/>
                <w:color w:val="auto"/>
              </w:rPr>
            </w:pPr>
            <w:r>
              <w:rPr>
                <w:rFonts w:ascii="Arial" w:cs="Arial" w:eastAsia="Arial" w:hAnsi="Arial"/>
                <w:sz w:val="18"/>
                <w:szCs w:val="18"/>
                <w:color w:val="auto"/>
              </w:rPr>
              <w:t>Italy</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Rotterdam</w:t>
            </w:r>
          </w:p>
        </w:tc>
        <w:tc>
          <w:tcPr>
            <w:tcW w:w="5300" w:type="dxa"/>
            <w:vAlign w:val="bottom"/>
          </w:tcPr>
          <w:p>
            <w:pPr>
              <w:ind w:left="1300"/>
              <w:spacing w:after="0"/>
              <w:rPr>
                <w:sz w:val="20"/>
                <w:szCs w:val="20"/>
                <w:color w:val="auto"/>
              </w:rPr>
            </w:pPr>
            <w:r>
              <w:rPr>
                <w:rFonts w:ascii="Arial" w:cs="Arial" w:eastAsia="Arial" w:hAnsi="Arial"/>
                <w:sz w:val="18"/>
                <w:szCs w:val="18"/>
                <w:color w:val="auto"/>
              </w:rPr>
              <w:t>Netherlands</w:t>
            </w: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Slagen</w:t>
            </w:r>
          </w:p>
        </w:tc>
        <w:tc>
          <w:tcPr>
            <w:tcW w:w="5300" w:type="dxa"/>
            <w:vAlign w:val="bottom"/>
          </w:tcPr>
          <w:p>
            <w:pPr>
              <w:ind w:left="1300"/>
              <w:spacing w:after="0"/>
              <w:rPr>
                <w:sz w:val="20"/>
                <w:szCs w:val="20"/>
                <w:color w:val="auto"/>
              </w:rPr>
            </w:pPr>
            <w:r>
              <w:rPr>
                <w:rFonts w:ascii="Arial" w:cs="Arial" w:eastAsia="Arial" w:hAnsi="Arial"/>
                <w:sz w:val="18"/>
                <w:szCs w:val="18"/>
                <w:color w:val="auto"/>
              </w:rPr>
              <w:t>Norway</w:t>
            </w: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Fawley</w:t>
            </w:r>
          </w:p>
        </w:tc>
        <w:tc>
          <w:tcPr>
            <w:tcW w:w="5300" w:type="dxa"/>
            <w:vAlign w:val="bottom"/>
          </w:tcPr>
          <w:p>
            <w:pPr>
              <w:ind w:left="1300"/>
              <w:spacing w:after="0"/>
              <w:rPr>
                <w:sz w:val="20"/>
                <w:szCs w:val="20"/>
                <w:color w:val="auto"/>
              </w:rPr>
            </w:pPr>
            <w:r>
              <w:rPr>
                <w:rFonts w:ascii="Arial" w:cs="Arial" w:eastAsia="Arial" w:hAnsi="Arial"/>
                <w:sz w:val="18"/>
                <w:szCs w:val="18"/>
                <w:color w:val="auto"/>
              </w:rPr>
              <w:t>United Kingdom</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480" w:type="dxa"/>
            <w:vAlign w:val="bottom"/>
          </w:tcPr>
          <w:p>
            <w:pPr>
              <w:spacing w:after="0"/>
              <w:rPr>
                <w:sz w:val="20"/>
                <w:szCs w:val="20"/>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Total Europe</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1,460</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Asia Pacific</w:t>
            </w:r>
          </w:p>
        </w:tc>
        <w:tc>
          <w:tcPr>
            <w:tcW w:w="5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Altona</w:t>
            </w:r>
          </w:p>
        </w:tc>
        <w:tc>
          <w:tcPr>
            <w:tcW w:w="5300" w:type="dxa"/>
            <w:vAlign w:val="bottom"/>
          </w:tcPr>
          <w:p>
            <w:pPr>
              <w:ind w:left="1300"/>
              <w:spacing w:after="0"/>
              <w:rPr>
                <w:sz w:val="20"/>
                <w:szCs w:val="20"/>
                <w:color w:val="auto"/>
              </w:rPr>
            </w:pPr>
            <w:r>
              <w:rPr>
                <w:rFonts w:ascii="Arial" w:cs="Arial" w:eastAsia="Arial" w:hAnsi="Arial"/>
                <w:sz w:val="18"/>
                <w:szCs w:val="18"/>
                <w:color w:val="auto"/>
              </w:rPr>
              <w:t>Australia</w:t>
            </w: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Fujian</w:t>
            </w:r>
          </w:p>
        </w:tc>
        <w:tc>
          <w:tcPr>
            <w:tcW w:w="5300" w:type="dxa"/>
            <w:vAlign w:val="bottom"/>
          </w:tcPr>
          <w:p>
            <w:pPr>
              <w:ind w:left="1300"/>
              <w:spacing w:after="0"/>
              <w:rPr>
                <w:sz w:val="20"/>
                <w:szCs w:val="20"/>
                <w:color w:val="auto"/>
              </w:rPr>
            </w:pPr>
            <w:r>
              <w:rPr>
                <w:rFonts w:ascii="Arial" w:cs="Arial" w:eastAsia="Arial" w:hAnsi="Arial"/>
                <w:sz w:val="18"/>
                <w:szCs w:val="18"/>
                <w:color w:val="auto"/>
              </w:rPr>
              <w:t>China</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Jurong/PAC</w:t>
            </w:r>
          </w:p>
        </w:tc>
        <w:tc>
          <w:tcPr>
            <w:tcW w:w="5300" w:type="dxa"/>
            <w:vAlign w:val="bottom"/>
          </w:tcPr>
          <w:p>
            <w:pPr>
              <w:ind w:left="1300"/>
              <w:spacing w:after="0"/>
              <w:rPr>
                <w:sz w:val="20"/>
                <w:szCs w:val="20"/>
                <w:color w:val="auto"/>
              </w:rPr>
            </w:pPr>
            <w:r>
              <w:rPr>
                <w:rFonts w:ascii="Arial" w:cs="Arial" w:eastAsia="Arial" w:hAnsi="Arial"/>
                <w:sz w:val="18"/>
                <w:szCs w:val="18"/>
                <w:color w:val="auto"/>
              </w:rPr>
              <w:t>Singapore</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48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Sriracha</w:t>
            </w:r>
          </w:p>
        </w:tc>
        <w:tc>
          <w:tcPr>
            <w:tcW w:w="5300" w:type="dxa"/>
            <w:vAlign w:val="bottom"/>
          </w:tcPr>
          <w:p>
            <w:pPr>
              <w:ind w:left="1300"/>
              <w:spacing w:after="0"/>
              <w:rPr>
                <w:sz w:val="20"/>
                <w:szCs w:val="20"/>
                <w:color w:val="auto"/>
              </w:rPr>
            </w:pPr>
            <w:r>
              <w:rPr>
                <w:rFonts w:ascii="Arial" w:cs="Arial" w:eastAsia="Arial" w:hAnsi="Arial"/>
                <w:sz w:val="18"/>
                <w:szCs w:val="18"/>
                <w:color w:val="auto"/>
              </w:rPr>
              <w:t>Thailand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20"/>
                <w:szCs w:val="20"/>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tcPr>
          <w:p>
            <w:pPr>
              <w:ind w:left="440"/>
              <w:spacing w:after="0"/>
              <w:rPr>
                <w:sz w:val="20"/>
                <w:szCs w:val="20"/>
                <w:color w:val="auto"/>
              </w:rPr>
            </w:pPr>
            <w:r>
              <w:rPr>
                <w:rFonts w:ascii="Arial" w:cs="Arial" w:eastAsia="Arial" w:hAnsi="Arial"/>
                <w:sz w:val="18"/>
                <w:szCs w:val="18"/>
                <w:color w:val="auto"/>
              </w:rPr>
              <w:t>Total Asia Pacific</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w:t>
            </w: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Middle East</w:t>
            </w:r>
          </w:p>
        </w:tc>
        <w:tc>
          <w:tcPr>
            <w:tcW w:w="5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Yanbu</w:t>
            </w:r>
          </w:p>
        </w:tc>
        <w:tc>
          <w:tcPr>
            <w:tcW w:w="5300" w:type="dxa"/>
            <w:vAlign w:val="bottom"/>
          </w:tcPr>
          <w:p>
            <w:pPr>
              <w:ind w:left="1300"/>
              <w:spacing w:after="0"/>
              <w:rPr>
                <w:sz w:val="20"/>
                <w:szCs w:val="20"/>
                <w:color w:val="auto"/>
              </w:rPr>
            </w:pPr>
            <w:r>
              <w:rPr>
                <w:rFonts w:ascii="Arial" w:cs="Arial" w:eastAsia="Arial" w:hAnsi="Arial"/>
                <w:sz w:val="18"/>
                <w:szCs w:val="18"/>
                <w:color w:val="auto"/>
              </w:rPr>
              <w:t>Saudi Arabia</w:t>
            </w: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0"/>
                <w:szCs w:val="20"/>
                <w:color w:val="auto"/>
              </w:rPr>
            </w:pPr>
          </w:p>
        </w:tc>
        <w:tc>
          <w:tcPr>
            <w:tcW w:w="1440" w:type="dxa"/>
            <w:vAlign w:val="bottom"/>
          </w:tcPr>
          <w:p>
            <w:pPr>
              <w:jc w:val="right"/>
              <w:ind w:right="4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Worldwide</w:t>
            </w:r>
          </w:p>
        </w:tc>
        <w:tc>
          <w:tcPr>
            <w:tcW w:w="5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vMerge w:val="continue"/>
          </w:tcPr>
          <w:p>
            <w:pPr>
              <w:spacing w:after="0"/>
              <w:rPr>
                <w:sz w:val="18"/>
                <w:szCs w:val="18"/>
                <w:color w:val="auto"/>
              </w:rPr>
            </w:pPr>
          </w:p>
        </w:tc>
        <w:tc>
          <w:tcPr>
            <w:tcW w:w="53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80" w:hanging="172"/>
        <w:spacing w:after="0" w:line="286" w:lineRule="auto"/>
        <w:tabs>
          <w:tab w:leader="none" w:pos="54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Capacity data is based on 100 percent of rated refinery process unit stream-day capacities under normal operating conditions, less the impact of shutdowns for regular repair and maintenance activities, averaged over an extended period of time. The listing excludes refining capacity for a minor interest held through equity securities in New Zealand, and the Laffan Refinery in Qatar for which results are reported in the Upstream segment.</w:t>
      </w:r>
    </w:p>
    <w:p>
      <w:pPr>
        <w:spacing w:after="0" w:line="3" w:lineRule="exact"/>
        <w:rPr>
          <w:rFonts w:ascii="Arial" w:cs="Arial" w:eastAsia="Arial" w:hAnsi="Arial"/>
          <w:sz w:val="17"/>
          <w:szCs w:val="17"/>
          <w:i w:val="1"/>
          <w:iCs w:val="1"/>
          <w:color w:val="auto"/>
        </w:rPr>
      </w:pPr>
    </w:p>
    <w:p>
      <w:pPr>
        <w:jc w:val="both"/>
        <w:ind w:left="180" w:hanging="172"/>
        <w:spacing w:after="0" w:line="256" w:lineRule="auto"/>
        <w:tabs>
          <w:tab w:leader="none" w:pos="546"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Thousands of barrels per day (KBD). ExxonMobil share reflects 100 percent of atmospheric distillation capacity in operations of ExxonMobil and majority-owned subsidiaries. For companies owned 50 percent or less, ExxonMobil share is the greater of ExxonMobil’s interest or that portion of distillation capacity normally available to ExxonMobil.</w:t>
      </w: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The marketing operations sell products and services throughout the world through our </w:t>
      </w:r>
      <w:r>
        <w:rPr>
          <w:rFonts w:ascii="Arial" w:cs="Arial" w:eastAsia="Arial" w:hAnsi="Arial"/>
          <w:sz w:val="18"/>
          <w:szCs w:val="18"/>
          <w:i w:val="1"/>
          <w:iCs w:val="1"/>
          <w:color w:val="auto"/>
        </w:rPr>
        <w:t>Exxon</w:t>
      </w:r>
      <w:r>
        <w:rPr>
          <w:rFonts w:ascii="Arial" w:cs="Arial" w:eastAsia="Arial" w:hAnsi="Arial"/>
          <w:sz w:val="18"/>
          <w:szCs w:val="18"/>
          <w:color w:val="auto"/>
        </w:rPr>
        <w:t xml:space="preserve">, </w:t>
      </w:r>
      <w:r>
        <w:rPr>
          <w:rFonts w:ascii="Arial" w:cs="Arial" w:eastAsia="Arial" w:hAnsi="Arial"/>
          <w:sz w:val="18"/>
          <w:szCs w:val="18"/>
          <w:i w:val="1"/>
          <w:iCs w:val="1"/>
          <w:color w:val="auto"/>
        </w:rPr>
        <w:t>Esso</w:t>
      </w:r>
      <w:r>
        <w:rPr>
          <w:rFonts w:ascii="Arial" w:cs="Arial" w:eastAsia="Arial" w:hAnsi="Arial"/>
          <w:sz w:val="18"/>
          <w:szCs w:val="18"/>
          <w:color w:val="auto"/>
        </w:rPr>
        <w:t xml:space="preserve"> and </w:t>
      </w:r>
      <w:r>
        <w:rPr>
          <w:rFonts w:ascii="Arial" w:cs="Arial" w:eastAsia="Arial" w:hAnsi="Arial"/>
          <w:sz w:val="18"/>
          <w:szCs w:val="18"/>
          <w:i w:val="1"/>
          <w:iCs w:val="1"/>
          <w:color w:val="auto"/>
        </w:rPr>
        <w:t>Mobil</w:t>
      </w:r>
      <w:r>
        <w:rPr>
          <w:rFonts w:ascii="Arial" w:cs="Arial" w:eastAsia="Arial" w:hAnsi="Arial"/>
          <w:sz w:val="18"/>
          <w:szCs w:val="18"/>
          <w:color w:val="auto"/>
        </w:rPr>
        <w:t xml:space="preserve"> brands.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5540" w:type="dxa"/>
            <w:vAlign w:val="bottom"/>
            <w:gridSpan w:val="2"/>
          </w:tcPr>
          <w:p>
            <w:pPr>
              <w:jc w:val="center"/>
              <w:ind w:right="2650"/>
              <w:spacing w:after="0"/>
              <w:rPr>
                <w:sz w:val="20"/>
                <w:szCs w:val="20"/>
                <w:color w:val="auto"/>
              </w:rPr>
            </w:pPr>
            <w:r>
              <w:rPr>
                <w:rFonts w:ascii="Arial" w:cs="Arial" w:eastAsia="Arial" w:hAnsi="Arial"/>
                <w:sz w:val="18"/>
                <w:szCs w:val="18"/>
                <w:b w:val="1"/>
                <w:bCs w:val="1"/>
                <w:color w:val="auto"/>
                <w:w w:val="91"/>
              </w:rPr>
              <w:t>Retail Sites At Year-End 2019</w:t>
            </w:r>
          </w:p>
        </w:tc>
        <w:tc>
          <w:tcPr>
            <w:tcW w:w="1560" w:type="dxa"/>
            <w:vAlign w:val="bottom"/>
          </w:tcPr>
          <w:p>
            <w:pPr>
              <w:spacing w:after="0"/>
              <w:rPr>
                <w:sz w:val="20"/>
                <w:szCs w:val="20"/>
                <w:color w:val="auto"/>
              </w:rPr>
            </w:pPr>
          </w:p>
        </w:tc>
      </w:tr>
      <w:tr>
        <w:trPr>
          <w:trHeight w:val="310"/>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United States</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10,830</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United States</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Canada</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2,175</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Canada</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Europe</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5,743</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Europe</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Asia Pacific</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Asia Pacific</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Latin America</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Latin America</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Middle East/Africa</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560" w:type="dxa"/>
            <w:vAlign w:val="bottom"/>
          </w:tcPr>
          <w:p>
            <w:pPr>
              <w:spacing w:after="0"/>
              <w:rPr>
                <w:sz w:val="20"/>
                <w:szCs w:val="20"/>
                <w:color w:val="auto"/>
              </w:rPr>
            </w:pPr>
          </w:p>
        </w:tc>
      </w:tr>
      <w:tr>
        <w:trPr>
          <w:trHeight w:val="224"/>
        </w:trPr>
        <w:tc>
          <w:tcPr>
            <w:tcW w:w="4320" w:type="dxa"/>
            <w:vAlign w:val="bottom"/>
          </w:tcPr>
          <w:p>
            <w:pPr>
              <w:ind w:left="2280"/>
              <w:spacing w:after="0"/>
              <w:rPr>
                <w:sz w:val="20"/>
                <w:szCs w:val="20"/>
                <w:color w:val="auto"/>
              </w:rPr>
            </w:pPr>
            <w:r>
              <w:rPr>
                <w:rFonts w:ascii="Arial" w:cs="Arial" w:eastAsia="Arial" w:hAnsi="Arial"/>
                <w:sz w:val="18"/>
                <w:szCs w:val="18"/>
                <w:color w:val="auto"/>
              </w:rPr>
              <w:t>Total Middle East/Africa</w:t>
            </w:r>
          </w:p>
        </w:tc>
        <w:tc>
          <w:tcPr>
            <w:tcW w:w="45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560" w:type="dxa"/>
            <w:vAlign w:val="bottom"/>
          </w:tcPr>
          <w:p>
            <w:pPr>
              <w:spacing w:after="0"/>
              <w:rPr>
                <w:sz w:val="19"/>
                <w:szCs w:val="19"/>
                <w:color w:val="auto"/>
              </w:rPr>
            </w:pPr>
          </w:p>
        </w:tc>
      </w:tr>
      <w:tr>
        <w:trPr>
          <w:trHeight w:val="282"/>
        </w:trPr>
        <w:tc>
          <w:tcPr>
            <w:tcW w:w="4320" w:type="dxa"/>
            <w:vAlign w:val="bottom"/>
          </w:tcPr>
          <w:p>
            <w:pPr>
              <w:ind w:left="1540"/>
              <w:spacing w:after="0"/>
              <w:rPr>
                <w:sz w:val="20"/>
                <w:szCs w:val="20"/>
                <w:color w:val="auto"/>
              </w:rPr>
            </w:pPr>
            <w:r>
              <w:rPr>
                <w:rFonts w:ascii="Arial" w:cs="Arial" w:eastAsia="Arial" w:hAnsi="Arial"/>
                <w:sz w:val="18"/>
                <w:szCs w:val="18"/>
                <w:b w:val="1"/>
                <w:bCs w:val="1"/>
                <w:color w:val="auto"/>
              </w:rPr>
              <w:t>Worldwide</w:t>
            </w:r>
          </w:p>
        </w:tc>
        <w:tc>
          <w:tcPr>
            <w:tcW w:w="4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4320" w:type="dxa"/>
            <w:vAlign w:val="bottom"/>
          </w:tcPr>
          <w:p>
            <w:pPr>
              <w:ind w:left="1760"/>
              <w:spacing w:after="0"/>
              <w:rPr>
                <w:sz w:val="20"/>
                <w:szCs w:val="20"/>
                <w:color w:val="auto"/>
              </w:rPr>
            </w:pPr>
            <w:r>
              <w:rPr>
                <w:rFonts w:ascii="Arial" w:cs="Arial" w:eastAsia="Arial" w:hAnsi="Arial"/>
                <w:sz w:val="18"/>
                <w:szCs w:val="18"/>
                <w:color w:val="auto"/>
              </w:rPr>
              <w:t>Owned/leased</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560" w:type="dxa"/>
            <w:vAlign w:val="bottom"/>
          </w:tcPr>
          <w:p>
            <w:pPr>
              <w:spacing w:after="0"/>
              <w:rPr>
                <w:sz w:val="18"/>
                <w:szCs w:val="18"/>
                <w:color w:val="auto"/>
              </w:rPr>
            </w:pPr>
          </w:p>
        </w:tc>
      </w:tr>
      <w:tr>
        <w:trPr>
          <w:trHeight w:val="230"/>
        </w:trPr>
        <w:tc>
          <w:tcPr>
            <w:tcW w:w="4320" w:type="dxa"/>
            <w:vAlign w:val="bottom"/>
          </w:tcPr>
          <w:p>
            <w:pPr>
              <w:ind w:left="1760"/>
              <w:spacing w:after="0"/>
              <w:rPr>
                <w:sz w:val="20"/>
                <w:szCs w:val="20"/>
                <w:color w:val="auto"/>
              </w:rPr>
            </w:pPr>
            <w:r>
              <w:rPr>
                <w:rFonts w:ascii="Arial" w:cs="Arial" w:eastAsia="Arial" w:hAnsi="Arial"/>
                <w:sz w:val="18"/>
                <w:szCs w:val="18"/>
                <w:color w:val="auto"/>
              </w:rPr>
              <w:t>Distributors/resellers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20,420</w:t>
            </w:r>
          </w:p>
        </w:tc>
        <w:tc>
          <w:tcPr>
            <w:tcW w:w="1560" w:type="dxa"/>
            <w:vAlign w:val="bottom"/>
          </w:tcPr>
          <w:p>
            <w:pPr>
              <w:spacing w:after="0"/>
              <w:rPr>
                <w:sz w:val="20"/>
                <w:szCs w:val="20"/>
                <w:color w:val="auto"/>
              </w:rPr>
            </w:pPr>
          </w:p>
        </w:tc>
      </w:tr>
      <w:tr>
        <w:trPr>
          <w:trHeight w:val="210"/>
        </w:trPr>
        <w:tc>
          <w:tcPr>
            <w:tcW w:w="4320" w:type="dxa"/>
            <w:vAlign w:val="bottom"/>
          </w:tcPr>
          <w:p>
            <w:pPr>
              <w:ind w:left="2280"/>
              <w:spacing w:after="0"/>
              <w:rPr>
                <w:sz w:val="20"/>
                <w:szCs w:val="20"/>
                <w:color w:val="auto"/>
              </w:rPr>
            </w:pPr>
            <w:r>
              <w:rPr>
                <w:rFonts w:ascii="Arial" w:cs="Arial" w:eastAsia="Arial" w:hAnsi="Arial"/>
                <w:sz w:val="18"/>
                <w:szCs w:val="18"/>
                <w:color w:val="auto"/>
              </w:rPr>
              <w:t>Total Worldwide</w:t>
            </w:r>
          </w:p>
        </w:tc>
        <w:tc>
          <w:tcPr>
            <w:tcW w:w="4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560" w:type="dxa"/>
            <w:vAlign w:val="bottom"/>
          </w:tcPr>
          <w:p>
            <w:pPr>
              <w:spacing w:after="0"/>
              <w:rPr>
                <w:sz w:val="18"/>
                <w:szCs w:val="18"/>
                <w:color w:val="auto"/>
              </w:rPr>
            </w:pPr>
          </w:p>
        </w:tc>
      </w:tr>
      <w:tr>
        <w:trPr>
          <w:trHeight w:val="223"/>
        </w:trPr>
        <w:tc>
          <w:tcPr>
            <w:tcW w:w="4320" w:type="dxa"/>
            <w:vAlign w:val="bottom"/>
          </w:tcPr>
          <w:p>
            <w:pPr>
              <w:spacing w:after="0"/>
              <w:rPr>
                <w:sz w:val="19"/>
                <w:szCs w:val="19"/>
                <w:color w:val="auto"/>
              </w:rPr>
            </w:pPr>
          </w:p>
        </w:tc>
        <w:tc>
          <w:tcPr>
            <w:tcW w:w="4540" w:type="dxa"/>
            <w:vAlign w:val="bottom"/>
          </w:tcPr>
          <w:p>
            <w:pPr>
              <w:jc w:val="right"/>
              <w:ind w:right="2970"/>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96"/>
        </w:trPr>
        <w:tc>
          <w:tcPr>
            <w:tcW w:w="4320" w:type="dxa"/>
            <w:vAlign w:val="bottom"/>
            <w:tcBorders>
              <w:bottom w:val="single" w:sz="8" w:color="9A9A9A"/>
            </w:tcBorders>
          </w:tcPr>
          <w:p>
            <w:pPr>
              <w:spacing w:after="0"/>
              <w:rPr>
                <w:sz w:val="17"/>
                <w:szCs w:val="17"/>
                <w:color w:val="auto"/>
              </w:rPr>
            </w:pPr>
          </w:p>
        </w:tc>
        <w:tc>
          <w:tcPr>
            <w:tcW w:w="45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Information with regard to the Chemical segment follows: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ExxonMobil’s Chemical segment manufactures and sells petrochemicals. The Chemical business supplies olefins, polyolefins, aromatics, and a wide variety of other petrochemicals.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Chemical Complex Capacity At Year-End 2019 </w:t>
      </w:r>
      <w:r>
        <w:rPr>
          <w:rFonts w:ascii="Arial" w:cs="Arial" w:eastAsia="Arial" w:hAnsi="Arial"/>
          <w:sz w:val="14"/>
          <w:szCs w:val="14"/>
          <w:i w:val="1"/>
          <w:iCs w:val="1"/>
          <w:color w:val="auto"/>
        </w:rPr>
        <w:t>(1)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Arial" w:cs="Arial" w:eastAsia="Arial" w:hAnsi="Arial"/>
                <w:sz w:val="14"/>
                <w:szCs w:val="14"/>
                <w:b w:val="1"/>
                <w:bCs w:val="1"/>
                <w:color w:val="auto"/>
              </w:rPr>
              <w:t>ExxonMobil</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auto"/>
              </w:rPr>
              <w:t>Ethylene</w:t>
            </w:r>
          </w:p>
        </w:tc>
        <w:tc>
          <w:tcPr>
            <w:tcW w:w="1500" w:type="dxa"/>
            <w:vAlign w:val="bottom"/>
          </w:tcPr>
          <w:p>
            <w:pPr>
              <w:jc w:val="right"/>
              <w:ind w:right="212"/>
              <w:spacing w:after="0"/>
              <w:rPr>
                <w:sz w:val="20"/>
                <w:szCs w:val="20"/>
                <w:color w:val="auto"/>
              </w:rPr>
            </w:pPr>
            <w:r>
              <w:rPr>
                <w:rFonts w:ascii="Arial" w:cs="Arial" w:eastAsia="Arial" w:hAnsi="Arial"/>
                <w:sz w:val="14"/>
                <w:szCs w:val="14"/>
                <w:b w:val="1"/>
                <w:bCs w:val="1"/>
                <w:color w:val="auto"/>
              </w:rPr>
              <w:t>Polyethylene</w:t>
            </w:r>
          </w:p>
        </w:tc>
        <w:tc>
          <w:tcPr>
            <w:tcW w:w="1540" w:type="dxa"/>
            <w:vAlign w:val="bottom"/>
          </w:tcPr>
          <w:p>
            <w:pPr>
              <w:jc w:val="right"/>
              <w:ind w:right="251"/>
              <w:spacing w:after="0"/>
              <w:rPr>
                <w:sz w:val="20"/>
                <w:szCs w:val="20"/>
                <w:color w:val="auto"/>
              </w:rPr>
            </w:pPr>
            <w:r>
              <w:rPr>
                <w:rFonts w:ascii="Arial" w:cs="Arial" w:eastAsia="Arial" w:hAnsi="Arial"/>
                <w:sz w:val="14"/>
                <w:szCs w:val="14"/>
                <w:b w:val="1"/>
                <w:bCs w:val="1"/>
                <w:color w:val="auto"/>
              </w:rPr>
              <w:t>Polypropylene</w:t>
            </w:r>
          </w:p>
        </w:tc>
        <w:tc>
          <w:tcPr>
            <w:tcW w:w="1420" w:type="dxa"/>
            <w:vAlign w:val="bottom"/>
          </w:tcPr>
          <w:p>
            <w:pPr>
              <w:jc w:val="right"/>
              <w:ind w:right="291"/>
              <w:spacing w:after="0"/>
              <w:rPr>
                <w:sz w:val="20"/>
                <w:szCs w:val="20"/>
                <w:color w:val="auto"/>
              </w:rPr>
            </w:pPr>
            <w:r>
              <w:rPr>
                <w:rFonts w:ascii="Arial" w:cs="Arial" w:eastAsia="Arial" w:hAnsi="Arial"/>
                <w:sz w:val="14"/>
                <w:szCs w:val="14"/>
                <w:b w:val="1"/>
                <w:bCs w:val="1"/>
                <w:color w:val="auto"/>
              </w:rPr>
              <w:t>Paraxylene</w:t>
            </w: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rPr>
              <w:t>Interest %</w:t>
            </w:r>
          </w:p>
        </w:tc>
        <w:tc>
          <w:tcPr>
            <w:tcW w:w="0" w:type="dxa"/>
            <w:vAlign w:val="bottom"/>
          </w:tcPr>
          <w:p>
            <w:pPr>
              <w:spacing w:after="0"/>
              <w:rPr>
                <w:sz w:val="1"/>
                <w:szCs w:val="1"/>
                <w:color w:val="auto"/>
              </w:rPr>
            </w:pPr>
          </w:p>
        </w:tc>
      </w:tr>
      <w:tr>
        <w:trPr>
          <w:trHeight w:val="26"/>
        </w:trPr>
        <w:tc>
          <w:tcPr>
            <w:tcW w:w="2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40" w:type="dxa"/>
            <w:vAlign w:val="bottom"/>
            <w:gridSpan w:val="2"/>
          </w:tcPr>
          <w:p>
            <w:pPr>
              <w:jc w:val="right"/>
              <w:ind w:right="471"/>
              <w:spacing w:after="0"/>
              <w:rPr>
                <w:sz w:val="20"/>
                <w:szCs w:val="20"/>
                <w:color w:val="auto"/>
              </w:rPr>
            </w:pPr>
            <w:r>
              <w:rPr>
                <w:rFonts w:ascii="Arial" w:cs="Arial" w:eastAsia="Arial" w:hAnsi="Arial"/>
                <w:sz w:val="14"/>
                <w:szCs w:val="14"/>
                <w:i w:val="1"/>
                <w:iCs w:val="1"/>
                <w:color w:val="auto"/>
              </w:rPr>
              <w:t>(millions of metric tons per year)</w:t>
            </w: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8"/>
                <w:szCs w:val="18"/>
                <w:b w:val="1"/>
                <w:bCs w:val="1"/>
                <w:color w:val="auto"/>
              </w:rPr>
              <w:t>North America</w:t>
            </w:r>
          </w:p>
        </w:tc>
        <w:tc>
          <w:tcPr>
            <w:tcW w:w="1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Baton Rouge</w:t>
            </w:r>
          </w:p>
        </w:tc>
        <w:tc>
          <w:tcPr>
            <w:tcW w:w="1980" w:type="dxa"/>
            <w:vAlign w:val="bottom"/>
          </w:tcPr>
          <w:p>
            <w:pPr>
              <w:ind w:left="520"/>
              <w:spacing w:after="0"/>
              <w:rPr>
                <w:sz w:val="20"/>
                <w:szCs w:val="20"/>
                <w:color w:val="auto"/>
              </w:rPr>
            </w:pPr>
            <w:r>
              <w:rPr>
                <w:rFonts w:ascii="Arial" w:cs="Arial" w:eastAsia="Arial" w:hAnsi="Arial"/>
                <w:sz w:val="18"/>
                <w:szCs w:val="18"/>
                <w:color w:val="auto"/>
              </w:rPr>
              <w:t>Louisiana</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1.3</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0.4</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Baytown</w:t>
            </w:r>
          </w:p>
        </w:tc>
        <w:tc>
          <w:tcPr>
            <w:tcW w:w="1980" w:type="dxa"/>
            <w:vAlign w:val="bottom"/>
          </w:tcPr>
          <w:p>
            <w:pPr>
              <w:ind w:left="520"/>
              <w:spacing w:after="0"/>
              <w:rPr>
                <w:sz w:val="20"/>
                <w:szCs w:val="20"/>
                <w:color w:val="auto"/>
              </w:rPr>
            </w:pPr>
            <w:r>
              <w:rPr>
                <w:rFonts w:ascii="Arial" w:cs="Arial" w:eastAsia="Arial" w:hAnsi="Arial"/>
                <w:sz w:val="18"/>
                <w:szCs w:val="18"/>
                <w:color w:val="auto"/>
              </w:rPr>
              <w:t>Texas</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0.7</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0.6</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Beaumont</w:t>
            </w:r>
          </w:p>
        </w:tc>
        <w:tc>
          <w:tcPr>
            <w:tcW w:w="1980" w:type="dxa"/>
            <w:vAlign w:val="bottom"/>
          </w:tcPr>
          <w:p>
            <w:pPr>
              <w:ind w:left="520"/>
              <w:spacing w:after="0"/>
              <w:rPr>
                <w:sz w:val="20"/>
                <w:szCs w:val="20"/>
                <w:color w:val="auto"/>
              </w:rPr>
            </w:pPr>
            <w:r>
              <w:rPr>
                <w:rFonts w:ascii="Arial" w:cs="Arial" w:eastAsia="Arial" w:hAnsi="Arial"/>
                <w:sz w:val="18"/>
                <w:szCs w:val="18"/>
                <w:color w:val="auto"/>
              </w:rPr>
              <w:t>Texas</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0.9</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1.7</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0.3</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Mont Belvieu</w:t>
            </w:r>
          </w:p>
        </w:tc>
        <w:tc>
          <w:tcPr>
            <w:tcW w:w="1980" w:type="dxa"/>
            <w:vAlign w:val="bottom"/>
          </w:tcPr>
          <w:p>
            <w:pPr>
              <w:ind w:left="520"/>
              <w:spacing w:after="0"/>
              <w:rPr>
                <w:sz w:val="20"/>
                <w:szCs w:val="20"/>
                <w:color w:val="auto"/>
              </w:rPr>
            </w:pPr>
            <w:r>
              <w:rPr>
                <w:rFonts w:ascii="Arial" w:cs="Arial" w:eastAsia="Arial" w:hAnsi="Arial"/>
                <w:sz w:val="18"/>
                <w:szCs w:val="18"/>
                <w:color w:val="auto"/>
              </w:rPr>
              <w:t>Texas</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2.3</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Sarnia</w:t>
            </w:r>
          </w:p>
        </w:tc>
        <w:tc>
          <w:tcPr>
            <w:tcW w:w="1980" w:type="dxa"/>
            <w:vAlign w:val="bottom"/>
          </w:tcPr>
          <w:p>
            <w:pPr>
              <w:ind w:left="520"/>
              <w:spacing w:after="0"/>
              <w:rPr>
                <w:sz w:val="20"/>
                <w:szCs w:val="20"/>
                <w:color w:val="auto"/>
              </w:rPr>
            </w:pPr>
            <w:r>
              <w:rPr>
                <w:rFonts w:ascii="Arial" w:cs="Arial" w:eastAsia="Arial" w:hAnsi="Arial"/>
                <w:sz w:val="18"/>
                <w:szCs w:val="18"/>
                <w:color w:val="auto"/>
              </w:rPr>
              <w:t>Ontario</w:t>
            </w: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0.3</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0.5</w:t>
            </w: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4"/>
        </w:trPr>
        <w:tc>
          <w:tcPr>
            <w:tcW w:w="2440" w:type="dxa"/>
            <w:vAlign w:val="bottom"/>
          </w:tcPr>
          <w:p>
            <w:pPr>
              <w:ind w:left="420"/>
              <w:spacing w:after="0"/>
              <w:rPr>
                <w:sz w:val="20"/>
                <w:szCs w:val="20"/>
                <w:color w:val="auto"/>
              </w:rPr>
            </w:pPr>
            <w:r>
              <w:rPr>
                <w:rFonts w:ascii="Arial" w:cs="Arial" w:eastAsia="Arial" w:hAnsi="Arial"/>
                <w:sz w:val="18"/>
                <w:szCs w:val="18"/>
                <w:color w:val="auto"/>
              </w:rPr>
              <w:t>Total North America</w:t>
            </w:r>
          </w:p>
        </w:tc>
        <w:tc>
          <w:tcPr>
            <w:tcW w:w="198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6.1</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5.8</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Antwerp</w:t>
            </w:r>
          </w:p>
        </w:tc>
        <w:tc>
          <w:tcPr>
            <w:tcW w:w="1980" w:type="dxa"/>
            <w:vAlign w:val="bottom"/>
          </w:tcPr>
          <w:p>
            <w:pPr>
              <w:ind w:left="520"/>
              <w:spacing w:after="0"/>
              <w:rPr>
                <w:sz w:val="20"/>
                <w:szCs w:val="20"/>
                <w:color w:val="auto"/>
              </w:rPr>
            </w:pPr>
            <w:r>
              <w:rPr>
                <w:rFonts w:ascii="Arial" w:cs="Arial" w:eastAsia="Arial" w:hAnsi="Arial"/>
                <w:sz w:val="18"/>
                <w:szCs w:val="18"/>
                <w:color w:val="auto"/>
              </w:rPr>
              <w:t>Belgium</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0.4</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Fife</w:t>
            </w:r>
          </w:p>
        </w:tc>
        <w:tc>
          <w:tcPr>
            <w:tcW w:w="1980" w:type="dxa"/>
            <w:vAlign w:val="bottom"/>
          </w:tcPr>
          <w:p>
            <w:pPr>
              <w:ind w:left="520"/>
              <w:spacing w:after="0"/>
              <w:rPr>
                <w:sz w:val="20"/>
                <w:szCs w:val="20"/>
                <w:color w:val="auto"/>
              </w:rPr>
            </w:pPr>
            <w:r>
              <w:rPr>
                <w:rFonts w:ascii="Arial" w:cs="Arial" w:eastAsia="Arial" w:hAnsi="Arial"/>
                <w:sz w:val="18"/>
                <w:szCs w:val="18"/>
                <w:color w:val="auto"/>
              </w:rPr>
              <w:t>United Kingdom</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0.4</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Gravenchon</w:t>
            </w:r>
          </w:p>
        </w:tc>
        <w:tc>
          <w:tcPr>
            <w:tcW w:w="1980" w:type="dxa"/>
            <w:vAlign w:val="bottom"/>
          </w:tcPr>
          <w:p>
            <w:pPr>
              <w:ind w:left="520"/>
              <w:spacing w:after="0"/>
              <w:rPr>
                <w:sz w:val="20"/>
                <w:szCs w:val="20"/>
                <w:color w:val="auto"/>
              </w:rPr>
            </w:pPr>
            <w:r>
              <w:rPr>
                <w:rFonts w:ascii="Arial" w:cs="Arial" w:eastAsia="Arial" w:hAnsi="Arial"/>
                <w:sz w:val="18"/>
                <w:szCs w:val="18"/>
                <w:color w:val="auto"/>
              </w:rPr>
              <w:t>France</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0.4</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0.4</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0.3</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Meerhout</w:t>
            </w:r>
          </w:p>
        </w:tc>
        <w:tc>
          <w:tcPr>
            <w:tcW w:w="1980" w:type="dxa"/>
            <w:vAlign w:val="bottom"/>
          </w:tcPr>
          <w:p>
            <w:pPr>
              <w:ind w:left="520"/>
              <w:spacing w:after="0"/>
              <w:rPr>
                <w:sz w:val="20"/>
                <w:szCs w:val="20"/>
                <w:color w:val="auto"/>
              </w:rPr>
            </w:pPr>
            <w:r>
              <w:rPr>
                <w:rFonts w:ascii="Arial" w:cs="Arial" w:eastAsia="Arial" w:hAnsi="Arial"/>
                <w:sz w:val="18"/>
                <w:szCs w:val="18"/>
                <w:color w:val="auto"/>
              </w:rPr>
              <w:t>Belgium</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0.5</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Rotterdam</w:t>
            </w:r>
          </w:p>
        </w:tc>
        <w:tc>
          <w:tcPr>
            <w:tcW w:w="1980" w:type="dxa"/>
            <w:vAlign w:val="bottom"/>
          </w:tcPr>
          <w:p>
            <w:pPr>
              <w:ind w:left="520"/>
              <w:spacing w:after="0"/>
              <w:rPr>
                <w:sz w:val="20"/>
                <w:szCs w:val="20"/>
                <w:color w:val="auto"/>
              </w:rPr>
            </w:pPr>
            <w:r>
              <w:rPr>
                <w:rFonts w:ascii="Arial" w:cs="Arial" w:eastAsia="Arial" w:hAnsi="Arial"/>
                <w:sz w:val="18"/>
                <w:szCs w:val="18"/>
                <w:color w:val="auto"/>
              </w:rPr>
              <w:t>Netherlands</w:t>
            </w: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0.7</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2440" w:type="dxa"/>
            <w:vAlign w:val="bottom"/>
          </w:tcPr>
          <w:p>
            <w:pPr>
              <w:ind w:left="420"/>
              <w:spacing w:after="0"/>
              <w:rPr>
                <w:sz w:val="20"/>
                <w:szCs w:val="20"/>
                <w:color w:val="auto"/>
              </w:rPr>
            </w:pPr>
            <w:r>
              <w:rPr>
                <w:rFonts w:ascii="Arial" w:cs="Arial" w:eastAsia="Arial" w:hAnsi="Arial"/>
                <w:sz w:val="18"/>
                <w:szCs w:val="18"/>
                <w:color w:val="auto"/>
              </w:rPr>
              <w:t>Total Europe</w:t>
            </w:r>
          </w:p>
        </w:tc>
        <w:tc>
          <w:tcPr>
            <w:tcW w:w="198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0.8</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1.3</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0.3</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40" w:type="dxa"/>
            <w:vAlign w:val="bottom"/>
          </w:tcPr>
          <w:p>
            <w:pPr>
              <w:spacing w:after="0"/>
              <w:rPr>
                <w:sz w:val="20"/>
                <w:szCs w:val="20"/>
                <w:color w:val="auto"/>
              </w:rPr>
            </w:pPr>
            <w:r>
              <w:rPr>
                <w:rFonts w:ascii="Arial" w:cs="Arial" w:eastAsia="Arial" w:hAnsi="Arial"/>
                <w:sz w:val="18"/>
                <w:szCs w:val="18"/>
                <w:b w:val="1"/>
                <w:bCs w:val="1"/>
                <w:color w:val="auto"/>
              </w:rPr>
              <w:t>Middle East</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Al Jubail</w:t>
            </w:r>
          </w:p>
        </w:tc>
        <w:tc>
          <w:tcPr>
            <w:tcW w:w="1980" w:type="dxa"/>
            <w:vAlign w:val="bottom"/>
          </w:tcPr>
          <w:p>
            <w:pPr>
              <w:ind w:left="520"/>
              <w:spacing w:after="0"/>
              <w:rPr>
                <w:sz w:val="20"/>
                <w:szCs w:val="20"/>
                <w:color w:val="auto"/>
              </w:rPr>
            </w:pPr>
            <w:r>
              <w:rPr>
                <w:rFonts w:ascii="Arial" w:cs="Arial" w:eastAsia="Arial" w:hAnsi="Arial"/>
                <w:sz w:val="18"/>
                <w:szCs w:val="18"/>
                <w:color w:val="auto"/>
              </w:rPr>
              <w:t>Saudi Arabia</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0.6</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0.7</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Yanbu</w:t>
            </w:r>
          </w:p>
        </w:tc>
        <w:tc>
          <w:tcPr>
            <w:tcW w:w="1980" w:type="dxa"/>
            <w:vAlign w:val="bottom"/>
          </w:tcPr>
          <w:p>
            <w:pPr>
              <w:ind w:left="520"/>
              <w:spacing w:after="0"/>
              <w:rPr>
                <w:sz w:val="20"/>
                <w:szCs w:val="20"/>
                <w:color w:val="auto"/>
              </w:rPr>
            </w:pPr>
            <w:r>
              <w:rPr>
                <w:rFonts w:ascii="Arial" w:cs="Arial" w:eastAsia="Arial" w:hAnsi="Arial"/>
                <w:sz w:val="18"/>
                <w:szCs w:val="18"/>
                <w:color w:val="auto"/>
              </w:rPr>
              <w:t>Saudi Arabia</w:t>
            </w: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0.7</w:t>
            </w: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0.2</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2440" w:type="dxa"/>
            <w:vAlign w:val="bottom"/>
          </w:tcPr>
          <w:p>
            <w:pPr>
              <w:ind w:left="420"/>
              <w:spacing w:after="0"/>
              <w:rPr>
                <w:sz w:val="20"/>
                <w:szCs w:val="20"/>
                <w:color w:val="auto"/>
              </w:rPr>
            </w:pPr>
            <w:r>
              <w:rPr>
                <w:rFonts w:ascii="Arial" w:cs="Arial" w:eastAsia="Arial" w:hAnsi="Arial"/>
                <w:sz w:val="18"/>
                <w:szCs w:val="18"/>
                <w:color w:val="auto"/>
              </w:rPr>
              <w:t>Total Middle East</w:t>
            </w:r>
          </w:p>
        </w:tc>
        <w:tc>
          <w:tcPr>
            <w:tcW w:w="198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1.6</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440" w:type="dxa"/>
            <w:vAlign w:val="bottom"/>
          </w:tcPr>
          <w:p>
            <w:pPr>
              <w:spacing w:after="0"/>
              <w:rPr>
                <w:sz w:val="20"/>
                <w:szCs w:val="20"/>
                <w:color w:val="auto"/>
              </w:rPr>
            </w:pPr>
            <w:r>
              <w:rPr>
                <w:rFonts w:ascii="Arial" w:cs="Arial" w:eastAsia="Arial" w:hAnsi="Arial"/>
                <w:sz w:val="18"/>
                <w:szCs w:val="18"/>
                <w:b w:val="1"/>
                <w:bCs w:val="1"/>
                <w:color w:val="auto"/>
              </w:rPr>
              <w:t>Asia Pacific</w:t>
            </w:r>
          </w:p>
        </w:tc>
        <w:tc>
          <w:tcPr>
            <w:tcW w:w="1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Fujian</w:t>
            </w:r>
          </w:p>
        </w:tc>
        <w:tc>
          <w:tcPr>
            <w:tcW w:w="1980" w:type="dxa"/>
            <w:vAlign w:val="bottom"/>
          </w:tcPr>
          <w:p>
            <w:pPr>
              <w:ind w:left="520"/>
              <w:spacing w:after="0"/>
              <w:rPr>
                <w:sz w:val="20"/>
                <w:szCs w:val="20"/>
                <w:color w:val="auto"/>
              </w:rPr>
            </w:pPr>
            <w:r>
              <w:rPr>
                <w:rFonts w:ascii="Arial" w:cs="Arial" w:eastAsia="Arial" w:hAnsi="Arial"/>
                <w:sz w:val="18"/>
                <w:szCs w:val="18"/>
                <w:color w:val="auto"/>
              </w:rPr>
              <w:t>China</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0.3</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0.2</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0.2</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1980" w:type="dxa"/>
            <w:vAlign w:val="bottom"/>
          </w:tcPr>
          <w:p>
            <w:pPr>
              <w:ind w:left="520"/>
              <w:spacing w:after="0"/>
              <w:rPr>
                <w:sz w:val="20"/>
                <w:szCs w:val="20"/>
                <w:color w:val="auto"/>
              </w:rPr>
            </w:pPr>
            <w:r>
              <w:rPr>
                <w:rFonts w:ascii="Arial" w:cs="Arial" w:eastAsia="Arial" w:hAnsi="Arial"/>
                <w:sz w:val="18"/>
                <w:szCs w:val="18"/>
                <w:color w:val="auto"/>
              </w:rPr>
              <w:t>Singapore</w:t>
            </w: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1.9</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0.9</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Sriracha</w:t>
            </w:r>
          </w:p>
        </w:tc>
        <w:tc>
          <w:tcPr>
            <w:tcW w:w="1980" w:type="dxa"/>
            <w:vAlign w:val="bottom"/>
          </w:tcPr>
          <w:p>
            <w:pPr>
              <w:ind w:left="520"/>
              <w:spacing w:after="0"/>
              <w:rPr>
                <w:sz w:val="20"/>
                <w:szCs w:val="20"/>
                <w:color w:val="auto"/>
              </w:rPr>
            </w:pPr>
            <w:r>
              <w:rPr>
                <w:rFonts w:ascii="Arial" w:cs="Arial" w:eastAsia="Arial" w:hAnsi="Arial"/>
                <w:sz w:val="18"/>
                <w:szCs w:val="18"/>
                <w:color w:val="auto"/>
              </w:rPr>
              <w:t>Thailand</w:t>
            </w: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0.5</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244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1980" w:type="dxa"/>
            <w:vAlign w:val="bottom"/>
          </w:tcPr>
          <w:p>
            <w:pPr>
              <w:spacing w:after="0"/>
              <w:rPr>
                <w:sz w:val="19"/>
                <w:szCs w:val="19"/>
                <w:color w:val="auto"/>
              </w:rPr>
            </w:pPr>
          </w:p>
        </w:tc>
        <w:tc>
          <w:tcPr>
            <w:tcW w:w="1380" w:type="dxa"/>
            <w:vAlign w:val="bottom"/>
          </w:tcPr>
          <w:p>
            <w:pPr>
              <w:jc w:val="right"/>
              <w:ind w:right="351"/>
              <w:spacing w:after="0"/>
              <w:rPr>
                <w:sz w:val="20"/>
                <w:szCs w:val="20"/>
                <w:color w:val="auto"/>
              </w:rPr>
            </w:pPr>
            <w:r>
              <w:rPr>
                <w:rFonts w:ascii="Arial" w:cs="Arial" w:eastAsia="Arial" w:hAnsi="Arial"/>
                <w:sz w:val="18"/>
                <w:szCs w:val="18"/>
                <w:color w:val="auto"/>
              </w:rPr>
              <w:t>2.2</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2.5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Total Worldwide</w:t>
            </w:r>
          </w:p>
        </w:tc>
        <w:tc>
          <w:tcPr>
            <w:tcW w:w="19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10.7</w:t>
            </w: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10.6</w:t>
            </w:r>
          </w:p>
        </w:tc>
        <w:tc>
          <w:tcPr>
            <w:tcW w:w="15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2.7</w:t>
            </w:r>
          </w:p>
        </w:tc>
        <w:tc>
          <w:tcPr>
            <w:tcW w:w="14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80" w:right="20" w:hanging="172"/>
        <w:spacing w:after="0" w:line="277" w:lineRule="auto"/>
        <w:tabs>
          <w:tab w:leader="none" w:pos="54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Capacity reflects 100 percent for operations of ExxonMobil and majority-owned subsidiaries. For companies owned 50 percent or less, capacity is ExxonMobil’s interest.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tabs>
          <w:tab w:leader="none" w:pos="10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Regarding a matter last reported in the Corporation’s Form 10-Q for the third quarter of 2019, on December 31, 2019, the United States Federal District Court, Northern District of Texas (the Federal Court), vacated the civil penalty assessed by the United States Department of Treasury, Office of Foreign Assets Control (OFAC) against Exxon Mobil Corporation, ExxonMobil Development Company and ExxonMobil Oil Corporation on July 20, 2017, for allegedly violating the Ukraine-Related Sanctions Regulations, 31 C.F.R. part 589. The civil penalty vacated by the Federal Court was in the amount of $2,000,000. OFAC is currently determining whether to appeal the Federal Court’s order to the 5th Circuit Court of Appeals.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relevant portions of “Note 16: Litigation and Other Contingencies” of the Financial Section of this report for additional information on legal proceedings.</w:t>
      </w:r>
    </w:p>
    <w:p>
      <w:pPr>
        <w:spacing w:after="0" w:line="200" w:lineRule="exact"/>
        <w:rPr>
          <w:sz w:val="20"/>
          <w:szCs w:val="20"/>
          <w:color w:val="auto"/>
        </w:rPr>
      </w:pPr>
    </w:p>
    <w:p>
      <w:pPr>
        <w:spacing w:after="0" w:line="28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392430</wp:posOffset>
            </wp:positionV>
            <wp:extent cx="1449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(positions and ages as of February 26,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Darren W. Woods</w:t>
            </w:r>
          </w:p>
        </w:tc>
        <w:tc>
          <w:tcPr>
            <w:tcW w:w="496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Chairman of the Board</w:t>
            </w:r>
          </w:p>
        </w:tc>
        <w:tc>
          <w:tcPr>
            <w:tcW w:w="352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960" w:type="dxa"/>
            <w:vAlign w:val="bottom"/>
          </w:tcPr>
          <w:p>
            <w:pPr>
              <w:ind w:left="1080"/>
              <w:spacing w:after="0"/>
              <w:rPr>
                <w:sz w:val="20"/>
                <w:szCs w:val="20"/>
                <w:color w:val="auto"/>
              </w:rPr>
            </w:pPr>
            <w:r>
              <w:rPr>
                <w:rFonts w:ascii="Arial" w:cs="Arial" w:eastAsia="Arial" w:hAnsi="Arial"/>
                <w:sz w:val="18"/>
                <w:szCs w:val="18"/>
                <w:color w:val="auto"/>
              </w:rPr>
              <w:t>January 1, 2017</w:t>
            </w:r>
          </w:p>
        </w:tc>
        <w:tc>
          <w:tcPr>
            <w:tcW w:w="3520" w:type="dxa"/>
            <w:vAlign w:val="bottom"/>
          </w:tcPr>
          <w:p>
            <w:pPr>
              <w:ind w:left="2200"/>
              <w:spacing w:after="0"/>
              <w:rPr>
                <w:sz w:val="20"/>
                <w:szCs w:val="20"/>
                <w:color w:val="auto"/>
              </w:rPr>
            </w:pPr>
            <w:r>
              <w:rPr>
                <w:rFonts w:ascii="Arial" w:cs="Arial" w:eastAsia="Arial" w:hAnsi="Arial"/>
                <w:sz w:val="18"/>
                <w:szCs w:val="18"/>
                <w:color w:val="auto"/>
              </w:rPr>
              <w:t>Age: 55</w:t>
            </w:r>
          </w:p>
        </w:tc>
      </w:tr>
    </w:tbl>
    <w:p>
      <w:pPr>
        <w:jc w:val="both"/>
        <w:ind w:left="180" w:right="100"/>
        <w:spacing w:after="0" w:line="263" w:lineRule="auto"/>
        <w:rPr>
          <w:sz w:val="20"/>
          <w:szCs w:val="20"/>
          <w:color w:val="auto"/>
        </w:rPr>
      </w:pPr>
      <w:r>
        <w:rPr>
          <w:rFonts w:ascii="Arial" w:cs="Arial" w:eastAsia="Arial" w:hAnsi="Arial"/>
          <w:sz w:val="18"/>
          <w:szCs w:val="18"/>
          <w:color w:val="auto"/>
        </w:rPr>
        <w:t>Mr. Darren W. Woods was Senior Vice President of Exxon Mobil Corporation June 1, 2014 – December 31, 2015. He became a Director and President of Exxon Mobil Corporation on January 1, 2016, and Chairman of the Board and Chief Executive Officer on January 1, 2017,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Neil A. Chapman</w:t>
            </w:r>
          </w:p>
        </w:tc>
        <w:tc>
          <w:tcPr>
            <w:tcW w:w="49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Senior Vice President</w:t>
            </w:r>
          </w:p>
        </w:tc>
        <w:tc>
          <w:tcPr>
            <w:tcW w:w="358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900" w:type="dxa"/>
            <w:vAlign w:val="bottom"/>
          </w:tcPr>
          <w:p>
            <w:pPr>
              <w:ind w:left="1080"/>
              <w:spacing w:after="0"/>
              <w:rPr>
                <w:sz w:val="20"/>
                <w:szCs w:val="20"/>
                <w:color w:val="auto"/>
              </w:rPr>
            </w:pPr>
            <w:r>
              <w:rPr>
                <w:rFonts w:ascii="Arial" w:cs="Arial" w:eastAsia="Arial" w:hAnsi="Arial"/>
                <w:sz w:val="18"/>
                <w:szCs w:val="18"/>
                <w:color w:val="auto"/>
              </w:rPr>
              <w:t>January 1, 2018</w:t>
            </w:r>
          </w:p>
        </w:tc>
        <w:tc>
          <w:tcPr>
            <w:tcW w:w="3580" w:type="dxa"/>
            <w:vAlign w:val="bottom"/>
          </w:tcPr>
          <w:p>
            <w:pPr>
              <w:ind w:left="2260"/>
              <w:spacing w:after="0"/>
              <w:rPr>
                <w:sz w:val="20"/>
                <w:szCs w:val="20"/>
                <w:color w:val="auto"/>
              </w:rPr>
            </w:pPr>
            <w:r>
              <w:rPr>
                <w:rFonts w:ascii="Arial" w:cs="Arial" w:eastAsia="Arial" w:hAnsi="Arial"/>
                <w:sz w:val="18"/>
                <w:szCs w:val="18"/>
                <w:color w:val="auto"/>
              </w:rPr>
              <w:t>Age: 57</w:t>
            </w:r>
          </w:p>
        </w:tc>
      </w:tr>
    </w:tbl>
    <w:p>
      <w:pPr>
        <w:jc w:val="both"/>
        <w:ind w:left="180" w:right="100"/>
        <w:spacing w:after="0" w:line="341" w:lineRule="auto"/>
        <w:rPr>
          <w:sz w:val="20"/>
          <w:szCs w:val="20"/>
          <w:color w:val="auto"/>
        </w:rPr>
      </w:pPr>
      <w:r>
        <w:rPr>
          <w:rFonts w:ascii="Arial" w:cs="Arial" w:eastAsia="Arial" w:hAnsi="Arial"/>
          <w:sz w:val="16"/>
          <w:szCs w:val="16"/>
          <w:color w:val="auto"/>
        </w:rPr>
        <w:t>Mr. Neil A. Chapman was President of ExxonMobil Chemical Company and Vice President of Exxon Mobil Corporation January 1, 2015 – December 31, 2017. He became Senior Vice President of Exxon Mobil Corporation on January 1, 2018,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Andrew P. Swiger</w:t>
            </w:r>
          </w:p>
        </w:tc>
        <w:tc>
          <w:tcPr>
            <w:tcW w:w="49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Senior Vice President</w:t>
            </w:r>
          </w:p>
        </w:tc>
        <w:tc>
          <w:tcPr>
            <w:tcW w:w="358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900" w:type="dxa"/>
            <w:vAlign w:val="bottom"/>
          </w:tcPr>
          <w:p>
            <w:pPr>
              <w:ind w:left="1080"/>
              <w:spacing w:after="0"/>
              <w:rPr>
                <w:sz w:val="20"/>
                <w:szCs w:val="20"/>
                <w:color w:val="auto"/>
              </w:rPr>
            </w:pPr>
            <w:r>
              <w:rPr>
                <w:rFonts w:ascii="Arial" w:cs="Arial" w:eastAsia="Arial" w:hAnsi="Arial"/>
                <w:sz w:val="18"/>
                <w:szCs w:val="18"/>
                <w:color w:val="auto"/>
              </w:rPr>
              <w:t>April 1, 2009</w:t>
            </w:r>
          </w:p>
        </w:tc>
        <w:tc>
          <w:tcPr>
            <w:tcW w:w="3580" w:type="dxa"/>
            <w:vAlign w:val="bottom"/>
          </w:tcPr>
          <w:p>
            <w:pPr>
              <w:ind w:left="2260"/>
              <w:spacing w:after="0"/>
              <w:rPr>
                <w:sz w:val="20"/>
                <w:szCs w:val="20"/>
                <w:color w:val="auto"/>
              </w:rPr>
            </w:pPr>
            <w:r>
              <w:rPr>
                <w:rFonts w:ascii="Arial" w:cs="Arial" w:eastAsia="Arial" w:hAnsi="Arial"/>
                <w:sz w:val="18"/>
                <w:szCs w:val="18"/>
                <w:color w:val="auto"/>
              </w:rPr>
              <w:t>Age: 63</w:t>
            </w:r>
          </w:p>
        </w:tc>
      </w:tr>
    </w:tbl>
    <w:p>
      <w:pPr>
        <w:ind w:left="180"/>
        <w:spacing w:after="0"/>
        <w:rPr>
          <w:sz w:val="20"/>
          <w:szCs w:val="20"/>
          <w:color w:val="auto"/>
        </w:rPr>
      </w:pPr>
      <w:r>
        <w:rPr>
          <w:rFonts w:ascii="Arial" w:cs="Arial" w:eastAsia="Arial" w:hAnsi="Arial"/>
          <w:sz w:val="16"/>
          <w:szCs w:val="16"/>
          <w:color w:val="auto"/>
        </w:rPr>
        <w:t>Mr. Andrew P. Swiger became Senior Vice President of Exxon Mobil Corporation on April 1, 2009,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Jack P. Williams, Jr.</w:t>
            </w:r>
          </w:p>
        </w:tc>
        <w:tc>
          <w:tcPr>
            <w:tcW w:w="49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Senior Vice President</w:t>
            </w:r>
          </w:p>
        </w:tc>
        <w:tc>
          <w:tcPr>
            <w:tcW w:w="358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900" w:type="dxa"/>
            <w:vAlign w:val="bottom"/>
          </w:tcPr>
          <w:p>
            <w:pPr>
              <w:ind w:left="1080"/>
              <w:spacing w:after="0"/>
              <w:rPr>
                <w:sz w:val="20"/>
                <w:szCs w:val="20"/>
                <w:color w:val="auto"/>
              </w:rPr>
            </w:pPr>
            <w:r>
              <w:rPr>
                <w:rFonts w:ascii="Arial" w:cs="Arial" w:eastAsia="Arial" w:hAnsi="Arial"/>
                <w:sz w:val="18"/>
                <w:szCs w:val="18"/>
                <w:color w:val="auto"/>
              </w:rPr>
              <w:t>June 1, 2014</w:t>
            </w:r>
          </w:p>
        </w:tc>
        <w:tc>
          <w:tcPr>
            <w:tcW w:w="3580" w:type="dxa"/>
            <w:vAlign w:val="bottom"/>
          </w:tcPr>
          <w:p>
            <w:pPr>
              <w:ind w:left="2260"/>
              <w:spacing w:after="0"/>
              <w:rPr>
                <w:sz w:val="20"/>
                <w:szCs w:val="20"/>
                <w:color w:val="auto"/>
              </w:rPr>
            </w:pPr>
            <w:r>
              <w:rPr>
                <w:rFonts w:ascii="Arial" w:cs="Arial" w:eastAsia="Arial" w:hAnsi="Arial"/>
                <w:sz w:val="18"/>
                <w:szCs w:val="18"/>
                <w:color w:val="auto"/>
              </w:rPr>
              <w:t>Age: 56</w:t>
            </w:r>
          </w:p>
        </w:tc>
      </w:tr>
    </w:tbl>
    <w:p>
      <w:pPr>
        <w:jc w:val="center"/>
        <w:spacing w:after="0"/>
        <w:rPr>
          <w:sz w:val="20"/>
          <w:szCs w:val="20"/>
          <w:color w:val="auto"/>
        </w:rPr>
      </w:pPr>
      <w:r>
        <w:rPr>
          <w:rFonts w:ascii="Arial" w:cs="Arial" w:eastAsia="Arial" w:hAnsi="Arial"/>
          <w:sz w:val="16"/>
          <w:szCs w:val="16"/>
          <w:color w:val="auto"/>
        </w:rPr>
        <w:t>Mr. Jack P. Williams, Jr. became Senior Vice President of Exxon Mobil Corporation on June 1, 2014,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Linda D. DuCharme</w:t>
            </w:r>
          </w:p>
        </w:tc>
        <w:tc>
          <w:tcPr>
            <w:tcW w:w="644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President, ExxonMobil Upstream Integrated Solutions Company</w:t>
            </w:r>
          </w:p>
        </w:tc>
        <w:tc>
          <w:tcPr>
            <w:tcW w:w="204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6440" w:type="dxa"/>
            <w:vAlign w:val="bottom"/>
          </w:tcPr>
          <w:p>
            <w:pPr>
              <w:ind w:left="1080"/>
              <w:spacing w:after="0"/>
              <w:rPr>
                <w:sz w:val="20"/>
                <w:szCs w:val="20"/>
                <w:color w:val="auto"/>
              </w:rPr>
            </w:pPr>
            <w:r>
              <w:rPr>
                <w:rFonts w:ascii="Arial" w:cs="Arial" w:eastAsia="Arial" w:hAnsi="Arial"/>
                <w:sz w:val="18"/>
                <w:szCs w:val="18"/>
                <w:color w:val="auto"/>
              </w:rPr>
              <w:t>April 1, 2019</w:t>
            </w:r>
          </w:p>
        </w:tc>
        <w:tc>
          <w:tcPr>
            <w:tcW w:w="2040" w:type="dxa"/>
            <w:vAlign w:val="bottom"/>
          </w:tcPr>
          <w:p>
            <w:pPr>
              <w:ind w:left="720"/>
              <w:spacing w:after="0"/>
              <w:rPr>
                <w:sz w:val="20"/>
                <w:szCs w:val="20"/>
                <w:color w:val="auto"/>
              </w:rPr>
            </w:pPr>
            <w:r>
              <w:rPr>
                <w:rFonts w:ascii="Arial" w:cs="Arial" w:eastAsia="Arial" w:hAnsi="Arial"/>
                <w:sz w:val="18"/>
                <w:szCs w:val="18"/>
                <w:color w:val="auto"/>
              </w:rPr>
              <w:t>Age: 55</w:t>
            </w:r>
          </w:p>
        </w:tc>
      </w:tr>
    </w:tbl>
    <w:p>
      <w:pPr>
        <w:jc w:val="both"/>
        <w:ind w:left="180" w:right="100"/>
        <w:spacing w:after="0" w:line="259" w:lineRule="auto"/>
        <w:rPr>
          <w:sz w:val="20"/>
          <w:szCs w:val="20"/>
          <w:color w:val="auto"/>
        </w:rPr>
      </w:pPr>
      <w:r>
        <w:rPr>
          <w:rFonts w:ascii="Arial" w:cs="Arial" w:eastAsia="Arial" w:hAnsi="Arial"/>
          <w:sz w:val="18"/>
          <w:szCs w:val="18"/>
          <w:color w:val="auto"/>
        </w:rPr>
        <w:t>Ms. Linda D. DuCharme was Vice President, Europe, Russia and Caspian for ExxonMobil Gas &amp; Power Marketing Company February 1, 2011 – June 30, 2015. She was Vice President, Americas, Africa and Asia, ExxonMobil Gas &amp; Power Marketing Company July 1, 2015 – July 31, 2016. She was President of ExxonMobil Global Services Company August 1, 2016 – March 31, 2019. She became President of ExxonMobil Upstream Integrated Solutions Company on April 1, 2019, a position she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Neil W. Duffin</w:t>
            </w:r>
          </w:p>
        </w:tc>
        <w:tc>
          <w:tcPr>
            <w:tcW w:w="59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President, ExxonMobil Global Projects Company</w:t>
            </w:r>
          </w:p>
        </w:tc>
        <w:tc>
          <w:tcPr>
            <w:tcW w:w="2580" w:type="dxa"/>
            <w:vAlign w:val="bottom"/>
            <w:tcBorders>
              <w:top w:val="single" w:sz="8" w:color="auto"/>
            </w:tcBorders>
          </w:tcPr>
          <w:p>
            <w:pPr>
              <w:spacing w:after="0"/>
              <w:rPr>
                <w:sz w:val="22"/>
                <w:szCs w:val="22"/>
                <w:color w:val="auto"/>
              </w:rPr>
            </w:pPr>
          </w:p>
        </w:tc>
      </w:tr>
      <w:tr>
        <w:trPr>
          <w:trHeight w:val="346"/>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900" w:type="dxa"/>
            <w:vAlign w:val="bottom"/>
          </w:tcPr>
          <w:p>
            <w:pPr>
              <w:ind w:left="1080"/>
              <w:spacing w:after="0"/>
              <w:rPr>
                <w:sz w:val="20"/>
                <w:szCs w:val="20"/>
                <w:color w:val="auto"/>
              </w:rPr>
            </w:pPr>
            <w:r>
              <w:rPr>
                <w:rFonts w:ascii="Arial" w:cs="Arial" w:eastAsia="Arial" w:hAnsi="Arial"/>
                <w:sz w:val="18"/>
                <w:szCs w:val="18"/>
                <w:color w:val="auto"/>
              </w:rPr>
              <w:t>April 1, 2019</w:t>
            </w:r>
          </w:p>
        </w:tc>
        <w:tc>
          <w:tcPr>
            <w:tcW w:w="2580" w:type="dxa"/>
            <w:vAlign w:val="bottom"/>
          </w:tcPr>
          <w:p>
            <w:pPr>
              <w:ind w:left="1260"/>
              <w:spacing w:after="0"/>
              <w:rPr>
                <w:sz w:val="20"/>
                <w:szCs w:val="20"/>
                <w:color w:val="auto"/>
              </w:rPr>
            </w:pPr>
            <w:r>
              <w:rPr>
                <w:rFonts w:ascii="Arial" w:cs="Arial" w:eastAsia="Arial" w:hAnsi="Arial"/>
                <w:sz w:val="18"/>
                <w:szCs w:val="18"/>
                <w:color w:val="auto"/>
              </w:rPr>
              <w:t>Age: 63</w:t>
            </w:r>
          </w:p>
        </w:tc>
      </w:tr>
    </w:tbl>
    <w:p>
      <w:pPr>
        <w:jc w:val="both"/>
        <w:ind w:left="180" w:right="100"/>
        <w:spacing w:after="0" w:line="263" w:lineRule="auto"/>
        <w:rPr>
          <w:sz w:val="20"/>
          <w:szCs w:val="20"/>
          <w:color w:val="auto"/>
        </w:rPr>
      </w:pPr>
      <w:r>
        <w:rPr>
          <w:rFonts w:ascii="Arial" w:cs="Arial" w:eastAsia="Arial" w:hAnsi="Arial"/>
          <w:sz w:val="18"/>
          <w:szCs w:val="18"/>
          <w:color w:val="auto"/>
        </w:rPr>
        <w:t>Mr. Neil W. Duffin was President of ExxonMobil Development Company April 13, 2007 – December 31, 2016. He was President of ExxonMobil Production Company and Vice President of Exxon Mobil Corporation January 1, 2017 – March 31, 2019. He became President of ExxonMobil Global Projects Company on April 1, 2019,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Randall M. Ebner</w:t>
            </w:r>
          </w:p>
        </w:tc>
        <w:tc>
          <w:tcPr>
            <w:tcW w:w="542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 and General Counsel</w:t>
            </w:r>
          </w:p>
        </w:tc>
        <w:tc>
          <w:tcPr>
            <w:tcW w:w="3060" w:type="dxa"/>
            <w:vAlign w:val="bottom"/>
            <w:tcBorders>
              <w:top w:val="single" w:sz="8" w:color="auto"/>
            </w:tcBorders>
          </w:tcPr>
          <w:p>
            <w:pPr>
              <w:spacing w:after="0"/>
              <w:rPr>
                <w:sz w:val="22"/>
                <w:szCs w:val="22"/>
                <w:color w:val="auto"/>
              </w:rPr>
            </w:pPr>
          </w:p>
        </w:tc>
      </w:tr>
      <w:tr>
        <w:trPr>
          <w:trHeight w:val="346"/>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420" w:type="dxa"/>
            <w:vAlign w:val="bottom"/>
          </w:tcPr>
          <w:p>
            <w:pPr>
              <w:ind w:left="1080"/>
              <w:spacing w:after="0"/>
              <w:rPr>
                <w:sz w:val="20"/>
                <w:szCs w:val="20"/>
                <w:color w:val="auto"/>
              </w:rPr>
            </w:pPr>
            <w:r>
              <w:rPr>
                <w:rFonts w:ascii="Arial" w:cs="Arial" w:eastAsia="Arial" w:hAnsi="Arial"/>
                <w:sz w:val="18"/>
                <w:szCs w:val="18"/>
                <w:color w:val="auto"/>
              </w:rPr>
              <w:t>November 1, 2016</w:t>
            </w:r>
          </w:p>
        </w:tc>
        <w:tc>
          <w:tcPr>
            <w:tcW w:w="3060" w:type="dxa"/>
            <w:vAlign w:val="bottom"/>
          </w:tcPr>
          <w:p>
            <w:pPr>
              <w:ind w:left="1740"/>
              <w:spacing w:after="0"/>
              <w:rPr>
                <w:sz w:val="20"/>
                <w:szCs w:val="20"/>
                <w:color w:val="auto"/>
              </w:rPr>
            </w:pPr>
            <w:r>
              <w:rPr>
                <w:rFonts w:ascii="Arial" w:cs="Arial" w:eastAsia="Arial" w:hAnsi="Arial"/>
                <w:sz w:val="18"/>
                <w:szCs w:val="18"/>
                <w:color w:val="auto"/>
              </w:rPr>
              <w:t>Age: 64</w:t>
            </w:r>
          </w:p>
        </w:tc>
      </w:tr>
    </w:tbl>
    <w:p>
      <w:pPr>
        <w:ind w:left="180" w:right="100"/>
        <w:spacing w:after="0" w:line="276" w:lineRule="auto"/>
        <w:rPr>
          <w:sz w:val="20"/>
          <w:szCs w:val="20"/>
          <w:color w:val="auto"/>
        </w:rPr>
      </w:pPr>
      <w:r>
        <w:rPr>
          <w:rFonts w:ascii="Arial" w:cs="Arial" w:eastAsia="Arial" w:hAnsi="Arial"/>
          <w:sz w:val="18"/>
          <w:szCs w:val="18"/>
          <w:color w:val="auto"/>
        </w:rPr>
        <w:t>Mr. Randall M. Ebner was Assistant General Counsel of Exxon Mobil Corporation January 1, 2009 – October 31, 2016. He became Vice President and General Counsel of Exxon Mobil Corporation on November 1, 2016,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Stephen M. Greenlee</w:t>
            </w:r>
          </w:p>
        </w:tc>
        <w:tc>
          <w:tcPr>
            <w:tcW w:w="48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w:t>
            </w:r>
          </w:p>
        </w:tc>
        <w:tc>
          <w:tcPr>
            <w:tcW w:w="368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800" w:type="dxa"/>
            <w:vAlign w:val="bottom"/>
          </w:tcPr>
          <w:p>
            <w:pPr>
              <w:ind w:left="1080"/>
              <w:spacing w:after="0"/>
              <w:rPr>
                <w:sz w:val="20"/>
                <w:szCs w:val="20"/>
                <w:color w:val="auto"/>
              </w:rPr>
            </w:pPr>
            <w:r>
              <w:rPr>
                <w:rFonts w:ascii="Arial" w:cs="Arial" w:eastAsia="Arial" w:hAnsi="Arial"/>
                <w:sz w:val="18"/>
                <w:szCs w:val="18"/>
                <w:color w:val="auto"/>
              </w:rPr>
              <w:t>September 1, 2010</w:t>
            </w:r>
          </w:p>
        </w:tc>
        <w:tc>
          <w:tcPr>
            <w:tcW w:w="3680" w:type="dxa"/>
            <w:vAlign w:val="bottom"/>
          </w:tcPr>
          <w:p>
            <w:pPr>
              <w:ind w:left="2360"/>
              <w:spacing w:after="0"/>
              <w:rPr>
                <w:sz w:val="20"/>
                <w:szCs w:val="20"/>
                <w:color w:val="auto"/>
              </w:rPr>
            </w:pPr>
            <w:r>
              <w:rPr>
                <w:rFonts w:ascii="Arial" w:cs="Arial" w:eastAsia="Arial" w:hAnsi="Arial"/>
                <w:sz w:val="18"/>
                <w:szCs w:val="18"/>
                <w:color w:val="auto"/>
              </w:rPr>
              <w:t>Age: 62</w:t>
            </w:r>
          </w:p>
        </w:tc>
      </w:tr>
    </w:tbl>
    <w:p>
      <w:pPr>
        <w:jc w:val="both"/>
        <w:ind w:left="180" w:right="100"/>
        <w:spacing w:after="0" w:line="263" w:lineRule="auto"/>
        <w:rPr>
          <w:sz w:val="20"/>
          <w:szCs w:val="20"/>
          <w:color w:val="auto"/>
        </w:rPr>
      </w:pPr>
      <w:r>
        <w:rPr>
          <w:rFonts w:ascii="Arial" w:cs="Arial" w:eastAsia="Arial" w:hAnsi="Arial"/>
          <w:sz w:val="18"/>
          <w:szCs w:val="18"/>
          <w:color w:val="auto"/>
        </w:rPr>
        <w:t>Mr. Stephen M. Greenlee was President of ExxonMobil Exploration Company and Vice President of Exxon Mobil Corporation September 1, 2010 – March 31, 2019. He became President of ExxonMobil Upstream Business Development Company and Vice President of Exxon Mobil Corporation on April 1, 2019,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Neil A. Hansen</w:t>
            </w:r>
          </w:p>
        </w:tc>
        <w:tc>
          <w:tcPr>
            <w:tcW w:w="59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 – Investor Relations and Secretary</w:t>
            </w:r>
          </w:p>
        </w:tc>
        <w:tc>
          <w:tcPr>
            <w:tcW w:w="258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900" w:type="dxa"/>
            <w:vAlign w:val="bottom"/>
          </w:tcPr>
          <w:p>
            <w:pPr>
              <w:ind w:left="1080"/>
              <w:spacing w:after="0"/>
              <w:rPr>
                <w:sz w:val="20"/>
                <w:szCs w:val="20"/>
                <w:color w:val="auto"/>
              </w:rPr>
            </w:pPr>
            <w:r>
              <w:rPr>
                <w:rFonts w:ascii="Arial" w:cs="Arial" w:eastAsia="Arial" w:hAnsi="Arial"/>
                <w:sz w:val="18"/>
                <w:szCs w:val="18"/>
                <w:color w:val="auto"/>
              </w:rPr>
              <w:t>July 1, 2018</w:t>
            </w:r>
          </w:p>
        </w:tc>
        <w:tc>
          <w:tcPr>
            <w:tcW w:w="2580" w:type="dxa"/>
            <w:vAlign w:val="bottom"/>
          </w:tcPr>
          <w:p>
            <w:pPr>
              <w:ind w:left="1260"/>
              <w:spacing w:after="0"/>
              <w:rPr>
                <w:sz w:val="20"/>
                <w:szCs w:val="20"/>
                <w:color w:val="auto"/>
              </w:rPr>
            </w:pPr>
            <w:r>
              <w:rPr>
                <w:rFonts w:ascii="Arial" w:cs="Arial" w:eastAsia="Arial" w:hAnsi="Arial"/>
                <w:sz w:val="18"/>
                <w:szCs w:val="18"/>
                <w:color w:val="auto"/>
              </w:rPr>
              <w:t>Age: 45</w:t>
            </w:r>
          </w:p>
        </w:tc>
      </w:tr>
    </w:tbl>
    <w:p>
      <w:pPr>
        <w:jc w:val="both"/>
        <w:ind w:left="180" w:right="100"/>
        <w:spacing w:after="0" w:line="279" w:lineRule="auto"/>
        <w:rPr>
          <w:sz w:val="20"/>
          <w:szCs w:val="20"/>
          <w:color w:val="auto"/>
        </w:rPr>
      </w:pPr>
      <w:r>
        <w:rPr>
          <w:rFonts w:ascii="Arial" w:cs="Arial" w:eastAsia="Arial" w:hAnsi="Arial"/>
          <w:sz w:val="17"/>
          <w:szCs w:val="17"/>
          <w:color w:val="auto"/>
        </w:rPr>
        <w:t>Mr. Neil A. Hansen was Thailand Lead Country Manager and Business Services Manager, Esso (Thailand) Public Company Ltd. July 1, 2014 – March 31, 2017. He was Controller, ExxonMobil Fuels, Lubricants &amp; Specialties Marketing Company April 1, 2017 – December 31, 2017. He was Value Chain Controller, ExxonMobil Fuels &amp; Lubricants Company January 1, 2018 – June 30, 2018. He became Vice President – Investor Relations and Secretary of Exxon Mobil Corporation on July 1, 2018,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Liam M. Mallon</w:t>
            </w:r>
          </w:p>
        </w:tc>
        <w:tc>
          <w:tcPr>
            <w:tcW w:w="464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w:t>
            </w:r>
          </w:p>
        </w:tc>
        <w:tc>
          <w:tcPr>
            <w:tcW w:w="384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640" w:type="dxa"/>
            <w:vAlign w:val="bottom"/>
          </w:tcPr>
          <w:p>
            <w:pPr>
              <w:ind w:left="1080"/>
              <w:spacing w:after="0"/>
              <w:rPr>
                <w:sz w:val="20"/>
                <w:szCs w:val="20"/>
                <w:color w:val="auto"/>
              </w:rPr>
            </w:pPr>
            <w:r>
              <w:rPr>
                <w:rFonts w:ascii="Arial" w:cs="Arial" w:eastAsia="Arial" w:hAnsi="Arial"/>
                <w:sz w:val="18"/>
                <w:szCs w:val="18"/>
                <w:color w:val="auto"/>
              </w:rPr>
              <w:t>April 1, 2019</w:t>
            </w:r>
          </w:p>
        </w:tc>
        <w:tc>
          <w:tcPr>
            <w:tcW w:w="3840" w:type="dxa"/>
            <w:vAlign w:val="bottom"/>
          </w:tcPr>
          <w:p>
            <w:pPr>
              <w:ind w:left="2520"/>
              <w:spacing w:after="0"/>
              <w:rPr>
                <w:sz w:val="20"/>
                <w:szCs w:val="20"/>
                <w:color w:val="auto"/>
              </w:rPr>
            </w:pPr>
            <w:r>
              <w:rPr>
                <w:rFonts w:ascii="Arial" w:cs="Arial" w:eastAsia="Arial" w:hAnsi="Arial"/>
                <w:sz w:val="18"/>
                <w:szCs w:val="18"/>
                <w:color w:val="auto"/>
              </w:rPr>
              <w:t>Age: 57</w:t>
            </w:r>
          </w:p>
        </w:tc>
      </w:tr>
    </w:tbl>
    <w:p>
      <w:pPr>
        <w:jc w:val="both"/>
        <w:ind w:left="180" w:right="100"/>
        <w:spacing w:after="0" w:line="263" w:lineRule="auto"/>
        <w:rPr>
          <w:sz w:val="20"/>
          <w:szCs w:val="20"/>
          <w:color w:val="auto"/>
        </w:rPr>
      </w:pPr>
      <w:r>
        <w:rPr>
          <w:rFonts w:ascii="Arial" w:cs="Arial" w:eastAsia="Arial" w:hAnsi="Arial"/>
          <w:sz w:val="18"/>
          <w:szCs w:val="18"/>
          <w:color w:val="auto"/>
        </w:rPr>
        <w:t>Mr. Liam M. Mallon was Executive Vice President, ExxonMobil Development Company February 1, 2014 – December 31, 2016. He was President of ExxonMobil Development Company January 1, 2017 – March 31, 2019. He became President of ExxonMobil Upstream Oil &amp; Gas Company and Vice President of Exxon Mobil Corporation on April 1, 2019,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Karen T. McKee</w:t>
            </w:r>
          </w:p>
        </w:tc>
        <w:tc>
          <w:tcPr>
            <w:tcW w:w="464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w:t>
            </w:r>
          </w:p>
        </w:tc>
        <w:tc>
          <w:tcPr>
            <w:tcW w:w="384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640" w:type="dxa"/>
            <w:vAlign w:val="bottom"/>
          </w:tcPr>
          <w:p>
            <w:pPr>
              <w:ind w:left="1080"/>
              <w:spacing w:after="0"/>
              <w:rPr>
                <w:sz w:val="20"/>
                <w:szCs w:val="20"/>
                <w:color w:val="auto"/>
              </w:rPr>
            </w:pPr>
            <w:r>
              <w:rPr>
                <w:rFonts w:ascii="Arial" w:cs="Arial" w:eastAsia="Arial" w:hAnsi="Arial"/>
                <w:sz w:val="18"/>
                <w:szCs w:val="18"/>
                <w:color w:val="auto"/>
              </w:rPr>
              <w:t>April 1, 2019</w:t>
            </w:r>
          </w:p>
        </w:tc>
        <w:tc>
          <w:tcPr>
            <w:tcW w:w="3840" w:type="dxa"/>
            <w:vAlign w:val="bottom"/>
          </w:tcPr>
          <w:p>
            <w:pPr>
              <w:ind w:left="2520"/>
              <w:spacing w:after="0"/>
              <w:rPr>
                <w:sz w:val="20"/>
                <w:szCs w:val="20"/>
                <w:color w:val="auto"/>
              </w:rPr>
            </w:pPr>
            <w:r>
              <w:rPr>
                <w:rFonts w:ascii="Arial" w:cs="Arial" w:eastAsia="Arial" w:hAnsi="Arial"/>
                <w:sz w:val="18"/>
                <w:szCs w:val="18"/>
                <w:color w:val="auto"/>
              </w:rPr>
              <w:t>Age: 53</w:t>
            </w:r>
          </w:p>
        </w:tc>
      </w:tr>
    </w:tbl>
    <w:p>
      <w:pPr>
        <w:jc w:val="both"/>
        <w:ind w:left="180" w:right="100"/>
        <w:spacing w:after="0" w:line="311" w:lineRule="auto"/>
        <w:rPr>
          <w:sz w:val="20"/>
          <w:szCs w:val="20"/>
          <w:color w:val="auto"/>
        </w:rPr>
      </w:pPr>
      <w:r>
        <w:rPr>
          <w:rFonts w:ascii="Arial" w:cs="Arial" w:eastAsia="Arial" w:hAnsi="Arial"/>
          <w:sz w:val="16"/>
          <w:szCs w:val="16"/>
          <w:color w:val="auto"/>
        </w:rPr>
        <w:t>Ms. Karen T. McKee was Vice President, Basic Chemicals, ExxonMobil Chemical Company. May 1, 2014 – July 31, 2017. She was Senior Vice President, Basic Chemicals, Integration &amp; Growth, ExxonMobil Chemical Company August 1, 2017 – March 31, 2019. She became President of ExxonMobil Chemical Company and Vice President of Exxon Mobil Corporation on April 1, 2019, positions she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Bryan W. Milton</w:t>
            </w:r>
          </w:p>
        </w:tc>
        <w:tc>
          <w:tcPr>
            <w:tcW w:w="468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w:t>
            </w:r>
          </w:p>
        </w:tc>
        <w:tc>
          <w:tcPr>
            <w:tcW w:w="380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4680" w:type="dxa"/>
            <w:vAlign w:val="bottom"/>
          </w:tcPr>
          <w:p>
            <w:pPr>
              <w:ind w:left="1080"/>
              <w:spacing w:after="0"/>
              <w:rPr>
                <w:sz w:val="20"/>
                <w:szCs w:val="20"/>
                <w:color w:val="auto"/>
              </w:rPr>
            </w:pPr>
            <w:r>
              <w:rPr>
                <w:rFonts w:ascii="Arial" w:cs="Arial" w:eastAsia="Arial" w:hAnsi="Arial"/>
                <w:sz w:val="18"/>
                <w:szCs w:val="18"/>
                <w:color w:val="auto"/>
              </w:rPr>
              <w:t>August 1, 2016</w:t>
            </w:r>
          </w:p>
        </w:tc>
        <w:tc>
          <w:tcPr>
            <w:tcW w:w="3800" w:type="dxa"/>
            <w:vAlign w:val="bottom"/>
          </w:tcPr>
          <w:p>
            <w:pPr>
              <w:ind w:left="2480"/>
              <w:spacing w:after="0"/>
              <w:rPr>
                <w:sz w:val="20"/>
                <w:szCs w:val="20"/>
                <w:color w:val="auto"/>
              </w:rPr>
            </w:pPr>
            <w:r>
              <w:rPr>
                <w:rFonts w:ascii="Arial" w:cs="Arial" w:eastAsia="Arial" w:hAnsi="Arial"/>
                <w:sz w:val="18"/>
                <w:szCs w:val="18"/>
                <w:color w:val="auto"/>
              </w:rPr>
              <w:t>Age: 55</w:t>
            </w:r>
          </w:p>
        </w:tc>
      </w:tr>
    </w:tbl>
    <w:p>
      <w:pPr>
        <w:jc w:val="both"/>
        <w:ind w:left="180" w:right="100"/>
        <w:spacing w:after="0" w:line="259" w:lineRule="auto"/>
        <w:rPr>
          <w:sz w:val="20"/>
          <w:szCs w:val="20"/>
          <w:color w:val="auto"/>
        </w:rPr>
      </w:pPr>
      <w:r>
        <w:rPr>
          <w:rFonts w:ascii="Arial" w:cs="Arial" w:eastAsia="Arial" w:hAnsi="Arial"/>
          <w:sz w:val="18"/>
          <w:szCs w:val="18"/>
          <w:color w:val="auto"/>
        </w:rPr>
        <w:t>Mr. Bryan W. Milton was President of ExxonMobil Global Services Company April 1, 2011 – July 31, 2016. He was President of ExxonMobil Fuels, Lubricants &amp; Specialties Marketing Company and Vice President of Exxon Mobil Corporation August 1, 2016 – December 31, 2017. He became President of ExxonMobil Fuels &amp; Lubricants Company and Vice President of Exxon Mobil Corporation on January 1, 2018,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David S. Rosenthal</w:t>
            </w:r>
          </w:p>
        </w:tc>
        <w:tc>
          <w:tcPr>
            <w:tcW w:w="530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 and Controller</w:t>
            </w:r>
          </w:p>
        </w:tc>
        <w:tc>
          <w:tcPr>
            <w:tcW w:w="3180" w:type="dxa"/>
            <w:vAlign w:val="bottom"/>
            <w:tcBorders>
              <w:top w:val="single" w:sz="8" w:color="auto"/>
            </w:tcBorders>
          </w:tcPr>
          <w:p>
            <w:pPr>
              <w:spacing w:after="0"/>
              <w:rPr>
                <w:sz w:val="22"/>
                <w:szCs w:val="22"/>
                <w:color w:val="auto"/>
              </w:rPr>
            </w:pPr>
          </w:p>
        </w:tc>
      </w:tr>
      <w:tr>
        <w:trPr>
          <w:trHeight w:val="400"/>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300" w:type="dxa"/>
            <w:vAlign w:val="bottom"/>
          </w:tcPr>
          <w:p>
            <w:pPr>
              <w:ind w:left="1080"/>
              <w:spacing w:after="0"/>
              <w:rPr>
                <w:sz w:val="20"/>
                <w:szCs w:val="20"/>
                <w:color w:val="auto"/>
              </w:rPr>
            </w:pPr>
            <w:r>
              <w:rPr>
                <w:rFonts w:ascii="Arial" w:cs="Arial" w:eastAsia="Arial" w:hAnsi="Arial"/>
                <w:sz w:val="18"/>
                <w:szCs w:val="18"/>
                <w:color w:val="auto"/>
              </w:rPr>
              <w:t>October 1, 2008 (Vice President)</w:t>
            </w:r>
          </w:p>
        </w:tc>
        <w:tc>
          <w:tcPr>
            <w:tcW w:w="318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5300" w:type="dxa"/>
            <w:vAlign w:val="bottom"/>
          </w:tcPr>
          <w:p>
            <w:pPr>
              <w:ind w:left="1080"/>
              <w:spacing w:after="0"/>
              <w:rPr>
                <w:sz w:val="20"/>
                <w:szCs w:val="20"/>
                <w:color w:val="auto"/>
              </w:rPr>
            </w:pPr>
            <w:r>
              <w:rPr>
                <w:rFonts w:ascii="Arial" w:cs="Arial" w:eastAsia="Arial" w:hAnsi="Arial"/>
                <w:sz w:val="18"/>
                <w:szCs w:val="18"/>
                <w:color w:val="auto"/>
              </w:rPr>
              <w:t>September 1, 2014 (Controller)</w:t>
            </w:r>
          </w:p>
        </w:tc>
        <w:tc>
          <w:tcPr>
            <w:tcW w:w="3180" w:type="dxa"/>
            <w:vAlign w:val="bottom"/>
          </w:tcPr>
          <w:p>
            <w:pPr>
              <w:ind w:left="1860"/>
              <w:spacing w:after="0"/>
              <w:rPr>
                <w:sz w:val="20"/>
                <w:szCs w:val="20"/>
                <w:color w:val="auto"/>
              </w:rPr>
            </w:pPr>
            <w:r>
              <w:rPr>
                <w:rFonts w:ascii="Arial" w:cs="Arial" w:eastAsia="Arial" w:hAnsi="Arial"/>
                <w:sz w:val="18"/>
                <w:szCs w:val="18"/>
                <w:color w:val="auto"/>
              </w:rPr>
              <w:t>Age: 63</w:t>
            </w:r>
          </w:p>
        </w:tc>
      </w:tr>
    </w:tbl>
    <w:p>
      <w:pPr>
        <w:ind w:left="180" w:right="100"/>
        <w:spacing w:after="0" w:line="307" w:lineRule="auto"/>
        <w:rPr>
          <w:sz w:val="20"/>
          <w:szCs w:val="20"/>
          <w:color w:val="auto"/>
        </w:rPr>
      </w:pPr>
      <w:r>
        <w:rPr>
          <w:rFonts w:ascii="Arial" w:cs="Arial" w:eastAsia="Arial" w:hAnsi="Arial"/>
          <w:sz w:val="17"/>
          <w:szCs w:val="17"/>
          <w:color w:val="auto"/>
        </w:rPr>
        <w:t>Mr. David S. Rosenthal was Vice President – Investor Relations and Secretary of Exxon Mobil Corporation October 1, 2008 – August 31, 2014. He became Vice President and Controller of Exxon Mobil Corporation on September 1, 2014,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Robert N. Schleckser</w:t>
            </w:r>
          </w:p>
        </w:tc>
        <w:tc>
          <w:tcPr>
            <w:tcW w:w="516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 and Treasurer</w:t>
            </w:r>
          </w:p>
        </w:tc>
        <w:tc>
          <w:tcPr>
            <w:tcW w:w="332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160" w:type="dxa"/>
            <w:vAlign w:val="bottom"/>
          </w:tcPr>
          <w:p>
            <w:pPr>
              <w:ind w:left="1080"/>
              <w:spacing w:after="0"/>
              <w:rPr>
                <w:sz w:val="20"/>
                <w:szCs w:val="20"/>
                <w:color w:val="auto"/>
              </w:rPr>
            </w:pPr>
            <w:r>
              <w:rPr>
                <w:rFonts w:ascii="Arial" w:cs="Arial" w:eastAsia="Arial" w:hAnsi="Arial"/>
                <w:sz w:val="18"/>
                <w:szCs w:val="18"/>
                <w:color w:val="auto"/>
              </w:rPr>
              <w:t>May 1, 2011</w:t>
            </w:r>
          </w:p>
        </w:tc>
        <w:tc>
          <w:tcPr>
            <w:tcW w:w="3320" w:type="dxa"/>
            <w:vAlign w:val="bottom"/>
          </w:tcPr>
          <w:p>
            <w:pPr>
              <w:ind w:left="2000"/>
              <w:spacing w:after="0"/>
              <w:rPr>
                <w:sz w:val="20"/>
                <w:szCs w:val="20"/>
                <w:color w:val="auto"/>
              </w:rPr>
            </w:pPr>
            <w:r>
              <w:rPr>
                <w:rFonts w:ascii="Arial" w:cs="Arial" w:eastAsia="Arial" w:hAnsi="Arial"/>
                <w:sz w:val="18"/>
                <w:szCs w:val="18"/>
                <w:color w:val="auto"/>
              </w:rPr>
              <w:t>Age: 63</w:t>
            </w:r>
          </w:p>
        </w:tc>
      </w:tr>
    </w:tbl>
    <w:p>
      <w:pPr>
        <w:ind w:left="180" w:right="100"/>
        <w:spacing w:after="0" w:line="276" w:lineRule="auto"/>
        <w:rPr>
          <w:sz w:val="20"/>
          <w:szCs w:val="20"/>
          <w:color w:val="auto"/>
        </w:rPr>
      </w:pPr>
      <w:r>
        <w:rPr>
          <w:rFonts w:ascii="Arial" w:cs="Arial" w:eastAsia="Arial" w:hAnsi="Arial"/>
          <w:sz w:val="18"/>
          <w:szCs w:val="18"/>
          <w:color w:val="auto"/>
        </w:rPr>
        <w:t>Mr. Robert N. Schleckser became Vice President and Treasurer of Exxon Mobil Corporation on May 1, 2011,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6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James M. Spellings, Jr.</w:t>
            </w:r>
          </w:p>
        </w:tc>
        <w:tc>
          <w:tcPr>
            <w:tcW w:w="5580" w:type="dxa"/>
            <w:vAlign w:val="bottom"/>
            <w:tcBorders>
              <w:top w:val="single" w:sz="8" w:color="auto"/>
            </w:tcBorders>
          </w:tcPr>
          <w:p>
            <w:pPr>
              <w:ind w:left="1080"/>
              <w:spacing w:after="0"/>
              <w:rPr>
                <w:sz w:val="20"/>
                <w:szCs w:val="20"/>
                <w:color w:val="auto"/>
              </w:rPr>
            </w:pPr>
            <w:r>
              <w:rPr>
                <w:rFonts w:ascii="Arial" w:cs="Arial" w:eastAsia="Arial" w:hAnsi="Arial"/>
                <w:sz w:val="18"/>
                <w:szCs w:val="18"/>
                <w:i w:val="1"/>
                <w:iCs w:val="1"/>
                <w:color w:val="auto"/>
              </w:rPr>
              <w:t>Vice President and General Tax Counsel</w:t>
            </w:r>
          </w:p>
        </w:tc>
        <w:tc>
          <w:tcPr>
            <w:tcW w:w="2900" w:type="dxa"/>
            <w:vAlign w:val="bottom"/>
            <w:tcBorders>
              <w:top w:val="single" w:sz="8" w:color="auto"/>
            </w:tcBorders>
          </w:tcPr>
          <w:p>
            <w:pPr>
              <w:spacing w:after="0"/>
              <w:rPr>
                <w:sz w:val="22"/>
                <w:szCs w:val="22"/>
                <w:color w:val="auto"/>
              </w:rPr>
            </w:pPr>
          </w:p>
        </w:tc>
      </w:tr>
      <w:tr>
        <w:trPr>
          <w:trHeight w:val="414"/>
        </w:trPr>
        <w:tc>
          <w:tcPr>
            <w:tcW w:w="2940" w:type="dxa"/>
            <w:vAlign w:val="bottom"/>
          </w:tcPr>
          <w:p>
            <w:pPr>
              <w:ind w:left="180"/>
              <w:spacing w:after="0"/>
              <w:rPr>
                <w:sz w:val="20"/>
                <w:szCs w:val="20"/>
                <w:color w:val="auto"/>
              </w:rPr>
            </w:pPr>
            <w:r>
              <w:rPr>
                <w:rFonts w:ascii="Arial" w:cs="Arial" w:eastAsia="Arial" w:hAnsi="Arial"/>
                <w:sz w:val="18"/>
                <w:szCs w:val="18"/>
                <w:color w:val="auto"/>
              </w:rPr>
              <w:t>Held current title since:</w:t>
            </w:r>
          </w:p>
        </w:tc>
        <w:tc>
          <w:tcPr>
            <w:tcW w:w="5580" w:type="dxa"/>
            <w:vAlign w:val="bottom"/>
          </w:tcPr>
          <w:p>
            <w:pPr>
              <w:ind w:left="1080"/>
              <w:spacing w:after="0"/>
              <w:rPr>
                <w:sz w:val="20"/>
                <w:szCs w:val="20"/>
                <w:color w:val="auto"/>
              </w:rPr>
            </w:pPr>
            <w:r>
              <w:rPr>
                <w:rFonts w:ascii="Arial" w:cs="Arial" w:eastAsia="Arial" w:hAnsi="Arial"/>
                <w:sz w:val="18"/>
                <w:szCs w:val="18"/>
                <w:color w:val="auto"/>
              </w:rPr>
              <w:t>March 1, 2010</w:t>
            </w:r>
          </w:p>
        </w:tc>
        <w:tc>
          <w:tcPr>
            <w:tcW w:w="2900" w:type="dxa"/>
            <w:vAlign w:val="bottom"/>
          </w:tcPr>
          <w:p>
            <w:pPr>
              <w:ind w:left="1580"/>
              <w:spacing w:after="0"/>
              <w:rPr>
                <w:sz w:val="20"/>
                <w:szCs w:val="20"/>
                <w:color w:val="auto"/>
              </w:rPr>
            </w:pPr>
            <w:r>
              <w:rPr>
                <w:rFonts w:ascii="Arial" w:cs="Arial" w:eastAsia="Arial" w:hAnsi="Arial"/>
                <w:sz w:val="18"/>
                <w:szCs w:val="18"/>
                <w:color w:val="auto"/>
              </w:rPr>
              <w:t>Age: 58</w:t>
            </w:r>
          </w:p>
        </w:tc>
      </w:tr>
    </w:tbl>
    <w:p>
      <w:pPr>
        <w:ind w:left="180" w:right="100"/>
        <w:spacing w:after="0" w:line="276" w:lineRule="auto"/>
        <w:rPr>
          <w:sz w:val="20"/>
          <w:szCs w:val="20"/>
          <w:color w:val="auto"/>
        </w:rPr>
      </w:pPr>
      <w:r>
        <w:rPr>
          <w:rFonts w:ascii="Arial" w:cs="Arial" w:eastAsia="Arial" w:hAnsi="Arial"/>
          <w:sz w:val="18"/>
          <w:szCs w:val="18"/>
          <w:color w:val="auto"/>
        </w:rPr>
        <w:t>Mr. James M. Spellings, Jr. became Vice President and General Tax Counsel of Exxon Mobil Corporation on March 1, 2010, positions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8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0"/>
              </w:rPr>
              <w:t>Theodore J. Wojnar, Jr.</w:t>
            </w:r>
          </w:p>
        </w:tc>
        <w:tc>
          <w:tcPr>
            <w:tcW w:w="5760" w:type="dxa"/>
            <w:vAlign w:val="bottom"/>
            <w:tcBorders>
              <w:top w:val="single" w:sz="8" w:color="auto"/>
            </w:tcBorders>
          </w:tcPr>
          <w:p>
            <w:pPr>
              <w:ind w:left="1040"/>
              <w:spacing w:after="0"/>
              <w:rPr>
                <w:sz w:val="20"/>
                <w:szCs w:val="20"/>
                <w:color w:val="auto"/>
              </w:rPr>
            </w:pPr>
            <w:r>
              <w:rPr>
                <w:rFonts w:ascii="Arial" w:cs="Arial" w:eastAsia="Arial" w:hAnsi="Arial"/>
                <w:sz w:val="18"/>
                <w:szCs w:val="18"/>
                <w:i w:val="1"/>
                <w:iCs w:val="1"/>
                <w:color w:val="auto"/>
              </w:rPr>
              <w:t>Vice President – Corporate Strategic Planning</w:t>
            </w:r>
          </w:p>
        </w:tc>
        <w:tc>
          <w:tcPr>
            <w:tcW w:w="2680" w:type="dxa"/>
            <w:vAlign w:val="bottom"/>
            <w:tcBorders>
              <w:top w:val="single" w:sz="8" w:color="auto"/>
            </w:tcBorders>
          </w:tcPr>
          <w:p>
            <w:pPr>
              <w:spacing w:after="0"/>
              <w:rPr>
                <w:sz w:val="22"/>
                <w:szCs w:val="22"/>
                <w:color w:val="auto"/>
              </w:rPr>
            </w:pPr>
          </w:p>
        </w:tc>
      </w:tr>
      <w:tr>
        <w:trPr>
          <w:trHeight w:val="414"/>
        </w:trPr>
        <w:tc>
          <w:tcPr>
            <w:tcW w:w="2980" w:type="dxa"/>
            <w:vAlign w:val="bottom"/>
          </w:tcPr>
          <w:p>
            <w:pPr>
              <w:jc w:val="center"/>
              <w:ind w:right="830"/>
              <w:spacing w:after="0"/>
              <w:rPr>
                <w:sz w:val="20"/>
                <w:szCs w:val="20"/>
                <w:color w:val="auto"/>
              </w:rPr>
            </w:pPr>
            <w:r>
              <w:rPr>
                <w:rFonts w:ascii="Arial" w:cs="Arial" w:eastAsia="Arial" w:hAnsi="Arial"/>
                <w:sz w:val="18"/>
                <w:szCs w:val="18"/>
                <w:color w:val="auto"/>
                <w:w w:val="92"/>
              </w:rPr>
              <w:t>Held current title since:</w:t>
            </w:r>
          </w:p>
        </w:tc>
        <w:tc>
          <w:tcPr>
            <w:tcW w:w="5760" w:type="dxa"/>
            <w:vAlign w:val="bottom"/>
          </w:tcPr>
          <w:p>
            <w:pPr>
              <w:ind w:left="1040"/>
              <w:spacing w:after="0"/>
              <w:rPr>
                <w:sz w:val="20"/>
                <w:szCs w:val="20"/>
                <w:color w:val="auto"/>
              </w:rPr>
            </w:pPr>
            <w:r>
              <w:rPr>
                <w:rFonts w:ascii="Arial" w:cs="Arial" w:eastAsia="Arial" w:hAnsi="Arial"/>
                <w:sz w:val="18"/>
                <w:szCs w:val="18"/>
                <w:color w:val="auto"/>
              </w:rPr>
              <w:t>August 1, 2017</w:t>
            </w:r>
          </w:p>
        </w:tc>
        <w:tc>
          <w:tcPr>
            <w:tcW w:w="2680" w:type="dxa"/>
            <w:vAlign w:val="bottom"/>
          </w:tcPr>
          <w:p>
            <w:pPr>
              <w:ind w:left="1360"/>
              <w:spacing w:after="0"/>
              <w:rPr>
                <w:sz w:val="20"/>
                <w:szCs w:val="20"/>
                <w:color w:val="auto"/>
              </w:rPr>
            </w:pPr>
            <w:r>
              <w:rPr>
                <w:rFonts w:ascii="Arial" w:cs="Arial" w:eastAsia="Arial" w:hAnsi="Arial"/>
                <w:sz w:val="18"/>
                <w:szCs w:val="18"/>
                <w:color w:val="auto"/>
              </w:rPr>
              <w:t>Age: 60</w:t>
            </w:r>
          </w:p>
        </w:tc>
      </w:tr>
    </w:tbl>
    <w:p>
      <w:pPr>
        <w:ind w:left="180" w:right="120"/>
        <w:spacing w:after="0" w:line="307" w:lineRule="auto"/>
        <w:rPr>
          <w:sz w:val="20"/>
          <w:szCs w:val="20"/>
          <w:color w:val="auto"/>
        </w:rPr>
      </w:pPr>
      <w:r>
        <w:rPr>
          <w:rFonts w:ascii="Arial" w:cs="Arial" w:eastAsia="Arial" w:hAnsi="Arial"/>
          <w:sz w:val="17"/>
          <w:szCs w:val="17"/>
          <w:color w:val="auto"/>
        </w:rPr>
        <w:t>Mr. Theodore J. Wojnar, Jr. was President of ExxonMobil Research and Engineering Company April 1, 2011 – July 31, 2017. He became Vice President – Corporate Strategic Planning of Exxon Mobil Corporation on August 1, 2017,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Officers are generally elected by the Board of Directors at its meeting on the day of each annual election of directors, with each such officer serving until a successor has been elected and qualified.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PART II</w:t>
      </w:r>
    </w:p>
    <w:p>
      <w:pPr>
        <w:spacing w:after="0" w:line="238" w:lineRule="exact"/>
        <w:rPr>
          <w:sz w:val="20"/>
          <w:szCs w:val="20"/>
          <w:color w:val="auto"/>
        </w:rPr>
      </w:pPr>
    </w:p>
    <w:p>
      <w:pPr>
        <w:ind w:left="580" w:right="700" w:hanging="569"/>
        <w:spacing w:after="0" w:line="267" w:lineRule="auto"/>
        <w:rPr>
          <w:sz w:val="20"/>
          <w:szCs w:val="20"/>
          <w:color w:val="auto"/>
        </w:rPr>
      </w:pPr>
      <w:r>
        <w:rPr>
          <w:rFonts w:ascii="Arial" w:cs="Arial" w:eastAsia="Arial" w:hAnsi="Arial"/>
          <w:sz w:val="20"/>
          <w:szCs w:val="20"/>
          <w:b w:val="1"/>
          <w:bCs w:val="1"/>
          <w:color w:val="auto"/>
        </w:rPr>
        <w:t>ITEM 5.</w:t>
      </w:r>
      <w:r>
        <w:rPr>
          <w:sz w:val="20"/>
          <w:szCs w:val="20"/>
          <w:color w:val="auto"/>
        </w:rPr>
        <w:t xml:space="preserve"> </w:t>
      </w:r>
      <w:r>
        <w:rPr>
          <w:rFonts w:ascii="Arial" w:cs="Arial" w:eastAsia="Arial" w:hAnsi="Arial"/>
          <w:sz w:val="20"/>
          <w:szCs w:val="20"/>
          <w:b w:val="1"/>
          <w:bCs w:val="1"/>
          <w:color w:val="auto"/>
        </w:rPr>
        <w:t>MARKET FOR REGISTRANT’S COMMON EQUITY, RELATED STOCKHOLDER MATTERS AND ISSUER PURCHASES OF EQUITY SECURITIES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“Quarterly Information” portion of the Financial Section of this report and Item 12 in Part III of this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for Quarter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Publicly</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Average Price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Paid per</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24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95"/>
        </w:trPr>
        <w:tc>
          <w:tcPr>
            <w:tcW w:w="4500" w:type="dxa"/>
            <w:vAlign w:val="bottom"/>
          </w:tcPr>
          <w:p>
            <w:pPr>
              <w:spacing w:after="0" w:line="195" w:lineRule="exact"/>
              <w:rPr>
                <w:sz w:val="20"/>
                <w:szCs w:val="20"/>
                <w:color w:val="auto"/>
              </w:rPr>
            </w:pPr>
            <w:r>
              <w:rPr>
                <w:rFonts w:ascii="Arial" w:cs="Arial" w:eastAsia="Arial" w:hAnsi="Arial"/>
                <w:sz w:val="18"/>
                <w:szCs w:val="18"/>
                <w:color w:val="auto"/>
              </w:rPr>
              <w:t>October 2019</w:t>
            </w: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November 2019</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December 2019</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0"/>
              </w:rPr>
              <w:t>(See Note 1)</w:t>
            </w:r>
          </w:p>
        </w:tc>
        <w:tc>
          <w:tcPr>
            <w:tcW w:w="0" w:type="dxa"/>
            <w:vAlign w:val="bottom"/>
          </w:tcPr>
          <w:p>
            <w:pPr>
              <w:spacing w:after="0"/>
              <w:rPr>
                <w:sz w:val="1"/>
                <w:szCs w:val="1"/>
                <w:color w:val="auto"/>
              </w:rPr>
            </w:pPr>
          </w:p>
        </w:tc>
      </w:tr>
      <w:tr>
        <w:trPr>
          <w:trHeight w:val="210"/>
        </w:trPr>
        <w:tc>
          <w:tcPr>
            <w:tcW w:w="4500" w:type="dxa"/>
            <w:vAlign w:val="bottom"/>
          </w:tcPr>
          <w:p>
            <w:pPr>
              <w:ind w:left="3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the Corporation did not purchase any shares of its common stock for the treasury, and did not issue or sell any unregistered equity securities.</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Note 1 - On August 1, 2000, the Corporation announced its intention to resume purchases of shares of its common stock for the treasury both to offset shares issued in conjunction with company benefit plans and programs and to gradually reduce the number of shares outstanding. The announcement did not specify an amount or expiration date. The Corporation has continued to purchase shares since this announcement and to report purchased volumes in its quarterly earnings releases. In its earnings release dated February 2, 2016, the Corporation stated it will continue to acquire shares to offset dilution in conjunction with benefit plans and programs, but had suspended making purchases to reduce shares outstanding effective beginning the first quarter of 2016.</w:t>
      </w:r>
    </w:p>
    <w:p>
      <w:pPr>
        <w:spacing w:after="0" w:line="150"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45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4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r>
      <w:tr>
        <w:trPr>
          <w:trHeight w:val="190"/>
        </w:trPr>
        <w:tc>
          <w:tcPr>
            <w:tcW w:w="4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20" w:type="dxa"/>
            <w:vAlign w:val="bottom"/>
            <w:gridSpan w:val="3"/>
          </w:tcPr>
          <w:p>
            <w:pPr>
              <w:jc w:val="center"/>
              <w:ind w:right="92"/>
              <w:spacing w:after="0"/>
              <w:rPr>
                <w:sz w:val="20"/>
                <w:szCs w:val="20"/>
                <w:color w:val="auto"/>
              </w:rPr>
            </w:pPr>
            <w:r>
              <w:rPr>
                <w:rFonts w:ascii="Arial" w:cs="Arial" w:eastAsia="Arial" w:hAnsi="Arial"/>
                <w:sz w:val="14"/>
                <w:szCs w:val="14"/>
                <w:i w:val="1"/>
                <w:iCs w:val="1"/>
                <w:color w:val="auto"/>
                <w:w w:val="93"/>
              </w:rPr>
              <w:t>(millions of dollars, except per share amounts)</w:t>
            </w:r>
          </w:p>
        </w:tc>
        <w:tc>
          <w:tcPr>
            <w:tcW w:w="1120" w:type="dxa"/>
            <w:vAlign w:val="bottom"/>
          </w:tcPr>
          <w:p>
            <w:pPr>
              <w:spacing w:after="0"/>
              <w:rPr>
                <w:sz w:val="16"/>
                <w:szCs w:val="16"/>
                <w:color w:val="auto"/>
              </w:rPr>
            </w:pPr>
          </w:p>
        </w:tc>
      </w:tr>
      <w:tr>
        <w:trPr>
          <w:trHeight w:val="443"/>
        </w:trPr>
        <w:tc>
          <w:tcPr>
            <w:tcW w:w="4580" w:type="dxa"/>
            <w:vAlign w:val="bottom"/>
          </w:tcPr>
          <w:p>
            <w:pPr>
              <w:ind w:left="40"/>
              <w:spacing w:after="0"/>
              <w:rPr>
                <w:sz w:val="20"/>
                <w:szCs w:val="20"/>
                <w:color w:val="auto"/>
              </w:rPr>
            </w:pPr>
            <w:r>
              <w:rPr>
                <w:rFonts w:ascii="Arial" w:cs="Arial" w:eastAsia="Arial" w:hAnsi="Arial"/>
                <w:sz w:val="18"/>
                <w:szCs w:val="18"/>
                <w:color w:val="auto"/>
              </w:rPr>
              <w:t>Sales and other operating revenue</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255,583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279,332</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237,162</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200,628</w:t>
            </w:r>
          </w:p>
        </w:tc>
        <w:tc>
          <w:tcPr>
            <w:tcW w:w="1120" w:type="dxa"/>
            <w:vAlign w:val="bottom"/>
          </w:tcPr>
          <w:p>
            <w:pPr>
              <w:jc w:val="right"/>
              <w:spacing w:after="0"/>
              <w:rPr>
                <w:sz w:val="20"/>
                <w:szCs w:val="20"/>
                <w:color w:val="auto"/>
              </w:rPr>
            </w:pPr>
            <w:r>
              <w:rPr>
                <w:rFonts w:ascii="Arial" w:cs="Arial" w:eastAsia="Arial" w:hAnsi="Arial"/>
                <w:sz w:val="18"/>
                <w:szCs w:val="18"/>
                <w:color w:val="auto"/>
              </w:rPr>
              <w:t>239,854</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Net income attributable to ExxonMobil</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14,340</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20,840</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19,710</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7,840</w:t>
            </w:r>
          </w:p>
        </w:tc>
        <w:tc>
          <w:tcPr>
            <w:tcW w:w="1120" w:type="dxa"/>
            <w:vAlign w:val="bottom"/>
          </w:tcPr>
          <w:p>
            <w:pPr>
              <w:jc w:val="right"/>
              <w:spacing w:after="0"/>
              <w:rPr>
                <w:sz w:val="20"/>
                <w:szCs w:val="20"/>
                <w:color w:val="auto"/>
              </w:rPr>
            </w:pPr>
            <w:r>
              <w:rPr>
                <w:rFonts w:ascii="Arial" w:cs="Arial" w:eastAsia="Arial" w:hAnsi="Arial"/>
                <w:sz w:val="18"/>
                <w:szCs w:val="18"/>
                <w:color w:val="auto"/>
              </w:rPr>
              <w:t>16,150</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3.36</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4.88</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4.63</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1.88</w:t>
            </w: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Earnings per common share - assuming dilution</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3.36</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4.88</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4.63</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1.88</w:t>
            </w:r>
          </w:p>
        </w:tc>
        <w:tc>
          <w:tcPr>
            <w:tcW w:w="11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Cash dividends per common share</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3.43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3.06</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2.98</w:t>
            </w: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362,597</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346,196</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348,691</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330,314</w:t>
            </w:r>
          </w:p>
        </w:tc>
        <w:tc>
          <w:tcPr>
            <w:tcW w:w="1120" w:type="dxa"/>
            <w:vAlign w:val="bottom"/>
          </w:tcPr>
          <w:p>
            <w:pPr>
              <w:jc w:val="right"/>
              <w:spacing w:after="0"/>
              <w:rPr>
                <w:sz w:val="20"/>
                <w:szCs w:val="20"/>
                <w:color w:val="auto"/>
              </w:rPr>
            </w:pPr>
            <w:r>
              <w:rPr>
                <w:rFonts w:ascii="Arial" w:cs="Arial" w:eastAsia="Arial" w:hAnsi="Arial"/>
                <w:sz w:val="18"/>
                <w:szCs w:val="18"/>
                <w:color w:val="auto"/>
              </w:rPr>
              <w:t>336,758</w:t>
            </w: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26,342</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20,538</w:t>
            </w:r>
          </w:p>
        </w:tc>
        <w:tc>
          <w:tcPr>
            <w:tcW w:w="2020" w:type="dxa"/>
            <w:vAlign w:val="bottom"/>
          </w:tcPr>
          <w:p>
            <w:pPr>
              <w:jc w:val="right"/>
              <w:ind w:right="594"/>
              <w:spacing w:after="0"/>
              <w:rPr>
                <w:sz w:val="20"/>
                <w:szCs w:val="20"/>
                <w:color w:val="auto"/>
              </w:rPr>
            </w:pPr>
            <w:r>
              <w:rPr>
                <w:rFonts w:ascii="Arial" w:cs="Arial" w:eastAsia="Arial" w:hAnsi="Arial"/>
                <w:sz w:val="18"/>
                <w:szCs w:val="18"/>
                <w:color w:val="auto"/>
              </w:rPr>
              <w:t>24,406</w:t>
            </w: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28,932</w:t>
            </w:r>
          </w:p>
        </w:tc>
        <w:tc>
          <w:tcPr>
            <w:tcW w:w="1120" w:type="dxa"/>
            <w:vAlign w:val="bottom"/>
          </w:tcPr>
          <w:p>
            <w:pPr>
              <w:jc w:val="right"/>
              <w:spacing w:after="0"/>
              <w:rPr>
                <w:sz w:val="20"/>
                <w:szCs w:val="20"/>
                <w:color w:val="auto"/>
              </w:rPr>
            </w:pPr>
            <w:r>
              <w:rPr>
                <w:rFonts w:ascii="Arial" w:cs="Arial" w:eastAsia="Arial" w:hAnsi="Arial"/>
                <w:sz w:val="18"/>
                <w:szCs w:val="18"/>
                <w:color w:val="auto"/>
              </w:rPr>
              <w:t>19,925</w:t>
            </w: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Reference is made to the section entitled “Management’s Discussion and Analysis of Financial Condition and Results of Operations” in the Financial Section of this report.</w:t>
      </w:r>
    </w:p>
    <w:p>
      <w:pPr>
        <w:spacing w:after="0" w:line="18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7A.</w:t>
        <w:tab/>
        <w:t>QUANTITATIVE AND QUALITATIVE DISCLOSURES ABOUT MARKET RISK</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Reference is made to the section entitled “Market Risks, Inflation and Other Uncertainties”, excluding the part entitled “Inflation and Other Uncertainties”,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tabs>
          <w:tab w:leader="none" w:pos="10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following in the Financial Section of this report:</w:t>
      </w:r>
    </w:p>
    <w:p>
      <w:pPr>
        <w:spacing w:after="0" w:line="117" w:lineRule="exact"/>
        <w:rPr>
          <w:sz w:val="20"/>
          <w:szCs w:val="20"/>
          <w:color w:val="auto"/>
        </w:rPr>
      </w:pPr>
    </w:p>
    <w:p>
      <w:pPr>
        <w:ind w:left="660" w:firstLine="68"/>
        <w:spacing w:after="0" w:line="306" w:lineRule="auto"/>
        <w:rPr>
          <w:sz w:val="20"/>
          <w:szCs w:val="20"/>
          <w:color w:val="auto"/>
        </w:rPr>
      </w:pPr>
      <w:r>
        <w:rPr>
          <w:rFonts w:ascii="Arial" w:cs="Arial" w:eastAsia="Arial" w:hAnsi="Arial"/>
          <w:sz w:val="17"/>
          <w:szCs w:val="17"/>
          <w:color w:val="auto"/>
        </w:rPr>
        <w:t>Consolidated financial statements, together with the report thereon of PricewaterhouseCoopers LLP dated February 26, 2020, beginning with the section entitled “Report of Independent Registered Public Accounting Firm” and continuing through “Note 20: Sale of Norway Assets”;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“Quarterly Information” (unaudited);</w:t>
      </w:r>
    </w:p>
    <w:p>
      <w:pPr>
        <w:spacing w:after="0" w:line="63" w:lineRule="exact"/>
        <w:rPr>
          <w:sz w:val="20"/>
          <w:szCs w:val="20"/>
          <w:color w:val="auto"/>
        </w:rPr>
      </w:pPr>
    </w:p>
    <w:p>
      <w:pPr>
        <w:ind w:left="720" w:right="3520"/>
        <w:spacing w:after="0" w:line="336" w:lineRule="auto"/>
        <w:rPr>
          <w:sz w:val="20"/>
          <w:szCs w:val="20"/>
          <w:color w:val="auto"/>
        </w:rPr>
      </w:pPr>
      <w:r>
        <w:rPr>
          <w:rFonts w:ascii="Arial" w:cs="Arial" w:eastAsia="Arial" w:hAnsi="Arial"/>
          <w:sz w:val="18"/>
          <w:szCs w:val="18"/>
          <w:color w:val="auto"/>
        </w:rPr>
        <w:t>“Supplemental Information on Oil and Gas Exploration and Production Activities” (unaudited); and “Frequently Used Terms” (unaudited).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5" w:lineRule="exact"/>
        <w:rPr>
          <w:sz w:val="20"/>
          <w:szCs w:val="20"/>
          <w:color w:val="auto"/>
        </w:rPr>
      </w:pPr>
    </w:p>
    <w:p>
      <w:pPr>
        <w:ind w:left="580" w:right="1200" w:hanging="569"/>
        <w:spacing w:after="0" w:line="267" w:lineRule="auto"/>
        <w:rPr>
          <w:sz w:val="20"/>
          <w:szCs w:val="20"/>
          <w:color w:val="auto"/>
        </w:rPr>
      </w:pPr>
      <w:r>
        <w:rPr>
          <w:rFonts w:ascii="Arial" w:cs="Arial" w:eastAsia="Arial" w:hAnsi="Arial"/>
          <w:sz w:val="20"/>
          <w:szCs w:val="20"/>
          <w:b w:val="1"/>
          <w:bCs w:val="1"/>
          <w:color w:val="auto"/>
        </w:rPr>
        <w:t>ITEM 9.</w:t>
      </w:r>
      <w:r>
        <w:rPr>
          <w:sz w:val="20"/>
          <w:szCs w:val="20"/>
          <w:color w:val="auto"/>
        </w:rPr>
        <w:t xml:space="preserve"> </w:t>
      </w:r>
      <w:r>
        <w:rPr>
          <w:rFonts w:ascii="Arial" w:cs="Arial" w:eastAsia="Arial" w:hAnsi="Arial"/>
          <w:sz w:val="20"/>
          <w:szCs w:val="20"/>
          <w:b w:val="1"/>
          <w:bCs w:val="1"/>
          <w:color w:val="auto"/>
        </w:rPr>
        <w:t>CHANGES IN AND DISAGREEMENTS WITH ACCOUNTANTS ON ACCOUNTING AND FINANCIAL DISCLOSURE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indicated in the certifications in Exhibit 31 of this report, the Corporation’s Chief Executive Officer, Principal Financial Officer and Principal Accounting Officer have evaluated the Corporation’s disclosure controls and procedures as of December 31, 2019.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2019.</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2019, as stated in their report included in the Financial Section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during the Corporation’s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PART III</w:t>
      </w:r>
    </w:p>
    <w:p>
      <w:pPr>
        <w:spacing w:after="0" w:line="238"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section of this report titled “Information about our Executive Officers”.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following from the registrant’s definitive proxy statement for the 2020 annual meeting of shareholders (the “2020 Proxy Statement”):</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section entitled “Election of Directors”;</w:t>
      </w:r>
    </w:p>
    <w:p>
      <w:pPr>
        <w:spacing w:after="0" w:line="36" w:lineRule="exact"/>
        <w:rPr>
          <w:sz w:val="20"/>
          <w:szCs w:val="20"/>
          <w:color w:val="auto"/>
        </w:rPr>
      </w:pPr>
    </w:p>
    <w:p>
      <w:pPr>
        <w:ind w:left="660" w:firstLine="68"/>
        <w:spacing w:after="0" w:line="266" w:lineRule="auto"/>
        <w:rPr>
          <w:sz w:val="20"/>
          <w:szCs w:val="20"/>
          <w:color w:val="auto"/>
        </w:rPr>
      </w:pPr>
      <w:r>
        <w:rPr>
          <w:rFonts w:ascii="Arial" w:cs="Arial" w:eastAsia="Arial" w:hAnsi="Arial"/>
          <w:sz w:val="18"/>
          <w:szCs w:val="18"/>
          <w:color w:val="auto"/>
        </w:rPr>
        <w:t>The portion entitled “Section 16(a) Beneficial Ownership Reporting Compliance” of the section entitled “Director and Executive Officer Stock Ownership”;</w:t>
      </w:r>
    </w:p>
    <w:p>
      <w:pPr>
        <w:ind w:left="660" w:right="20" w:firstLine="54"/>
        <w:spacing w:after="0" w:line="266" w:lineRule="auto"/>
        <w:rPr>
          <w:sz w:val="20"/>
          <w:szCs w:val="20"/>
          <w:color w:val="auto"/>
        </w:rPr>
      </w:pPr>
      <w:r>
        <w:rPr>
          <w:rFonts w:ascii="Arial" w:cs="Arial" w:eastAsia="Arial" w:hAnsi="Arial"/>
          <w:sz w:val="18"/>
          <w:szCs w:val="18"/>
          <w:color w:val="auto"/>
        </w:rPr>
        <w:t>The portions entitled “Director Qualifications”, “Board Succession”, and “Code of Ethics and Business Conduct” of the section entitled “Corporate Governance”; and</w:t>
      </w:r>
    </w:p>
    <w:p>
      <w:pPr>
        <w:ind w:left="660" w:firstLine="54"/>
        <w:spacing w:after="0" w:line="277" w:lineRule="auto"/>
        <w:rPr>
          <w:sz w:val="20"/>
          <w:szCs w:val="20"/>
          <w:color w:val="auto"/>
        </w:rPr>
      </w:pPr>
      <w:r>
        <w:rPr>
          <w:rFonts w:ascii="Arial" w:cs="Arial" w:eastAsia="Arial" w:hAnsi="Arial"/>
          <w:sz w:val="18"/>
          <w:szCs w:val="18"/>
          <w:color w:val="auto"/>
        </w:rPr>
        <w:t>The “Audit Committee” portion, “Director Independence” portion, and the membership table of the portions entitled “Board Meetings and Annual Meeting Attendance” and “Board Committees” of the section entitled “Corporate Governance”.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sections entitled “Director Compensation”, “Compensation Committee Report”, “Compensation Discussion and Analysis”, “Executive Compensation Tables”, and “Pay Ratio” of the registrant’s 2020 Proxy Statement.</w:t>
      </w:r>
    </w:p>
    <w:p>
      <w:pPr>
        <w:spacing w:after="0" w:line="200" w:lineRule="exact"/>
        <w:rPr>
          <w:sz w:val="20"/>
          <w:szCs w:val="20"/>
          <w:color w:val="auto"/>
        </w:rPr>
      </w:pPr>
    </w:p>
    <w:p>
      <w:pPr>
        <w:spacing w:after="0" w:line="205" w:lineRule="exact"/>
        <w:rPr>
          <w:sz w:val="20"/>
          <w:szCs w:val="20"/>
          <w:color w:val="auto"/>
        </w:rPr>
      </w:pPr>
    </w:p>
    <w:p>
      <w:pPr>
        <w:ind w:left="580" w:right="940" w:hanging="569"/>
        <w:spacing w:after="0" w:line="267" w:lineRule="auto"/>
        <w:rPr>
          <w:sz w:val="20"/>
          <w:szCs w:val="20"/>
          <w:color w:val="auto"/>
        </w:rPr>
      </w:pPr>
      <w:r>
        <w:rPr>
          <w:rFonts w:ascii="Arial" w:cs="Arial" w:eastAsia="Arial" w:hAnsi="Arial"/>
          <w:sz w:val="20"/>
          <w:szCs w:val="20"/>
          <w:b w:val="1"/>
          <w:bCs w:val="1"/>
          <w:color w:val="auto"/>
        </w:rPr>
        <w:t>ITEM 12.</w:t>
      </w:r>
      <w:r>
        <w:rPr>
          <w:sz w:val="20"/>
          <w:szCs w:val="20"/>
          <w:color w:val="auto"/>
        </w:rPr>
        <w:t xml:space="preserve"> </w:t>
      </w:r>
      <w:r>
        <w:rPr>
          <w:rFonts w:ascii="Arial" w:cs="Arial" w:eastAsia="Arial" w:hAnsi="Arial"/>
          <w:sz w:val="20"/>
          <w:szCs w:val="20"/>
          <w:b w:val="1"/>
          <w:bCs w:val="1"/>
          <w:color w:val="auto"/>
        </w:rPr>
        <w:t>SECURITY OWNERSHIP OF CERTAIN BENEFICIAL OWNERS AND MANAGEMENT AND RELATED STOCKHOLDER MATTERS</w:t>
      </w:r>
    </w:p>
    <w:p>
      <w:pPr>
        <w:spacing w:after="0" w:line="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under Item 403 of Regulation S-K is incorporated by reference to the sections “Director and Executive Officer Stock Ownership” and “Certain Beneficial Owners” of the registrant’s 2020 Proxy Statement.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02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i w:val="1"/>
                <w:iCs w:val="1"/>
                <w:color w:val="auto"/>
              </w:rPr>
              <w:t>(a)</w:t>
            </w:r>
          </w:p>
        </w:tc>
        <w:tc>
          <w:tcPr>
            <w:tcW w:w="1880" w:type="dxa"/>
            <w:vAlign w:val="bottom"/>
            <w:tcBorders>
              <w:top w:val="single" w:sz="8" w:color="auto"/>
            </w:tcBorders>
          </w:tcPr>
          <w:p>
            <w:pPr>
              <w:jc w:val="center"/>
              <w:ind w:left="164"/>
              <w:spacing w:after="0" w:line="119" w:lineRule="exact"/>
              <w:rPr>
                <w:sz w:val="20"/>
                <w:szCs w:val="20"/>
                <w:color w:val="auto"/>
              </w:rPr>
            </w:pPr>
            <w:r>
              <w:rPr>
                <w:rFonts w:ascii="Arial" w:cs="Arial" w:eastAsia="Arial" w:hAnsi="Arial"/>
                <w:sz w:val="13"/>
                <w:szCs w:val="13"/>
                <w:b w:val="1"/>
                <w:bCs w:val="1"/>
                <w:i w:val="1"/>
                <w:iCs w:val="1"/>
                <w:color w:val="auto"/>
                <w:w w:val="96"/>
              </w:rPr>
              <w:t>(b)</w:t>
            </w:r>
          </w:p>
        </w:tc>
        <w:tc>
          <w:tcPr>
            <w:tcW w:w="1960" w:type="dxa"/>
            <w:vAlign w:val="bottom"/>
            <w:tcBorders>
              <w:top w:val="single" w:sz="8" w:color="auto"/>
            </w:tcBorders>
          </w:tcPr>
          <w:p>
            <w:pPr>
              <w:jc w:val="center"/>
              <w:ind w:left="4"/>
              <w:spacing w:after="0" w:line="119" w:lineRule="exact"/>
              <w:rPr>
                <w:sz w:val="20"/>
                <w:szCs w:val="20"/>
                <w:color w:val="auto"/>
              </w:rPr>
            </w:pPr>
            <w:r>
              <w:rPr>
                <w:rFonts w:ascii="Arial" w:cs="Arial" w:eastAsia="Arial" w:hAnsi="Arial"/>
                <w:sz w:val="13"/>
                <w:szCs w:val="13"/>
                <w:b w:val="1"/>
                <w:bCs w:val="1"/>
                <w:i w:val="1"/>
                <w:iCs w:val="1"/>
                <w:color w:val="auto"/>
              </w:rPr>
              <w:t>(c)</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vMerge w:val="restart"/>
          </w:tcPr>
          <w:p>
            <w:pPr>
              <w:jc w:val="center"/>
              <w:ind w:left="164"/>
              <w:spacing w:after="0"/>
              <w:rPr>
                <w:sz w:val="20"/>
                <w:szCs w:val="20"/>
                <w:color w:val="auto"/>
              </w:rPr>
            </w:pPr>
            <w:r>
              <w:rPr>
                <w:rFonts w:ascii="Arial" w:cs="Arial" w:eastAsia="Arial" w:hAnsi="Arial"/>
                <w:sz w:val="14"/>
                <w:szCs w:val="14"/>
                <w:b w:val="1"/>
                <w:bCs w:val="1"/>
                <w:color w:val="auto"/>
                <w:w w:val="94"/>
              </w:rPr>
              <w:t>Weighted-</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88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0"/>
              </w:rPr>
              <w:t>Average</w:t>
            </w: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188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88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88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91"/>
              </w:rPr>
              <w:t>Options,</w:t>
            </w: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76"/>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Options,</w:t>
            </w:r>
          </w:p>
        </w:tc>
        <w:tc>
          <w:tcPr>
            <w:tcW w:w="1880" w:type="dxa"/>
            <w:vAlign w:val="bottom"/>
          </w:tcPr>
          <w:p>
            <w:pPr>
              <w:jc w:val="center"/>
              <w:ind w:left="184"/>
              <w:spacing w:after="0"/>
              <w:rPr>
                <w:sz w:val="20"/>
                <w:szCs w:val="20"/>
                <w:color w:val="auto"/>
              </w:rPr>
            </w:pPr>
            <w:r>
              <w:rPr>
                <w:rFonts w:ascii="Arial" w:cs="Arial" w:eastAsia="Arial" w:hAnsi="Arial"/>
                <w:sz w:val="14"/>
                <w:szCs w:val="14"/>
                <w:b w:val="1"/>
                <w:bCs w:val="1"/>
                <w:color w:val="auto"/>
                <w:w w:val="96"/>
              </w:rPr>
              <w:t>Warrants and</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Securities Reflected</w:t>
            </w:r>
          </w:p>
        </w:tc>
        <w:tc>
          <w:tcPr>
            <w:tcW w:w="0" w:type="dxa"/>
            <w:vAlign w:val="bottom"/>
          </w:tcPr>
          <w:p>
            <w:pPr>
              <w:spacing w:after="0"/>
              <w:rPr>
                <w:sz w:val="1"/>
                <w:szCs w:val="1"/>
                <w:color w:val="auto"/>
              </w:rPr>
            </w:pPr>
          </w:p>
        </w:tc>
      </w:tr>
      <w:tr>
        <w:trPr>
          <w:trHeight w:val="212"/>
        </w:trPr>
        <w:tc>
          <w:tcPr>
            <w:tcW w:w="502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88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91"/>
              </w:rPr>
              <w:t>Rights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426"/>
        </w:trPr>
        <w:tc>
          <w:tcPr>
            <w:tcW w:w="502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560" w:type="dxa"/>
            <w:vAlign w:val="bottom"/>
          </w:tcPr>
          <w:p>
            <w:pPr>
              <w:jc w:val="right"/>
              <w:ind w:right="663"/>
              <w:spacing w:after="0"/>
              <w:rPr>
                <w:sz w:val="20"/>
                <w:szCs w:val="20"/>
                <w:color w:val="auto"/>
              </w:rPr>
            </w:pPr>
            <w:r>
              <w:rPr>
                <w:rFonts w:ascii="Arial" w:cs="Arial" w:eastAsia="Arial" w:hAnsi="Arial"/>
                <w:sz w:val="18"/>
                <w:szCs w:val="18"/>
                <w:color w:val="auto"/>
              </w:rPr>
              <w:t xml:space="preserve">42,636,850 </w:t>
            </w:r>
            <w:r>
              <w:rPr>
                <w:rFonts w:ascii="Arial" w:cs="Arial" w:eastAsia="Arial" w:hAnsi="Arial"/>
                <w:sz w:val="14"/>
                <w:szCs w:val="14"/>
                <w:i w:val="1"/>
                <w:iCs w:val="1"/>
                <w:color w:val="auto"/>
              </w:rPr>
              <w:t>(1)</w:t>
            </w:r>
          </w:p>
        </w:tc>
        <w:tc>
          <w:tcPr>
            <w:tcW w:w="1880" w:type="dxa"/>
            <w:vAlign w:val="bottom"/>
          </w:tcPr>
          <w:p>
            <w:pPr>
              <w:jc w:val="center"/>
              <w:ind w:left="18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244"/>
              <w:spacing w:after="0"/>
              <w:rPr>
                <w:sz w:val="20"/>
                <w:szCs w:val="20"/>
                <w:color w:val="auto"/>
              </w:rPr>
            </w:pPr>
            <w:r>
              <w:rPr>
                <w:rFonts w:ascii="Arial" w:cs="Arial" w:eastAsia="Arial" w:hAnsi="Arial"/>
                <w:sz w:val="18"/>
                <w:szCs w:val="18"/>
                <w:color w:val="auto"/>
              </w:rPr>
              <w:t xml:space="preserve">76,488,320 </w:t>
            </w:r>
            <w:r>
              <w:rPr>
                <w:rFonts w:ascii="Arial" w:cs="Arial" w:eastAsia="Arial" w:hAnsi="Arial"/>
                <w:sz w:val="14"/>
                <w:szCs w:val="14"/>
                <w:i w:val="1"/>
                <w:iCs w:val="1"/>
                <w:color w:val="auto"/>
              </w:rPr>
              <w:t>(2)(3)</w:t>
            </w: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560" w:type="dxa"/>
            <w:vAlign w:val="bottom"/>
          </w:tcPr>
          <w:p>
            <w:pPr>
              <w:jc w:val="right"/>
              <w:ind w:right="883"/>
              <w:spacing w:after="0"/>
              <w:rPr>
                <w:sz w:val="20"/>
                <w:szCs w:val="20"/>
                <w:color w:val="auto"/>
              </w:rPr>
            </w:pPr>
            <w:r>
              <w:rPr>
                <w:rFonts w:ascii="Arial" w:cs="Arial" w:eastAsia="Arial" w:hAnsi="Arial"/>
                <w:sz w:val="18"/>
                <w:szCs w:val="18"/>
                <w:color w:val="auto"/>
              </w:rPr>
              <w:t>-</w:t>
            </w:r>
          </w:p>
        </w:tc>
        <w:tc>
          <w:tcPr>
            <w:tcW w:w="1880" w:type="dxa"/>
            <w:vAlign w:val="bottom"/>
          </w:tcPr>
          <w:p>
            <w:pPr>
              <w:jc w:val="center"/>
              <w:ind w:left="18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6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20" w:type="dxa"/>
            <w:vAlign w:val="bottom"/>
          </w:tcPr>
          <w:p>
            <w:pPr>
              <w:ind w:left="100"/>
              <w:spacing w:after="0"/>
              <w:rPr>
                <w:sz w:val="20"/>
                <w:szCs w:val="20"/>
                <w:color w:val="auto"/>
              </w:rPr>
            </w:pPr>
            <w:r>
              <w:rPr>
                <w:rFonts w:ascii="Arial" w:cs="Arial" w:eastAsia="Arial" w:hAnsi="Arial"/>
                <w:sz w:val="18"/>
                <w:szCs w:val="18"/>
                <w:color w:val="auto"/>
              </w:rPr>
              <w:t>Total</w:t>
            </w:r>
          </w:p>
        </w:tc>
        <w:tc>
          <w:tcPr>
            <w:tcW w:w="2560" w:type="dxa"/>
            <w:vAlign w:val="bottom"/>
          </w:tcPr>
          <w:p>
            <w:pPr>
              <w:jc w:val="right"/>
              <w:ind w:right="883"/>
              <w:spacing w:after="0"/>
              <w:rPr>
                <w:sz w:val="20"/>
                <w:szCs w:val="20"/>
                <w:color w:val="auto"/>
              </w:rPr>
            </w:pPr>
            <w:r>
              <w:rPr>
                <w:rFonts w:ascii="Arial" w:cs="Arial" w:eastAsia="Arial" w:hAnsi="Arial"/>
                <w:sz w:val="18"/>
                <w:szCs w:val="18"/>
                <w:color w:val="auto"/>
              </w:rPr>
              <w:t>42,636,850</w:t>
            </w:r>
          </w:p>
        </w:tc>
        <w:tc>
          <w:tcPr>
            <w:tcW w:w="1880" w:type="dxa"/>
            <w:vAlign w:val="bottom"/>
          </w:tcPr>
          <w:p>
            <w:pPr>
              <w:jc w:val="center"/>
              <w:ind w:left="184"/>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644"/>
              <w:spacing w:after="0"/>
              <w:rPr>
                <w:sz w:val="20"/>
                <w:szCs w:val="20"/>
                <w:color w:val="auto"/>
              </w:rPr>
            </w:pPr>
            <w:r>
              <w:rPr>
                <w:rFonts w:ascii="Arial" w:cs="Arial" w:eastAsia="Arial" w:hAnsi="Arial"/>
                <w:sz w:val="18"/>
                <w:szCs w:val="18"/>
                <w:color w:val="auto"/>
              </w:rPr>
              <w:t>76,488,320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restricted stock units to be settled in shares.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Available shares can be granted in the form of restricted stock or other stock-based awards. Includes 76,036,620 shares available for award under the</w:t>
      </w:r>
    </w:p>
    <w:p>
      <w:pPr>
        <w:spacing w:after="0" w:line="46" w:lineRule="exact"/>
        <w:rPr>
          <w:rFonts w:ascii="Arial" w:cs="Arial" w:eastAsia="Arial" w:hAnsi="Arial"/>
          <w:sz w:val="16"/>
          <w:szCs w:val="16"/>
          <w:i w:val="1"/>
          <w:iCs w:val="1"/>
          <w:color w:val="auto"/>
        </w:rPr>
      </w:pPr>
    </w:p>
    <w:p>
      <w:pPr>
        <w:ind w:left="18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2003 Incentive Program and 451,700 shares available for award under the 2004 Non-Employee Director Restricted Stock Plan.</w:t>
      </w:r>
    </w:p>
    <w:p>
      <w:pPr>
        <w:spacing w:after="0" w:line="48" w:lineRule="exact"/>
        <w:rPr>
          <w:rFonts w:ascii="Arial" w:cs="Arial" w:eastAsia="Arial" w:hAnsi="Arial"/>
          <w:sz w:val="16"/>
          <w:szCs w:val="16"/>
          <w:i w:val="1"/>
          <w:iCs w:val="1"/>
          <w:color w:val="auto"/>
        </w:rPr>
      </w:pPr>
    </w:p>
    <w:p>
      <w:pPr>
        <w:jc w:val="both"/>
        <w:ind w:left="180" w:hanging="172"/>
        <w:spacing w:after="0" w:line="253" w:lineRule="auto"/>
        <w:tabs>
          <w:tab w:leader="none" w:pos="546"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tabs>
          <w:tab w:leader="none" w:pos="118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portions entitled “Related Person Transactions and Procedures” and “Director Independence” of the section entitled “Corporate Governance” of the registrant’s 2020 Proxy Statement.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portion entitled “Audit Committee” of the section entitled “Corporate Governance” and the section entitled “Ratification of Independent Auditors” of the registrant’s 2020 Proxy Statement.</w:t>
      </w: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38"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FINANCIAL STATEMENT SCHEDULES</w:t>
      </w:r>
    </w:p>
    <w:p>
      <w:pPr>
        <w:spacing w:after="0" w:line="62" w:lineRule="exact"/>
        <w:rPr>
          <w:sz w:val="20"/>
          <w:szCs w:val="20"/>
          <w:color w:val="auto"/>
        </w:rPr>
      </w:pPr>
    </w:p>
    <w:p>
      <w:pPr>
        <w:ind w:left="860" w:hanging="528"/>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and (2) Financial Statements: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Table of Contents of the Financial Section of this report.</w:t>
      </w:r>
    </w:p>
    <w:p>
      <w:pPr>
        <w:spacing w:after="0" w:line="49" w:lineRule="exact"/>
        <w:rPr>
          <w:sz w:val="20"/>
          <w:szCs w:val="20"/>
          <w:color w:val="auto"/>
        </w:rPr>
      </w:pPr>
    </w:p>
    <w:p>
      <w:pPr>
        <w:ind w:left="860" w:hanging="52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Exhibits: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Index to Exhibits of this report.</w:t>
      </w:r>
    </w:p>
    <w:p>
      <w:pPr>
        <w:spacing w:after="0" w:line="200" w:lineRule="exact"/>
        <w:rPr>
          <w:sz w:val="20"/>
          <w:szCs w:val="20"/>
          <w:color w:val="auto"/>
        </w:rPr>
      </w:pPr>
    </w:p>
    <w:p>
      <w:pPr>
        <w:spacing w:after="0" w:line="24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20"/>
          <w:szCs w:val="20"/>
          <w:b w:val="1"/>
          <w:bCs w:val="1"/>
          <w:color w:val="auto"/>
        </w:rPr>
        <w:t>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860" w:type="dxa"/>
            <w:vAlign w:val="bottom"/>
          </w:tcPr>
          <w:p>
            <w:pPr>
              <w:ind w:left="4780"/>
              <w:spacing w:after="0"/>
              <w:rPr>
                <w:sz w:val="20"/>
                <w:szCs w:val="20"/>
                <w:color w:val="auto"/>
              </w:rPr>
            </w:pPr>
            <w:r>
              <w:rPr>
                <w:rFonts w:ascii="Arial" w:cs="Arial" w:eastAsia="Arial" w:hAnsi="Arial"/>
                <w:sz w:val="18"/>
                <w:szCs w:val="18"/>
                <w:b w:val="1"/>
                <w:bCs w:val="1"/>
                <w:color w:val="auto"/>
              </w:rPr>
              <w:t>FINANCIAL SECTION</w:t>
            </w:r>
          </w:p>
        </w:tc>
        <w:tc>
          <w:tcPr>
            <w:tcW w:w="2560" w:type="dxa"/>
            <w:vAlign w:val="bottom"/>
          </w:tcPr>
          <w:p>
            <w:pPr>
              <w:spacing w:after="0"/>
              <w:rPr>
                <w:sz w:val="20"/>
                <w:szCs w:val="20"/>
                <w:color w:val="auto"/>
              </w:rPr>
            </w:pPr>
          </w:p>
        </w:tc>
      </w:tr>
      <w:tr>
        <w:trPr>
          <w:trHeight w:val="432"/>
        </w:trPr>
        <w:tc>
          <w:tcPr>
            <w:tcW w:w="8860" w:type="dxa"/>
            <w:vAlign w:val="bottom"/>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418"/>
        </w:trPr>
        <w:tc>
          <w:tcPr>
            <w:tcW w:w="8860" w:type="dxa"/>
            <w:vAlign w:val="bottom"/>
          </w:tcPr>
          <w:p>
            <w:pPr>
              <w:ind w:left="120"/>
              <w:spacing w:after="0"/>
              <w:rPr>
                <w:sz w:val="20"/>
                <w:szCs w:val="20"/>
                <w:color w:val="auto"/>
              </w:rPr>
            </w:pPr>
            <w:r>
              <w:rPr>
                <w:rFonts w:ascii="Arial" w:cs="Arial" w:eastAsia="Arial" w:hAnsi="Arial"/>
                <w:sz w:val="18"/>
                <w:szCs w:val="18"/>
                <w:color w:val="auto"/>
              </w:rPr>
              <w:t>Business Profile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Financial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Frequently Used Terms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Quarterly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560" w:type="dxa"/>
            <w:vAlign w:val="bottom"/>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Functional Earnings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Forward-Looking Statements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Overview</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Business Environment and Risk Assessment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Review of 2019 and 2018 Results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Liquidity and Capital Resources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Capital and Exploration Expenditures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Environmental Matters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Market Risks, Inflation and Other Uncertainties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Recently Issued Accounting Standards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Critical Accounting Estimates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Management’s Report on Internal Control Over Financial Reporting</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Report of Independent Registered Public Accounting Firm</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Consolidated Financial Statements</w:t>
            </w:r>
          </w:p>
        </w:tc>
        <w:tc>
          <w:tcPr>
            <w:tcW w:w="2560" w:type="dxa"/>
            <w:vAlign w:val="bottom"/>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Statement of Income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Statement of Comprehensive Income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Balance Sheet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Statement of Cash Flows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Statement of Changes in Equity</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Notes to Consolidated Financial Statements</w:t>
            </w:r>
          </w:p>
        </w:tc>
        <w:tc>
          <w:tcPr>
            <w:tcW w:w="2560" w:type="dxa"/>
            <w:vAlign w:val="bottom"/>
          </w:tcPr>
          <w:p>
            <w:pPr>
              <w:spacing w:after="0"/>
              <w:rPr>
                <w:sz w:val="18"/>
                <w:szCs w:val="18"/>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 Summary of Accounting Policies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2. Accounting Changes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3. Miscellaneous Financial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4. Other Comprehensive Income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5. Cash Flow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6. Additional Working Capital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7. Equity Company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8. Investments, Advances and Long-Term Receivables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9. Property, Plant and Equipment and Asset Retirement Obligations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10. Accounting for Suspended Exploratory Well Costs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11. Leases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12. Earnings Per Share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13. Financial Instruments and Derivatives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14. Long-Term Debt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15. Incentive Program</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16. Litigation and Other Contingencies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17. Pension and Other Postretirement Benefits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18. Disclosures about Segments and Related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19. Income and Other Taxes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20. Sale of Norway Assets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16"/>
        </w:trPr>
        <w:tc>
          <w:tcPr>
            <w:tcW w:w="8860" w:type="dxa"/>
            <w:vAlign w:val="bottom"/>
          </w:tcPr>
          <w:p>
            <w:pPr>
              <w:ind w:left="120"/>
              <w:spacing w:after="0"/>
              <w:rPr>
                <w:sz w:val="20"/>
                <w:szCs w:val="20"/>
                <w:color w:val="auto"/>
              </w:rPr>
            </w:pPr>
            <w:r>
              <w:rPr>
                <w:rFonts w:ascii="Arial" w:cs="Arial" w:eastAsia="Arial" w:hAnsi="Arial"/>
                <w:sz w:val="18"/>
                <w:szCs w:val="18"/>
                <w:color w:val="auto"/>
              </w:rPr>
              <w:t>Supplemental Information on Oil and Gas Exploration and Production Activities</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30"/>
        </w:trPr>
        <w:tc>
          <w:tcPr>
            <w:tcW w:w="8860" w:type="dxa"/>
            <w:vAlign w:val="bottom"/>
          </w:tcPr>
          <w:p>
            <w:pPr>
              <w:ind w:left="120"/>
              <w:spacing w:after="0"/>
              <w:rPr>
                <w:sz w:val="20"/>
                <w:szCs w:val="20"/>
                <w:color w:val="auto"/>
              </w:rPr>
            </w:pPr>
            <w:r>
              <w:rPr>
                <w:rFonts w:ascii="Arial" w:cs="Arial" w:eastAsia="Arial" w:hAnsi="Arial"/>
                <w:sz w:val="18"/>
                <w:szCs w:val="18"/>
                <w:color w:val="auto"/>
              </w:rPr>
              <w:t>Operating Information</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905"/>
        </w:trPr>
        <w:tc>
          <w:tcPr>
            <w:tcW w:w="8860" w:type="dxa"/>
            <w:vAlign w:val="bottom"/>
          </w:tcPr>
          <w:p>
            <w:pPr>
              <w:ind w:left="5620"/>
              <w:spacing w:after="0"/>
              <w:rPr>
                <w:sz w:val="20"/>
                <w:szCs w:val="20"/>
                <w:color w:val="auto"/>
              </w:rPr>
            </w:pPr>
            <w:r>
              <w:rPr>
                <w:rFonts w:ascii="Arial" w:cs="Arial" w:eastAsia="Arial" w:hAnsi="Arial"/>
                <w:sz w:val="18"/>
                <w:szCs w:val="18"/>
                <w:color w:val="auto"/>
              </w:rPr>
              <w:t>35</w:t>
            </w:r>
          </w:p>
        </w:tc>
        <w:tc>
          <w:tcPr>
            <w:tcW w:w="2560" w:type="dxa"/>
            <w:vAlign w:val="bottom"/>
          </w:tcPr>
          <w:p>
            <w:pPr>
              <w:spacing w:after="0"/>
              <w:rPr>
                <w:sz w:val="24"/>
                <w:szCs w:val="24"/>
                <w:color w:val="auto"/>
              </w:rPr>
            </w:pPr>
          </w:p>
        </w:tc>
      </w:tr>
      <w:tr>
        <w:trPr>
          <w:trHeight w:val="196"/>
        </w:trPr>
        <w:tc>
          <w:tcPr>
            <w:tcW w:w="8860" w:type="dxa"/>
            <w:vAlign w:val="bottom"/>
            <w:tcBorders>
              <w:bottom w:val="single" w:sz="8" w:color="9A9A9A"/>
            </w:tcBorders>
          </w:tcPr>
          <w:p>
            <w:pPr>
              <w:spacing w:after="0"/>
              <w:rPr>
                <w:sz w:val="17"/>
                <w:szCs w:val="17"/>
                <w:color w:val="auto"/>
              </w:rPr>
            </w:pPr>
          </w:p>
        </w:tc>
        <w:tc>
          <w:tcPr>
            <w:tcW w:w="256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BUSINESS PROFILE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jc w:val="center"/>
              <w:ind w:left="576"/>
              <w:spacing w:after="0"/>
              <w:rPr>
                <w:sz w:val="20"/>
                <w:szCs w:val="20"/>
                <w:color w:val="auto"/>
              </w:rPr>
            </w:pPr>
            <w:r>
              <w:rPr>
                <w:rFonts w:ascii="Arial" w:cs="Arial" w:eastAsia="Arial" w:hAnsi="Arial"/>
                <w:sz w:val="14"/>
                <w:szCs w:val="14"/>
                <w:b w:val="1"/>
                <w:bCs w:val="1"/>
                <w:color w:val="auto"/>
                <w:w w:val="93"/>
              </w:rPr>
              <w:t>Return on</w:t>
            </w:r>
          </w:p>
        </w:tc>
        <w:tc>
          <w:tcPr>
            <w:tcW w:w="920" w:type="dxa"/>
            <w:vAlign w:val="bottom"/>
          </w:tcPr>
          <w:p>
            <w:pPr>
              <w:spacing w:after="0"/>
              <w:rPr>
                <w:sz w:val="16"/>
                <w:szCs w:val="16"/>
                <w:color w:val="auto"/>
              </w:rPr>
            </w:pPr>
          </w:p>
        </w:tc>
        <w:tc>
          <w:tcPr>
            <w:tcW w:w="196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5"/>
              </w:rPr>
              <w:t>Capital and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100" w:type="dxa"/>
            <w:vAlign w:val="bottom"/>
            <w:gridSpan w:val="2"/>
          </w:tcPr>
          <w:p>
            <w:pPr>
              <w:jc w:val="right"/>
              <w:ind w:right="653"/>
              <w:spacing w:after="0"/>
              <w:rPr>
                <w:sz w:val="20"/>
                <w:szCs w:val="20"/>
                <w:color w:val="auto"/>
              </w:rPr>
            </w:pPr>
            <w:r>
              <w:rPr>
                <w:rFonts w:ascii="Arial" w:cs="Arial" w:eastAsia="Arial" w:hAnsi="Arial"/>
                <w:sz w:val="14"/>
                <w:szCs w:val="14"/>
                <w:b w:val="1"/>
                <w:bCs w:val="1"/>
                <w:color w:val="auto"/>
              </w:rPr>
              <w:t>Earnings After</w:t>
            </w:r>
          </w:p>
        </w:tc>
        <w:tc>
          <w:tcPr>
            <w:tcW w:w="2300" w:type="dxa"/>
            <w:vAlign w:val="bottom"/>
            <w:gridSpan w:val="2"/>
          </w:tcPr>
          <w:p>
            <w:pPr>
              <w:jc w:val="right"/>
              <w:ind w:right="691"/>
              <w:spacing w:after="0"/>
              <w:rPr>
                <w:sz w:val="20"/>
                <w:szCs w:val="20"/>
                <w:color w:val="auto"/>
              </w:rPr>
            </w:pPr>
            <w:r>
              <w:rPr>
                <w:rFonts w:ascii="Arial" w:cs="Arial" w:eastAsia="Arial" w:hAnsi="Arial"/>
                <w:sz w:val="14"/>
                <w:szCs w:val="14"/>
                <w:b w:val="1"/>
                <w:bCs w:val="1"/>
                <w:color w:val="auto"/>
              </w:rPr>
              <w:t>Average Capital</w:t>
            </w:r>
          </w:p>
        </w:tc>
        <w:tc>
          <w:tcPr>
            <w:tcW w:w="2240" w:type="dxa"/>
            <w:vAlign w:val="bottom"/>
            <w:gridSpan w:val="2"/>
          </w:tcPr>
          <w:p>
            <w:pPr>
              <w:jc w:val="center"/>
              <w:ind w:right="171"/>
              <w:spacing w:after="0"/>
              <w:rPr>
                <w:sz w:val="20"/>
                <w:szCs w:val="20"/>
                <w:color w:val="auto"/>
              </w:rPr>
            </w:pPr>
            <w:r>
              <w:rPr>
                <w:rFonts w:ascii="Arial" w:cs="Arial" w:eastAsia="Arial" w:hAnsi="Arial"/>
                <w:sz w:val="14"/>
                <w:szCs w:val="14"/>
                <w:b w:val="1"/>
                <w:bCs w:val="1"/>
                <w:color w:val="auto"/>
                <w:w w:val="92"/>
              </w:rPr>
              <w:t>Average Capital</w:t>
            </w:r>
          </w:p>
        </w:tc>
        <w:tc>
          <w:tcPr>
            <w:tcW w:w="19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6"/>
              </w:rPr>
              <w:t>Exploration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100" w:type="dxa"/>
            <w:vAlign w:val="bottom"/>
            <w:gridSpan w:val="2"/>
          </w:tcPr>
          <w:p>
            <w:pPr>
              <w:jc w:val="right"/>
              <w:ind w:right="713"/>
              <w:spacing w:after="0"/>
              <w:rPr>
                <w:sz w:val="20"/>
                <w:szCs w:val="20"/>
                <w:color w:val="auto"/>
              </w:rPr>
            </w:pPr>
            <w:r>
              <w:rPr>
                <w:rFonts w:ascii="Arial" w:cs="Arial" w:eastAsia="Arial" w:hAnsi="Arial"/>
                <w:sz w:val="14"/>
                <w:szCs w:val="14"/>
                <w:b w:val="1"/>
                <w:bCs w:val="1"/>
                <w:color w:val="auto"/>
              </w:rPr>
              <w:t>Income Taxes</w:t>
            </w:r>
          </w:p>
        </w:tc>
        <w:tc>
          <w:tcPr>
            <w:tcW w:w="2300" w:type="dxa"/>
            <w:vAlign w:val="bottom"/>
            <w:gridSpan w:val="2"/>
          </w:tcPr>
          <w:p>
            <w:pPr>
              <w:jc w:val="right"/>
              <w:ind w:right="871"/>
              <w:spacing w:after="0"/>
              <w:rPr>
                <w:sz w:val="20"/>
                <w:szCs w:val="20"/>
                <w:color w:val="auto"/>
              </w:rPr>
            </w:pPr>
            <w:r>
              <w:rPr>
                <w:rFonts w:ascii="Arial" w:cs="Arial" w:eastAsia="Arial" w:hAnsi="Arial"/>
                <w:sz w:val="14"/>
                <w:szCs w:val="14"/>
                <w:b w:val="1"/>
                <w:bCs w:val="1"/>
                <w:color w:val="auto"/>
              </w:rPr>
              <w:t>Employed</w:t>
            </w:r>
          </w:p>
        </w:tc>
        <w:tc>
          <w:tcPr>
            <w:tcW w:w="1320" w:type="dxa"/>
            <w:vAlign w:val="bottom"/>
          </w:tcPr>
          <w:p>
            <w:pPr>
              <w:jc w:val="center"/>
              <w:ind w:left="576"/>
              <w:spacing w:after="0"/>
              <w:rPr>
                <w:sz w:val="20"/>
                <w:szCs w:val="20"/>
                <w:color w:val="auto"/>
              </w:rPr>
            </w:pPr>
            <w:r>
              <w:rPr>
                <w:rFonts w:ascii="Arial" w:cs="Arial" w:eastAsia="Arial" w:hAnsi="Arial"/>
                <w:sz w:val="14"/>
                <w:szCs w:val="14"/>
                <w:b w:val="1"/>
                <w:bCs w:val="1"/>
                <w:color w:val="auto"/>
                <w:w w:val="92"/>
              </w:rPr>
              <w:t>Employed</w:t>
            </w:r>
          </w:p>
        </w:tc>
        <w:tc>
          <w:tcPr>
            <w:tcW w:w="920" w:type="dxa"/>
            <w:vAlign w:val="bottom"/>
          </w:tcPr>
          <w:p>
            <w:pPr>
              <w:spacing w:after="0"/>
              <w:rPr>
                <w:sz w:val="18"/>
                <w:szCs w:val="18"/>
                <w:color w:val="auto"/>
              </w:rPr>
            </w:pPr>
          </w:p>
        </w:tc>
        <w:tc>
          <w:tcPr>
            <w:tcW w:w="19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Expenditures</w:t>
            </w:r>
          </w:p>
        </w:tc>
        <w:tc>
          <w:tcPr>
            <w:tcW w:w="0" w:type="dxa"/>
            <w:vAlign w:val="bottom"/>
          </w:tcPr>
          <w:p>
            <w:pPr>
              <w:spacing w:after="0"/>
              <w:rPr>
                <w:sz w:val="1"/>
                <w:szCs w:val="1"/>
                <w:color w:val="auto"/>
              </w:rPr>
            </w:pPr>
          </w:p>
        </w:tc>
      </w:tr>
      <w:tr>
        <w:trPr>
          <w:trHeight w:val="26"/>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Financial</w:t>
            </w: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3"/>
              </w:rPr>
              <w:t>2018</w:t>
            </w: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2"/>
          </w:tcPr>
          <w:p>
            <w:pPr>
              <w:jc w:val="right"/>
              <w:ind w:right="554"/>
              <w:spacing w:after="0"/>
              <w:rPr>
                <w:sz w:val="20"/>
                <w:szCs w:val="20"/>
                <w:color w:val="auto"/>
              </w:rPr>
            </w:pPr>
            <w:r>
              <w:rPr>
                <w:rFonts w:ascii="Arial" w:cs="Arial" w:eastAsia="Arial" w:hAnsi="Arial"/>
                <w:sz w:val="14"/>
                <w:szCs w:val="14"/>
                <w:i w:val="1"/>
                <w:iCs w:val="1"/>
                <w:color w:val="auto"/>
              </w:rPr>
              <w:t>(millions of dollars)</w:t>
            </w:r>
          </w:p>
        </w:tc>
        <w:tc>
          <w:tcPr>
            <w:tcW w:w="1180" w:type="dxa"/>
            <w:vAlign w:val="bottom"/>
          </w:tcPr>
          <w:p>
            <w:pPr>
              <w:spacing w:after="0"/>
              <w:rPr>
                <w:sz w:val="16"/>
                <w:szCs w:val="16"/>
                <w:color w:val="auto"/>
              </w:rPr>
            </w:pPr>
          </w:p>
        </w:tc>
        <w:tc>
          <w:tcPr>
            <w:tcW w:w="1320" w:type="dxa"/>
            <w:vAlign w:val="bottom"/>
          </w:tcPr>
          <w:p>
            <w:pPr>
              <w:jc w:val="center"/>
              <w:ind w:left="596"/>
              <w:spacing w:after="0"/>
              <w:rPr>
                <w:sz w:val="20"/>
                <w:szCs w:val="20"/>
                <w:color w:val="auto"/>
              </w:rPr>
            </w:pPr>
            <w:r>
              <w:rPr>
                <w:rFonts w:ascii="Arial" w:cs="Arial" w:eastAsia="Arial" w:hAnsi="Arial"/>
                <w:sz w:val="14"/>
                <w:szCs w:val="14"/>
                <w:i w:val="1"/>
                <w:iCs w:val="1"/>
                <w:color w:val="auto"/>
                <w:w w:val="92"/>
              </w:rPr>
              <w:t>(percent)</w:t>
            </w:r>
          </w:p>
        </w:tc>
        <w:tc>
          <w:tcPr>
            <w:tcW w:w="920" w:type="dxa"/>
            <w:vAlign w:val="bottom"/>
          </w:tcPr>
          <w:p>
            <w:pPr>
              <w:spacing w:after="0"/>
              <w:rPr>
                <w:sz w:val="16"/>
                <w:szCs w:val="16"/>
                <w:color w:val="auto"/>
              </w:rPr>
            </w:pPr>
          </w:p>
        </w:tc>
        <w:tc>
          <w:tcPr>
            <w:tcW w:w="1960" w:type="dxa"/>
            <w:vAlign w:val="bottom"/>
            <w:gridSpan w:val="2"/>
          </w:tcPr>
          <w:p>
            <w:pPr>
              <w:jc w:val="right"/>
              <w:ind w:right="311"/>
              <w:spacing w:after="0"/>
              <w:rPr>
                <w:sz w:val="20"/>
                <w:szCs w:val="20"/>
                <w:color w:val="auto"/>
              </w:rPr>
            </w:pPr>
            <w:r>
              <w:rPr>
                <w:rFonts w:ascii="Arial" w:cs="Arial" w:eastAsia="Arial" w:hAnsi="Arial"/>
                <w:sz w:val="14"/>
                <w:szCs w:val="14"/>
                <w:i w:val="1"/>
                <w:iCs w:val="1"/>
                <w:color w:val="auto"/>
              </w:rPr>
              <w:t>(millions of dollars)</w:t>
            </w:r>
          </w:p>
        </w:tc>
        <w:tc>
          <w:tcPr>
            <w:tcW w:w="0" w:type="dxa"/>
            <w:vAlign w:val="bottom"/>
          </w:tcPr>
          <w:p>
            <w:pPr>
              <w:spacing w:after="0"/>
              <w:rPr>
                <w:sz w:val="1"/>
                <w:szCs w:val="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8"/>
                <w:szCs w:val="18"/>
                <w:color w:val="auto"/>
              </w:rPr>
              <w:t>Upstream</w:t>
            </w: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536</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1,739</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72,152</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69,981</w:t>
            </w:r>
          </w:p>
        </w:tc>
        <w:tc>
          <w:tcPr>
            <w:tcW w:w="1320" w:type="dxa"/>
            <w:vAlign w:val="bottom"/>
          </w:tcPr>
          <w:p>
            <w:pPr>
              <w:jc w:val="right"/>
              <w:ind w:right="356"/>
              <w:spacing w:after="0"/>
              <w:rPr>
                <w:sz w:val="20"/>
                <w:szCs w:val="20"/>
                <w:color w:val="auto"/>
              </w:rPr>
            </w:pPr>
            <w:r>
              <w:rPr>
                <w:rFonts w:ascii="Arial" w:cs="Arial" w:eastAsia="Arial" w:hAnsi="Arial"/>
                <w:sz w:val="18"/>
                <w:szCs w:val="18"/>
                <w:color w:val="auto"/>
              </w:rPr>
              <w:t>0.7</w:t>
            </w: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2.5</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11,653</w:t>
            </w:r>
          </w:p>
        </w:tc>
        <w:tc>
          <w:tcPr>
            <w:tcW w:w="820" w:type="dxa"/>
            <w:vAlign w:val="bottom"/>
          </w:tcPr>
          <w:p>
            <w:pPr>
              <w:jc w:val="right"/>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13,906</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12,340</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107,271</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107,893</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13.0</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11.4</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11,832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0"/>
        </w:trPr>
        <w:tc>
          <w:tcPr>
            <w:tcW w:w="2820" w:type="dxa"/>
            <w:vAlign w:val="bottom"/>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14,442</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14,079</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179,423</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177,874</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8.0</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7.9</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23,485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Downstream</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1,717</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2,962</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9,515</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8,725</w:t>
            </w:r>
          </w:p>
        </w:tc>
        <w:tc>
          <w:tcPr>
            <w:tcW w:w="1320" w:type="dxa"/>
            <w:vAlign w:val="bottom"/>
          </w:tcPr>
          <w:p>
            <w:pPr>
              <w:jc w:val="right"/>
              <w:ind w:right="356"/>
              <w:spacing w:after="0"/>
              <w:rPr>
                <w:sz w:val="20"/>
                <w:szCs w:val="20"/>
                <w:color w:val="auto"/>
              </w:rPr>
            </w:pPr>
            <w:r>
              <w:rPr>
                <w:rFonts w:ascii="Arial" w:cs="Arial" w:eastAsia="Arial" w:hAnsi="Arial"/>
                <w:sz w:val="18"/>
                <w:szCs w:val="18"/>
                <w:color w:val="auto"/>
              </w:rPr>
              <w:t>18.0</w:t>
            </w: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33.9</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2,353</w:t>
            </w:r>
          </w:p>
        </w:tc>
        <w:tc>
          <w:tcPr>
            <w:tcW w:w="820" w:type="dxa"/>
            <w:vAlign w:val="bottom"/>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606</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3,048</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18,518</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17,015</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3.3</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17.9</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0"/>
        </w:trPr>
        <w:tc>
          <w:tcPr>
            <w:tcW w:w="2820" w:type="dxa"/>
            <w:vAlign w:val="bottom"/>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2,323</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6,010</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28,033</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25,740</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8.3</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23.3</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4,371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Chemical</w:t>
            </w: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206</w:t>
            </w:r>
          </w:p>
        </w:tc>
        <w:tc>
          <w:tcPr>
            <w:tcW w:w="1080" w:type="dxa"/>
            <w:vAlign w:val="bottom"/>
          </w:tcPr>
          <w:p>
            <w:pPr>
              <w:jc w:val="right"/>
              <w:ind w:right="293"/>
              <w:spacing w:after="0"/>
              <w:rPr>
                <w:sz w:val="20"/>
                <w:szCs w:val="20"/>
                <w:color w:val="auto"/>
              </w:rPr>
            </w:pPr>
            <w:r>
              <w:rPr>
                <w:rFonts w:ascii="Arial" w:cs="Arial" w:eastAsia="Arial" w:hAnsi="Arial"/>
                <w:sz w:val="18"/>
                <w:szCs w:val="18"/>
                <w:color w:val="auto"/>
              </w:rPr>
              <w:t>1,642</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13,196</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12,171</w:t>
            </w:r>
          </w:p>
        </w:tc>
        <w:tc>
          <w:tcPr>
            <w:tcW w:w="1320" w:type="dxa"/>
            <w:vAlign w:val="bottom"/>
          </w:tcPr>
          <w:p>
            <w:pPr>
              <w:jc w:val="right"/>
              <w:ind w:right="356"/>
              <w:spacing w:after="0"/>
              <w:rPr>
                <w:sz w:val="20"/>
                <w:szCs w:val="20"/>
                <w:color w:val="auto"/>
              </w:rPr>
            </w:pPr>
            <w:r>
              <w:rPr>
                <w:rFonts w:ascii="Arial" w:cs="Arial" w:eastAsia="Arial" w:hAnsi="Arial"/>
                <w:sz w:val="18"/>
                <w:szCs w:val="18"/>
                <w:color w:val="auto"/>
              </w:rPr>
              <w:t>1.6</w:t>
            </w: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2,547</w:t>
            </w: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386</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1,709</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18,113</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18,249</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2.1</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9.4</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0"/>
        </w:trPr>
        <w:tc>
          <w:tcPr>
            <w:tcW w:w="2820" w:type="dxa"/>
            <w:vAlign w:val="bottom"/>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592</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3,351</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31,309</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30,420</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3,265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Corporate and financing</w:t>
            </w: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(3,017)</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(2,600)</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(2,162)</w:t>
            </w: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(1,660)</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820" w:type="dxa"/>
            <w:vAlign w:val="bottom"/>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14,340</w:t>
            </w: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20,840</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236,603</w:t>
            </w: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232,374</w:t>
            </w:r>
          </w:p>
        </w:tc>
        <w:tc>
          <w:tcPr>
            <w:tcW w:w="132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6.5</w:t>
            </w: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9.2</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31,148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Frequently Used Terms for a definition and calculation of capital employed and return on average capital employed.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w:t>
            </w:r>
          </w:p>
        </w:tc>
        <w:tc>
          <w:tcPr>
            <w:tcW w:w="17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r>
      <w:tr>
        <w:trPr>
          <w:trHeight w:val="184"/>
        </w:trPr>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(thousands of barrels daily)</w:t>
            </w:r>
          </w:p>
        </w:tc>
        <w:tc>
          <w:tcPr>
            <w:tcW w:w="40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barrels daily)</w:t>
            </w: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Net liquids production</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Refinery throughput</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740" w:type="dxa"/>
            <w:vAlign w:val="bottom"/>
            <w:gridSpan w:val="2"/>
          </w:tcPr>
          <w:p>
            <w:pPr>
              <w:jc w:val="right"/>
              <w:ind w:right="219"/>
              <w:spacing w:after="0"/>
              <w:rPr>
                <w:sz w:val="20"/>
                <w:szCs w:val="20"/>
                <w:color w:val="auto"/>
              </w:rPr>
            </w:pPr>
            <w:r>
              <w:rPr>
                <w:rFonts w:ascii="Arial" w:cs="Arial" w:eastAsia="Arial" w:hAnsi="Arial"/>
                <w:sz w:val="18"/>
                <w:szCs w:val="18"/>
                <w:color w:val="auto"/>
              </w:rPr>
              <w:t>646</w:t>
            </w: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1,532</w:t>
            </w:r>
          </w:p>
        </w:tc>
        <w:tc>
          <w:tcPr>
            <w:tcW w:w="82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30"/>
        </w:trPr>
        <w:tc>
          <w:tcPr>
            <w:tcW w:w="3000" w:type="dxa"/>
            <w:vAlign w:val="bottom"/>
          </w:tcPr>
          <w:p>
            <w:pPr>
              <w:ind w:left="220"/>
              <w:spacing w:after="0"/>
              <w:rPr>
                <w:sz w:val="20"/>
                <w:szCs w:val="20"/>
                <w:color w:val="auto"/>
              </w:rPr>
            </w:pPr>
            <w:r>
              <w:rPr>
                <w:rFonts w:ascii="Arial" w:cs="Arial" w:eastAsia="Arial" w:hAnsi="Arial"/>
                <w:sz w:val="18"/>
                <w:szCs w:val="18"/>
                <w:color w:val="auto"/>
              </w:rPr>
              <w:t>Non-U.S.</w:t>
            </w:r>
          </w:p>
        </w:tc>
        <w:tc>
          <w:tcPr>
            <w:tcW w:w="1740" w:type="dxa"/>
            <w:vAlign w:val="bottom"/>
            <w:gridSpan w:val="2"/>
          </w:tcPr>
          <w:p>
            <w:pPr>
              <w:jc w:val="right"/>
              <w:ind w:right="219"/>
              <w:spacing w:after="0"/>
              <w:rPr>
                <w:sz w:val="20"/>
                <w:szCs w:val="20"/>
                <w:color w:val="auto"/>
              </w:rPr>
            </w:pPr>
            <w:r>
              <w:rPr>
                <w:rFonts w:ascii="Arial" w:cs="Arial" w:eastAsia="Arial" w:hAnsi="Arial"/>
                <w:sz w:val="18"/>
                <w:szCs w:val="18"/>
                <w:color w:val="auto"/>
              </w:rPr>
              <w:t>1,740</w:t>
            </w:r>
          </w:p>
        </w:tc>
        <w:tc>
          <w:tcPr>
            <w:tcW w:w="78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20"/>
                <w:szCs w:val="20"/>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Non-U.S.</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2,449</w:t>
            </w:r>
          </w:p>
        </w:tc>
        <w:tc>
          <w:tcPr>
            <w:tcW w:w="82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10"/>
        </w:trPr>
        <w:tc>
          <w:tcPr>
            <w:tcW w:w="3000" w:type="dxa"/>
            <w:vAlign w:val="bottom"/>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rPr>
              <w:t>2,386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18"/>
                <w:szCs w:val="18"/>
                <w:color w:val="auto"/>
              </w:rPr>
            </w:pPr>
          </w:p>
        </w:tc>
        <w:tc>
          <w:tcPr>
            <w:tcW w:w="4000" w:type="dxa"/>
            <w:vAlign w:val="bottom"/>
          </w:tcPr>
          <w:p>
            <w:pPr>
              <w:ind w:left="6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rPr>
              <w:t>3,981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w:t>
            </w:r>
          </w:p>
        </w:tc>
      </w:tr>
      <w:tr>
        <w:trPr>
          <w:trHeight w:val="400"/>
        </w:trPr>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(millions of cubic feet daily)</w:t>
            </w:r>
          </w:p>
        </w:tc>
        <w:tc>
          <w:tcPr>
            <w:tcW w:w="40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barrels daily)</w:t>
            </w: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w w:val="92"/>
              </w:rPr>
              <w:t>Natural gas production available for sale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 xml:space="preserve">Petroleum product sales </w:t>
            </w:r>
            <w:r>
              <w:rPr>
                <w:rFonts w:ascii="Arial" w:cs="Arial" w:eastAsia="Arial" w:hAnsi="Arial"/>
                <w:sz w:val="14"/>
                <w:szCs w:val="14"/>
                <w:i w:val="1"/>
                <w:iCs w:val="1"/>
                <w:color w:val="auto"/>
              </w:rPr>
              <w:t>(2)</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740" w:type="dxa"/>
            <w:vAlign w:val="bottom"/>
            <w:gridSpan w:val="2"/>
          </w:tcPr>
          <w:p>
            <w:pPr>
              <w:jc w:val="right"/>
              <w:ind w:right="219"/>
              <w:spacing w:after="0"/>
              <w:rPr>
                <w:sz w:val="20"/>
                <w:szCs w:val="20"/>
                <w:color w:val="auto"/>
              </w:rPr>
            </w:pPr>
            <w:r>
              <w:rPr>
                <w:rFonts w:ascii="Arial" w:cs="Arial" w:eastAsia="Arial" w:hAnsi="Arial"/>
                <w:sz w:val="18"/>
                <w:szCs w:val="18"/>
                <w:color w:val="auto"/>
              </w:rPr>
              <w:t>2,778</w:t>
            </w:r>
          </w:p>
        </w:tc>
        <w:tc>
          <w:tcPr>
            <w:tcW w:w="780" w:type="dxa"/>
            <w:vAlign w:val="bottom"/>
          </w:tcPr>
          <w:p>
            <w:pPr>
              <w:jc w:val="right"/>
              <w:spacing w:after="0"/>
              <w:rPr>
                <w:sz w:val="20"/>
                <w:szCs w:val="20"/>
                <w:color w:val="auto"/>
              </w:rPr>
            </w:pPr>
            <w:r>
              <w:rPr>
                <w:rFonts w:ascii="Arial" w:cs="Arial" w:eastAsia="Arial" w:hAnsi="Arial"/>
                <w:sz w:val="18"/>
                <w:szCs w:val="18"/>
                <w:color w:val="auto"/>
              </w:rPr>
              <w:t>2,574</w:t>
            </w:r>
          </w:p>
        </w:tc>
        <w:tc>
          <w:tcPr>
            <w:tcW w:w="16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2,292</w:t>
            </w:r>
          </w:p>
        </w:tc>
        <w:tc>
          <w:tcPr>
            <w:tcW w:w="82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3000" w:type="dxa"/>
            <w:vAlign w:val="bottom"/>
          </w:tcPr>
          <w:p>
            <w:pPr>
              <w:ind w:left="220"/>
              <w:spacing w:after="0"/>
              <w:rPr>
                <w:sz w:val="20"/>
                <w:szCs w:val="20"/>
                <w:color w:val="auto"/>
              </w:rPr>
            </w:pPr>
            <w:r>
              <w:rPr>
                <w:rFonts w:ascii="Arial" w:cs="Arial" w:eastAsia="Arial" w:hAnsi="Arial"/>
                <w:sz w:val="18"/>
                <w:szCs w:val="18"/>
                <w:color w:val="auto"/>
              </w:rPr>
              <w:t>Non-U.S.</w:t>
            </w:r>
          </w:p>
        </w:tc>
        <w:tc>
          <w:tcPr>
            <w:tcW w:w="1740" w:type="dxa"/>
            <w:vAlign w:val="bottom"/>
            <w:gridSpan w:val="2"/>
          </w:tcPr>
          <w:p>
            <w:pPr>
              <w:jc w:val="right"/>
              <w:ind w:right="219"/>
              <w:spacing w:after="0"/>
              <w:rPr>
                <w:sz w:val="20"/>
                <w:szCs w:val="20"/>
                <w:color w:val="auto"/>
              </w:rPr>
            </w:pPr>
            <w:r>
              <w:rPr>
                <w:rFonts w:ascii="Arial" w:cs="Arial" w:eastAsia="Arial" w:hAnsi="Arial"/>
                <w:sz w:val="18"/>
                <w:szCs w:val="18"/>
                <w:color w:val="auto"/>
              </w:rPr>
              <w:t>6,616</w:t>
            </w:r>
          </w:p>
        </w:tc>
        <w:tc>
          <w:tcPr>
            <w:tcW w:w="780" w:type="dxa"/>
            <w:vAlign w:val="bottom"/>
          </w:tcPr>
          <w:p>
            <w:pPr>
              <w:jc w:val="right"/>
              <w:spacing w:after="0"/>
              <w:rPr>
                <w:sz w:val="20"/>
                <w:szCs w:val="20"/>
                <w:color w:val="auto"/>
              </w:rPr>
            </w:pPr>
            <w:r>
              <w:rPr>
                <w:rFonts w:ascii="Arial" w:cs="Arial" w:eastAsia="Arial" w:hAnsi="Arial"/>
                <w:sz w:val="18"/>
                <w:szCs w:val="18"/>
                <w:color w:val="auto"/>
              </w:rPr>
              <w:t>6,831</w:t>
            </w:r>
          </w:p>
        </w:tc>
        <w:tc>
          <w:tcPr>
            <w:tcW w:w="160" w:type="dxa"/>
            <w:vAlign w:val="bottom"/>
          </w:tcPr>
          <w:p>
            <w:pPr>
              <w:spacing w:after="0"/>
              <w:rPr>
                <w:sz w:val="20"/>
                <w:szCs w:val="20"/>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Non-U.S.</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3,160</w:t>
            </w:r>
          </w:p>
        </w:tc>
        <w:tc>
          <w:tcPr>
            <w:tcW w:w="820" w:type="dxa"/>
            <w:vAlign w:val="bottom"/>
          </w:tcPr>
          <w:p>
            <w:pPr>
              <w:jc w:val="right"/>
              <w:spacing w:after="0"/>
              <w:rPr>
                <w:sz w:val="20"/>
                <w:szCs w:val="20"/>
                <w:color w:val="auto"/>
              </w:rPr>
            </w:pPr>
            <w:r>
              <w:rPr>
                <w:rFonts w:ascii="Arial" w:cs="Arial" w:eastAsia="Arial" w:hAnsi="Arial"/>
                <w:sz w:val="18"/>
                <w:szCs w:val="18"/>
                <w:color w:val="auto"/>
              </w:rPr>
              <w:t>3,302</w:t>
            </w:r>
          </w:p>
        </w:tc>
      </w:tr>
      <w:tr>
        <w:trPr>
          <w:trHeight w:val="210"/>
        </w:trPr>
        <w:tc>
          <w:tcPr>
            <w:tcW w:w="3000" w:type="dxa"/>
            <w:vAlign w:val="bottom"/>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rPr>
              <w:t>9,394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60" w:type="dxa"/>
            <w:vAlign w:val="bottom"/>
          </w:tcPr>
          <w:p>
            <w:pPr>
              <w:spacing w:after="0"/>
              <w:rPr>
                <w:sz w:val="18"/>
                <w:szCs w:val="18"/>
                <w:color w:val="auto"/>
              </w:rPr>
            </w:pPr>
          </w:p>
        </w:tc>
        <w:tc>
          <w:tcPr>
            <w:tcW w:w="4000" w:type="dxa"/>
            <w:vAlign w:val="bottom"/>
          </w:tcPr>
          <w:p>
            <w:pPr>
              <w:ind w:left="6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rPr>
              <w:t>5,452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w:t>
            </w:r>
          </w:p>
        </w:tc>
      </w:tr>
      <w:tr>
        <w:trPr>
          <w:trHeight w:val="400"/>
        </w:trPr>
        <w:tc>
          <w:tcPr>
            <w:tcW w:w="3000" w:type="dxa"/>
            <w:vAlign w:val="bottom"/>
          </w:tcPr>
          <w:p>
            <w:pPr>
              <w:spacing w:after="0"/>
              <w:rPr>
                <w:sz w:val="24"/>
                <w:szCs w:val="24"/>
                <w:color w:val="auto"/>
              </w:rPr>
            </w:pPr>
          </w:p>
        </w:tc>
        <w:tc>
          <w:tcPr>
            <w:tcW w:w="268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7"/>
              </w:rPr>
              <w:t>(thousands of oil-equivalent barrels daily)</w:t>
            </w:r>
          </w:p>
        </w:tc>
        <w:tc>
          <w:tcPr>
            <w:tcW w:w="40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metric tons)</w:t>
            </w: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4"/>
                <w:szCs w:val="14"/>
                <w:i w:val="1"/>
                <w:iCs w:val="1"/>
                <w:color w:val="auto"/>
              </w:rPr>
              <w:t>(1)</w:t>
            </w:r>
          </w:p>
        </w:tc>
        <w:tc>
          <w:tcPr>
            <w:tcW w:w="1740" w:type="dxa"/>
            <w:vAlign w:val="bottom"/>
            <w:gridSpan w:val="2"/>
          </w:tcPr>
          <w:p>
            <w:pPr>
              <w:jc w:val="right"/>
              <w:ind w:right="219"/>
              <w:spacing w:after="0"/>
              <w:rPr>
                <w:sz w:val="20"/>
                <w:szCs w:val="20"/>
                <w:color w:val="auto"/>
              </w:rPr>
            </w:pPr>
            <w:r>
              <w:rPr>
                <w:rFonts w:ascii="Arial" w:cs="Arial" w:eastAsia="Arial" w:hAnsi="Arial"/>
                <w:sz w:val="18"/>
                <w:szCs w:val="18"/>
                <w:color w:val="auto"/>
              </w:rPr>
              <w:t>3,952</w:t>
            </w:r>
          </w:p>
        </w:tc>
        <w:tc>
          <w:tcPr>
            <w:tcW w:w="780" w:type="dxa"/>
            <w:vAlign w:val="bottom"/>
          </w:tcPr>
          <w:p>
            <w:pPr>
              <w:jc w:val="right"/>
              <w:spacing w:after="0"/>
              <w:rPr>
                <w:sz w:val="20"/>
                <w:szCs w:val="20"/>
                <w:color w:val="auto"/>
              </w:rPr>
            </w:pPr>
            <w:r>
              <w:rPr>
                <w:rFonts w:ascii="Arial" w:cs="Arial" w:eastAsia="Arial" w:hAnsi="Arial"/>
                <w:sz w:val="18"/>
                <w:szCs w:val="18"/>
                <w:color w:val="auto"/>
              </w:rPr>
              <w:t>3,833</w:t>
            </w:r>
          </w:p>
        </w:tc>
        <w:tc>
          <w:tcPr>
            <w:tcW w:w="160" w:type="dxa"/>
            <w:vAlign w:val="bottom"/>
          </w:tcPr>
          <w:p>
            <w:pPr>
              <w:spacing w:after="0"/>
              <w:rPr>
                <w:sz w:val="19"/>
                <w:szCs w:val="19"/>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 xml:space="preserve">Chemical prime product sales </w:t>
            </w:r>
            <w:r>
              <w:rPr>
                <w:rFonts w:ascii="Arial" w:cs="Arial" w:eastAsia="Arial" w:hAnsi="Arial"/>
                <w:sz w:val="14"/>
                <w:szCs w:val="14"/>
                <w:i w:val="1"/>
                <w:iCs w:val="1"/>
                <w:color w:val="auto"/>
              </w:rPr>
              <w:t>(2) (3)</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9,127</w:t>
            </w:r>
          </w:p>
        </w:tc>
        <w:tc>
          <w:tcPr>
            <w:tcW w:w="820" w:type="dxa"/>
            <w:vAlign w:val="bottom"/>
          </w:tcPr>
          <w:p>
            <w:pPr>
              <w:jc w:val="right"/>
              <w:spacing w:after="0"/>
              <w:rPr>
                <w:sz w:val="20"/>
                <w:szCs w:val="20"/>
                <w:color w:val="auto"/>
              </w:rPr>
            </w:pPr>
            <w:r>
              <w:rPr>
                <w:rFonts w:ascii="Arial" w:cs="Arial" w:eastAsia="Arial" w:hAnsi="Arial"/>
                <w:sz w:val="18"/>
                <w:szCs w:val="18"/>
                <w:color w:val="auto"/>
              </w:rPr>
              <w:t>9,824</w:t>
            </w:r>
          </w:p>
        </w:tc>
      </w:tr>
      <w:tr>
        <w:trPr>
          <w:trHeight w:val="230"/>
        </w:trPr>
        <w:tc>
          <w:tcPr>
            <w:tcW w:w="3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ind w:left="400"/>
              <w:spacing w:after="0"/>
              <w:rPr>
                <w:sz w:val="20"/>
                <w:szCs w:val="20"/>
                <w:color w:val="auto"/>
              </w:rPr>
            </w:pPr>
            <w:r>
              <w:rPr>
                <w:rFonts w:ascii="Arial" w:cs="Arial" w:eastAsia="Arial" w:hAnsi="Arial"/>
                <w:sz w:val="18"/>
                <w:szCs w:val="18"/>
                <w:color w:val="auto"/>
              </w:rPr>
              <w:t>Non-U.S.</w:t>
            </w: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17,389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17,045</w:t>
            </w:r>
          </w:p>
        </w:tc>
      </w:tr>
      <w:tr>
        <w:trPr>
          <w:trHeight w:val="210"/>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Pr>
          <w:p>
            <w:pPr>
              <w:ind w:left="60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26,516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r>
    </w:tbl>
    <w:p>
      <w:pPr>
        <w:spacing w:after="0" w:line="364" w:lineRule="exact"/>
        <w:rPr>
          <w:sz w:val="20"/>
          <w:szCs w:val="20"/>
          <w:color w:val="auto"/>
        </w:rPr>
      </w:pPr>
    </w:p>
    <w:p>
      <w:pPr>
        <w:ind w:left="720" w:hanging="400"/>
        <w:spacing w:after="0"/>
        <w:tabs>
          <w:tab w:leader="none" w:pos="7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Natural gas is converted to an oil-equivalent basis at six million cubic feet per one thousand barrels.</w:t>
      </w:r>
    </w:p>
    <w:p>
      <w:pPr>
        <w:spacing w:after="0" w:line="90" w:lineRule="exact"/>
        <w:rPr>
          <w:rFonts w:ascii="Arial" w:cs="Arial" w:eastAsia="Arial" w:hAnsi="Arial"/>
          <w:sz w:val="18"/>
          <w:szCs w:val="18"/>
          <w:i w:val="1"/>
          <w:iCs w:val="1"/>
          <w:color w:val="auto"/>
        </w:rPr>
      </w:pPr>
    </w:p>
    <w:p>
      <w:pPr>
        <w:ind w:left="720" w:hanging="400"/>
        <w:spacing w:after="0"/>
        <w:tabs>
          <w:tab w:leader="none" w:pos="7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Petroleum product and chemical prime product sales data reported net of purchases/sales contracts with the same counterparty.</w:t>
      </w:r>
    </w:p>
    <w:p>
      <w:pPr>
        <w:spacing w:after="0" w:line="90" w:lineRule="exact"/>
        <w:rPr>
          <w:rFonts w:ascii="Arial" w:cs="Arial" w:eastAsia="Arial" w:hAnsi="Arial"/>
          <w:sz w:val="18"/>
          <w:szCs w:val="18"/>
          <w:i w:val="1"/>
          <w:iCs w:val="1"/>
          <w:color w:val="auto"/>
        </w:rPr>
      </w:pPr>
    </w:p>
    <w:p>
      <w:pPr>
        <w:ind w:left="660" w:hanging="340"/>
        <w:spacing w:after="0" w:line="277" w:lineRule="auto"/>
        <w:tabs>
          <w:tab w:leader="none" w:pos="74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Prime product sales are total product sales including ExxonMobil’s share of equity company volumes and finished-product transfers to the Downstream.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9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6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r>
      <w:tr>
        <w:trPr>
          <w:trHeight w:val="26"/>
        </w:trPr>
        <w:tc>
          <w:tcPr>
            <w:tcW w:w="5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5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0" w:type="dxa"/>
            <w:vAlign w:val="bottom"/>
            <w:gridSpan w:val="3"/>
          </w:tcPr>
          <w:p>
            <w:pPr>
              <w:jc w:val="right"/>
              <w:ind w:right="431"/>
              <w:spacing w:after="0"/>
              <w:rPr>
                <w:sz w:val="20"/>
                <w:szCs w:val="20"/>
                <w:color w:val="auto"/>
              </w:rPr>
            </w:pPr>
            <w:r>
              <w:rPr>
                <w:rFonts w:ascii="Arial" w:cs="Arial" w:eastAsia="Arial" w:hAnsi="Arial"/>
                <w:sz w:val="14"/>
                <w:szCs w:val="14"/>
                <w:i w:val="1"/>
                <w:iCs w:val="1"/>
                <w:color w:val="auto"/>
                <w:w w:val="97"/>
              </w:rPr>
              <w:t>(millions of dollars, except where stated otherwise)</w:t>
            </w:r>
          </w:p>
        </w:tc>
        <w:tc>
          <w:tcPr>
            <w:tcW w:w="920" w:type="dxa"/>
            <w:vAlign w:val="bottom"/>
          </w:tcPr>
          <w:p>
            <w:pPr>
              <w:spacing w:after="0"/>
              <w:rPr>
                <w:sz w:val="16"/>
                <w:szCs w:val="16"/>
                <w:color w:val="auto"/>
              </w:rPr>
            </w:pPr>
          </w:p>
        </w:tc>
      </w:tr>
      <w:tr>
        <w:trPr>
          <w:trHeight w:val="443"/>
        </w:trPr>
        <w:tc>
          <w:tcPr>
            <w:tcW w:w="5940" w:type="dxa"/>
            <w:vAlign w:val="bottom"/>
          </w:tcPr>
          <w:p>
            <w:pPr>
              <w:spacing w:after="0"/>
              <w:rPr>
                <w:sz w:val="20"/>
                <w:szCs w:val="20"/>
                <w:color w:val="auto"/>
              </w:rPr>
            </w:pPr>
            <w:r>
              <w:rPr>
                <w:rFonts w:ascii="Arial" w:cs="Arial" w:eastAsia="Arial" w:hAnsi="Arial"/>
                <w:sz w:val="18"/>
                <w:szCs w:val="18"/>
                <w:color w:val="auto"/>
              </w:rPr>
              <w:t>Sales and other operating revenue</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255,583</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279,332</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237,162</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200,628</w:t>
            </w:r>
          </w:p>
        </w:tc>
        <w:tc>
          <w:tcPr>
            <w:tcW w:w="920" w:type="dxa"/>
            <w:vAlign w:val="bottom"/>
          </w:tcPr>
          <w:p>
            <w:pPr>
              <w:jc w:val="right"/>
              <w:spacing w:after="0"/>
              <w:rPr>
                <w:sz w:val="20"/>
                <w:szCs w:val="20"/>
                <w:color w:val="auto"/>
              </w:rPr>
            </w:pPr>
            <w:r>
              <w:rPr>
                <w:rFonts w:ascii="Arial" w:cs="Arial" w:eastAsia="Arial" w:hAnsi="Arial"/>
                <w:sz w:val="18"/>
                <w:szCs w:val="18"/>
                <w:color w:val="auto"/>
              </w:rPr>
              <w:t>239,854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Earnings</w:t>
            </w: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Upstream</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14,442</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14,079</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13,355</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196</w:t>
            </w:r>
          </w:p>
        </w:tc>
        <w:tc>
          <w:tcPr>
            <w:tcW w:w="920" w:type="dxa"/>
            <w:vAlign w:val="bottom"/>
          </w:tcPr>
          <w:p>
            <w:pPr>
              <w:jc w:val="right"/>
              <w:spacing w:after="0"/>
              <w:rPr>
                <w:sz w:val="20"/>
                <w:szCs w:val="20"/>
                <w:color w:val="auto"/>
              </w:rPr>
            </w:pPr>
            <w:r>
              <w:rPr>
                <w:rFonts w:ascii="Arial" w:cs="Arial" w:eastAsia="Arial" w:hAnsi="Arial"/>
                <w:sz w:val="18"/>
                <w:szCs w:val="18"/>
                <w:color w:val="auto"/>
              </w:rPr>
              <w:t>7,101</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Downstream</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2,323</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6,010</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5,597</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4,201</w:t>
            </w:r>
          </w:p>
        </w:tc>
        <w:tc>
          <w:tcPr>
            <w:tcW w:w="920" w:type="dxa"/>
            <w:vAlign w:val="bottom"/>
          </w:tcPr>
          <w:p>
            <w:pPr>
              <w:jc w:val="right"/>
              <w:spacing w:after="0"/>
              <w:rPr>
                <w:sz w:val="20"/>
                <w:szCs w:val="20"/>
                <w:color w:val="auto"/>
              </w:rPr>
            </w:pPr>
            <w:r>
              <w:rPr>
                <w:rFonts w:ascii="Arial" w:cs="Arial" w:eastAsia="Arial" w:hAnsi="Arial"/>
                <w:sz w:val="18"/>
                <w:szCs w:val="18"/>
                <w:color w:val="auto"/>
              </w:rPr>
              <w:t>6,557</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Chemical</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592</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3,351</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4,518</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4,615</w:t>
            </w:r>
          </w:p>
        </w:tc>
        <w:tc>
          <w:tcPr>
            <w:tcW w:w="92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Corporate and financing</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(3,017)</w:t>
            </w: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(2,600)</w:t>
            </w: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(3,760)</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(1,172)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r>
      <w:tr>
        <w:trPr>
          <w:trHeight w:val="210"/>
        </w:trPr>
        <w:tc>
          <w:tcPr>
            <w:tcW w:w="5940" w:type="dxa"/>
            <w:vAlign w:val="bottom"/>
          </w:tcPr>
          <w:p>
            <w:pPr>
              <w:ind w:left="220"/>
              <w:spacing w:after="0"/>
              <w:rPr>
                <w:sz w:val="20"/>
                <w:szCs w:val="20"/>
                <w:color w:val="auto"/>
              </w:rPr>
            </w:pPr>
            <w:r>
              <w:rPr>
                <w:rFonts w:ascii="Arial" w:cs="Arial" w:eastAsia="Arial" w:hAnsi="Arial"/>
                <w:sz w:val="18"/>
                <w:szCs w:val="18"/>
                <w:color w:val="auto"/>
              </w:rPr>
              <w:t>Net income attributable to ExxonMobil</w:t>
            </w: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14,340</w:t>
            </w: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20,840</w:t>
            </w:r>
          </w:p>
        </w:tc>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19,710</w:t>
            </w: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7,840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16,150</w:t>
            </w:r>
          </w:p>
        </w:tc>
      </w:tr>
      <w:tr>
        <w:trPr>
          <w:trHeight w:val="195"/>
        </w:trPr>
        <w:tc>
          <w:tcPr>
            <w:tcW w:w="5940" w:type="dxa"/>
            <w:vAlign w:val="bottom"/>
          </w:tcPr>
          <w:p>
            <w:pPr>
              <w:spacing w:after="0" w:line="195" w:lineRule="exact"/>
              <w:rPr>
                <w:sz w:val="20"/>
                <w:szCs w:val="20"/>
                <w:color w:val="auto"/>
              </w:rPr>
            </w:pPr>
            <w:r>
              <w:rPr>
                <w:rFonts w:ascii="Arial" w:cs="Arial" w:eastAsia="Arial" w:hAnsi="Arial"/>
                <w:sz w:val="18"/>
                <w:szCs w:val="18"/>
                <w:color w:val="auto"/>
              </w:rPr>
              <w:t>Earnings per common share (dollars)</w:t>
            </w:r>
          </w:p>
        </w:tc>
        <w:tc>
          <w:tcPr>
            <w:tcW w:w="960" w:type="dxa"/>
            <w:vAlign w:val="bottom"/>
          </w:tcPr>
          <w:p>
            <w:pPr>
              <w:jc w:val="right"/>
              <w:ind w:right="111"/>
              <w:spacing w:after="0" w:line="195" w:lineRule="exact"/>
              <w:rPr>
                <w:sz w:val="20"/>
                <w:szCs w:val="20"/>
                <w:color w:val="auto"/>
              </w:rPr>
            </w:pPr>
            <w:r>
              <w:rPr>
                <w:rFonts w:ascii="Arial" w:cs="Arial" w:eastAsia="Arial" w:hAnsi="Arial"/>
                <w:sz w:val="18"/>
                <w:szCs w:val="18"/>
                <w:color w:val="auto"/>
              </w:rPr>
              <w:t>3.36</w:t>
            </w:r>
          </w:p>
        </w:tc>
        <w:tc>
          <w:tcPr>
            <w:tcW w:w="126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4.88</w:t>
            </w:r>
          </w:p>
        </w:tc>
        <w:tc>
          <w:tcPr>
            <w:tcW w:w="116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4.63</w:t>
            </w:r>
          </w:p>
        </w:tc>
        <w:tc>
          <w:tcPr>
            <w:tcW w:w="118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1.88</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3.85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Earnings per common share – assuming dilution (dollars)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3.36</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4.88</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4.63</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1.88</w:t>
            </w:r>
          </w:p>
        </w:tc>
        <w:tc>
          <w:tcPr>
            <w:tcW w:w="9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432"/>
        </w:trPr>
        <w:tc>
          <w:tcPr>
            <w:tcW w:w="5940" w:type="dxa"/>
            <w:vAlign w:val="bottom"/>
          </w:tcPr>
          <w:p>
            <w:pPr>
              <w:spacing w:after="0"/>
              <w:rPr>
                <w:sz w:val="20"/>
                <w:szCs w:val="20"/>
                <w:color w:val="auto"/>
              </w:rPr>
            </w:pPr>
            <w:r>
              <w:rPr>
                <w:rFonts w:ascii="Arial" w:cs="Arial" w:eastAsia="Arial" w:hAnsi="Arial"/>
                <w:sz w:val="18"/>
                <w:szCs w:val="18"/>
                <w:color w:val="auto"/>
              </w:rPr>
              <w:t>Earnings to average ExxonMobil share of equity (percent)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7.5</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11.0</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11.1</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4.6</w:t>
            </w: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(13,937)</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(9,165)</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(10,637)</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(6,222)</w:t>
            </w:r>
          </w:p>
        </w:tc>
        <w:tc>
          <w:tcPr>
            <w:tcW w:w="920" w:type="dxa"/>
            <w:vAlign w:val="bottom"/>
          </w:tcPr>
          <w:p>
            <w:pPr>
              <w:jc w:val="right"/>
              <w:spacing w:after="0"/>
              <w:rPr>
                <w:sz w:val="20"/>
                <w:szCs w:val="20"/>
                <w:color w:val="auto"/>
              </w:rPr>
            </w:pPr>
            <w:r>
              <w:rPr>
                <w:rFonts w:ascii="Arial" w:cs="Arial" w:eastAsia="Arial" w:hAnsi="Arial"/>
                <w:sz w:val="18"/>
                <w:szCs w:val="18"/>
                <w:color w:val="auto"/>
              </w:rPr>
              <w:t>(11,353)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Ratio of current assets to current liabilities (times)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0.78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0.84</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0.82</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0.87</w:t>
            </w:r>
          </w:p>
        </w:tc>
        <w:tc>
          <w:tcPr>
            <w:tcW w:w="92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24,904</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20,051</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24,901</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16,100</w:t>
            </w: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Property, plant and equipment, less allowances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253,018</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247,101</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252,630</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244,224</w:t>
            </w:r>
          </w:p>
        </w:tc>
        <w:tc>
          <w:tcPr>
            <w:tcW w:w="920" w:type="dxa"/>
            <w:vAlign w:val="bottom"/>
          </w:tcPr>
          <w:p>
            <w:pPr>
              <w:jc w:val="right"/>
              <w:spacing w:after="0"/>
              <w:rPr>
                <w:sz w:val="20"/>
                <w:szCs w:val="20"/>
                <w:color w:val="auto"/>
              </w:rPr>
            </w:pPr>
            <w:r>
              <w:rPr>
                <w:rFonts w:ascii="Arial" w:cs="Arial" w:eastAsia="Arial" w:hAnsi="Arial"/>
                <w:sz w:val="18"/>
                <w:szCs w:val="18"/>
                <w:color w:val="auto"/>
              </w:rPr>
              <w:t>251,605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362,597</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346,196</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348,691</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330,314</w:t>
            </w:r>
          </w:p>
        </w:tc>
        <w:tc>
          <w:tcPr>
            <w:tcW w:w="920" w:type="dxa"/>
            <w:vAlign w:val="bottom"/>
          </w:tcPr>
          <w:p>
            <w:pPr>
              <w:jc w:val="right"/>
              <w:spacing w:after="0"/>
              <w:rPr>
                <w:sz w:val="20"/>
                <w:szCs w:val="20"/>
                <w:color w:val="auto"/>
              </w:rPr>
            </w:pPr>
            <w:r>
              <w:rPr>
                <w:rFonts w:ascii="Arial" w:cs="Arial" w:eastAsia="Arial" w:hAnsi="Arial"/>
                <w:sz w:val="18"/>
                <w:szCs w:val="18"/>
                <w:color w:val="auto"/>
              </w:rPr>
              <w:t>336,758</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Exploration expenses, including dry holes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1,269</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1,466</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1,790</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1,467</w:t>
            </w:r>
          </w:p>
        </w:tc>
        <w:tc>
          <w:tcPr>
            <w:tcW w:w="92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1,214</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1,116</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1,063</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1,058</w:t>
            </w:r>
          </w:p>
        </w:tc>
        <w:tc>
          <w:tcPr>
            <w:tcW w:w="92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Long-term debt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26,342</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20,538</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24,406</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28,932</w:t>
            </w:r>
          </w:p>
        </w:tc>
        <w:tc>
          <w:tcPr>
            <w:tcW w:w="920" w:type="dxa"/>
            <w:vAlign w:val="bottom"/>
          </w:tcPr>
          <w:p>
            <w:pPr>
              <w:jc w:val="right"/>
              <w:spacing w:after="0"/>
              <w:rPr>
                <w:sz w:val="20"/>
                <w:szCs w:val="20"/>
                <w:color w:val="auto"/>
              </w:rPr>
            </w:pPr>
            <w:r>
              <w:rPr>
                <w:rFonts w:ascii="Arial" w:cs="Arial" w:eastAsia="Arial" w:hAnsi="Arial"/>
                <w:sz w:val="18"/>
                <w:szCs w:val="18"/>
                <w:color w:val="auto"/>
              </w:rPr>
              <w:t>19,925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debt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46,920</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37,796</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42,336</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42,762</w:t>
            </w:r>
          </w:p>
        </w:tc>
        <w:tc>
          <w:tcPr>
            <w:tcW w:w="920" w:type="dxa"/>
            <w:vAlign w:val="bottom"/>
          </w:tcPr>
          <w:p>
            <w:pPr>
              <w:jc w:val="right"/>
              <w:spacing w:after="0"/>
              <w:rPr>
                <w:sz w:val="20"/>
                <w:szCs w:val="20"/>
                <w:color w:val="auto"/>
              </w:rPr>
            </w:pPr>
            <w:r>
              <w:rPr>
                <w:rFonts w:ascii="Arial" w:cs="Arial" w:eastAsia="Arial" w:hAnsi="Arial"/>
                <w:sz w:val="18"/>
                <w:szCs w:val="18"/>
                <w:color w:val="auto"/>
              </w:rPr>
              <w:t>38,687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Debt to capital (percent)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19.1</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16.0</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17.9</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19.7</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 xml:space="preserve">Net debt to capital (percent) </w:t>
            </w:r>
            <w:r>
              <w:rPr>
                <w:rFonts w:ascii="Arial" w:cs="Arial" w:eastAsia="Arial" w:hAnsi="Arial"/>
                <w:sz w:val="14"/>
                <w:szCs w:val="14"/>
                <w:i w:val="1"/>
                <w:iCs w:val="1"/>
                <w:color w:val="auto"/>
              </w:rPr>
              <w:t>(1)</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18.1</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14.9</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16.8</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18.4</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418"/>
        </w:trPr>
        <w:tc>
          <w:tcPr>
            <w:tcW w:w="5940" w:type="dxa"/>
            <w:vAlign w:val="bottom"/>
          </w:tcPr>
          <w:p>
            <w:pPr>
              <w:spacing w:after="0"/>
              <w:rPr>
                <w:sz w:val="20"/>
                <w:szCs w:val="20"/>
                <w:color w:val="auto"/>
              </w:rPr>
            </w:pPr>
            <w:r>
              <w:rPr>
                <w:rFonts w:ascii="Arial" w:cs="Arial" w:eastAsia="Arial" w:hAnsi="Arial"/>
                <w:sz w:val="18"/>
                <w:szCs w:val="18"/>
                <w:color w:val="auto"/>
              </w:rPr>
              <w:t>ExxonMobil share of equity at year-end</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191,650</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191,794</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187,688</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167,325</w:t>
            </w:r>
          </w:p>
        </w:tc>
        <w:tc>
          <w:tcPr>
            <w:tcW w:w="920" w:type="dxa"/>
            <w:vAlign w:val="bottom"/>
          </w:tcPr>
          <w:p>
            <w:pPr>
              <w:jc w:val="right"/>
              <w:spacing w:after="0"/>
              <w:rPr>
                <w:sz w:val="20"/>
                <w:szCs w:val="20"/>
                <w:color w:val="auto"/>
              </w:rPr>
            </w:pPr>
            <w:r>
              <w:rPr>
                <w:rFonts w:ascii="Arial" w:cs="Arial" w:eastAsia="Arial" w:hAnsi="Arial"/>
                <w:sz w:val="18"/>
                <w:szCs w:val="18"/>
                <w:color w:val="auto"/>
              </w:rPr>
              <w:t>170,811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ExxonMobil share of equity per common share (dollars)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45.26</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45.27</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44.28</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40.34</w:t>
            </w:r>
          </w:p>
        </w:tc>
        <w:tc>
          <w:tcPr>
            <w:tcW w:w="920" w:type="dxa"/>
            <w:vAlign w:val="bottom"/>
          </w:tcPr>
          <w:p>
            <w:pPr>
              <w:jc w:val="right"/>
              <w:spacing w:after="0"/>
              <w:rPr>
                <w:sz w:val="20"/>
                <w:szCs w:val="20"/>
                <w:color w:val="auto"/>
              </w:rPr>
            </w:pPr>
            <w:r>
              <w:rPr>
                <w:rFonts w:ascii="Arial" w:cs="Arial" w:eastAsia="Arial" w:hAnsi="Arial"/>
                <w:sz w:val="18"/>
                <w:szCs w:val="18"/>
                <w:color w:val="auto"/>
              </w:rPr>
              <w:t>41.10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outstanding (millions)</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4,270</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4,270</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4,256</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4,177</w:t>
            </w:r>
          </w:p>
        </w:tc>
        <w:tc>
          <w:tcPr>
            <w:tcW w:w="920" w:type="dxa"/>
            <w:vAlign w:val="bottom"/>
          </w:tcPr>
          <w:p>
            <w:pPr>
              <w:jc w:val="right"/>
              <w:spacing w:after="0"/>
              <w:rPr>
                <w:sz w:val="20"/>
                <w:szCs w:val="20"/>
                <w:color w:val="auto"/>
              </w:rPr>
            </w:pPr>
            <w:r>
              <w:rPr>
                <w:rFonts w:ascii="Arial" w:cs="Arial" w:eastAsia="Arial" w:hAnsi="Arial"/>
                <w:sz w:val="18"/>
                <w:szCs w:val="18"/>
                <w:color w:val="auto"/>
              </w:rPr>
              <w:t>4,196</w:t>
            </w:r>
          </w:p>
        </w:tc>
      </w:tr>
      <w:tr>
        <w:trPr>
          <w:trHeight w:val="432"/>
        </w:trPr>
        <w:tc>
          <w:tcPr>
            <w:tcW w:w="5940" w:type="dxa"/>
            <w:vAlign w:val="bottom"/>
          </w:tcPr>
          <w:p>
            <w:pPr>
              <w:spacing w:after="0"/>
              <w:rPr>
                <w:sz w:val="20"/>
                <w:szCs w:val="20"/>
                <w:color w:val="auto"/>
              </w:rPr>
            </w:pPr>
            <w:r>
              <w:rPr>
                <w:rFonts w:ascii="Arial" w:cs="Arial" w:eastAsia="Arial" w:hAnsi="Arial"/>
                <w:sz w:val="18"/>
                <w:szCs w:val="18"/>
                <w:color w:val="auto"/>
              </w:rPr>
              <w:t xml:space="preserve">Number of regular employees at year-end (thousands) </w:t>
            </w:r>
            <w:r>
              <w:rPr>
                <w:rFonts w:ascii="Arial" w:cs="Arial" w:eastAsia="Arial" w:hAnsi="Arial"/>
                <w:sz w:val="14"/>
                <w:szCs w:val="14"/>
                <w:i w:val="1"/>
                <w:iCs w:val="1"/>
                <w:color w:val="auto"/>
              </w:rPr>
              <w:t>(2)</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74.9</w:t>
            </w: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71.0</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69.6</w:t>
            </w:r>
          </w:p>
        </w:tc>
        <w:tc>
          <w:tcPr>
            <w:tcW w:w="1180" w:type="dxa"/>
            <w:vAlign w:val="bottom"/>
          </w:tcPr>
          <w:p>
            <w:pPr>
              <w:jc w:val="right"/>
              <w:ind w:right="231"/>
              <w:spacing w:after="0"/>
              <w:rPr>
                <w:sz w:val="20"/>
                <w:szCs w:val="20"/>
                <w:color w:val="auto"/>
              </w:rPr>
            </w:pPr>
            <w:r>
              <w:rPr>
                <w:rFonts w:ascii="Arial" w:cs="Arial" w:eastAsia="Arial" w:hAnsi="Arial"/>
                <w:sz w:val="18"/>
                <w:szCs w:val="18"/>
                <w:color w:val="auto"/>
              </w:rPr>
              <w:t>71.1</w:t>
            </w:r>
          </w:p>
        </w:tc>
        <w:tc>
          <w:tcPr>
            <w:tcW w:w="920" w:type="dxa"/>
            <w:vAlign w:val="bottom"/>
          </w:tcPr>
          <w:p>
            <w:pPr>
              <w:jc w:val="right"/>
              <w:spacing w:after="0"/>
              <w:rPr>
                <w:sz w:val="20"/>
                <w:szCs w:val="20"/>
                <w:color w:val="auto"/>
              </w:rPr>
            </w:pPr>
            <w:r>
              <w:rPr>
                <w:rFonts w:ascii="Arial" w:cs="Arial" w:eastAsia="Arial" w:hAnsi="Arial"/>
                <w:sz w:val="18"/>
                <w:szCs w:val="18"/>
                <w:color w:val="auto"/>
              </w:rPr>
              <w:t>73.5</w:t>
            </w:r>
          </w:p>
        </w:tc>
      </w:tr>
    </w:tbl>
    <w:p>
      <w:pPr>
        <w:spacing w:after="0" w:line="200" w:lineRule="exact"/>
        <w:rPr>
          <w:sz w:val="20"/>
          <w:szCs w:val="20"/>
          <w:color w:val="auto"/>
        </w:rPr>
      </w:pPr>
    </w:p>
    <w:p>
      <w:pPr>
        <w:spacing w:after="0" w:line="27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Debt net of cash.</w:t>
      </w:r>
    </w:p>
    <w:p>
      <w:pPr>
        <w:spacing w:after="0" w:line="63" w:lineRule="exact"/>
        <w:rPr>
          <w:rFonts w:ascii="Arial" w:cs="Arial" w:eastAsia="Arial" w:hAnsi="Arial"/>
          <w:sz w:val="18"/>
          <w:szCs w:val="18"/>
          <w:i w:val="1"/>
          <w:iCs w:val="1"/>
          <w:color w:val="auto"/>
        </w:rPr>
      </w:pPr>
    </w:p>
    <w:p>
      <w:pPr>
        <w:jc w:val="both"/>
        <w:ind w:left="180" w:hanging="172"/>
        <w:spacing w:after="0" w:line="264" w:lineRule="auto"/>
        <w:tabs>
          <w:tab w:leader="none" w:pos="546"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Regular employees are defined as active executive, management, professional, technical and wage employees who work full time or part time for the Corporation and are covered by the Corporation’s benefit plans and programs. Regular employees do not include employees of the company-operated retail sites (CORS). The number of CORS employees is not significant.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Listed below are definitions of several of ExxonMobil’s key business and financial performance measures. These definitions are provided to facilitate understanding of the terms and their calculation.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Operations and Asset Sales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from both operating the Corporation’s assets and from the divesting of assets. The Corporation employs a long-standing and regular disciplined review process to ensure that all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flow from operations and asset sales</w:t>
            </w: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184"/>
        </w:trPr>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tcPr>
          <w:p>
            <w:pPr>
              <w:jc w:val="right"/>
              <w:ind w:right="297"/>
              <w:spacing w:after="0"/>
              <w:rPr>
                <w:sz w:val="20"/>
                <w:szCs w:val="20"/>
                <w:color w:val="auto"/>
              </w:rPr>
            </w:pPr>
            <w:r>
              <w:rPr>
                <w:rFonts w:ascii="Arial" w:cs="Arial" w:eastAsia="Arial" w:hAnsi="Arial"/>
                <w:sz w:val="14"/>
                <w:szCs w:val="14"/>
                <w:i w:val="1"/>
                <w:iCs w:val="1"/>
                <w:color w:val="auto"/>
              </w:rPr>
              <w:t>(millions of dollars)</w:t>
            </w:r>
          </w:p>
        </w:tc>
        <w:tc>
          <w:tcPr>
            <w:tcW w:w="920" w:type="dxa"/>
            <w:vAlign w:val="bottom"/>
          </w:tcPr>
          <w:p>
            <w:pPr>
              <w:spacing w:after="0"/>
              <w:rPr>
                <w:sz w:val="16"/>
                <w:szCs w:val="16"/>
                <w:color w:val="auto"/>
              </w:rPr>
            </w:pPr>
          </w:p>
        </w:tc>
      </w:tr>
      <w:tr>
        <w:trPr>
          <w:trHeight w:val="443"/>
        </w:trPr>
        <w:tc>
          <w:tcPr>
            <w:tcW w:w="76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29,716</w:t>
            </w:r>
          </w:p>
        </w:tc>
        <w:tc>
          <w:tcPr>
            <w:tcW w:w="1800" w:type="dxa"/>
            <w:vAlign w:val="bottom"/>
          </w:tcPr>
          <w:p>
            <w:pPr>
              <w:jc w:val="right"/>
              <w:ind w:right="517"/>
              <w:spacing w:after="0"/>
              <w:rPr>
                <w:sz w:val="20"/>
                <w:szCs w:val="20"/>
                <w:color w:val="auto"/>
              </w:rPr>
            </w:pPr>
            <w:r>
              <w:rPr>
                <w:rFonts w:ascii="Arial" w:cs="Arial" w:eastAsia="Arial" w:hAnsi="Arial"/>
                <w:sz w:val="18"/>
                <w:szCs w:val="18"/>
                <w:color w:val="auto"/>
              </w:rPr>
              <w:t>36,014</w:t>
            </w:r>
          </w:p>
        </w:tc>
        <w:tc>
          <w:tcPr>
            <w:tcW w:w="920" w:type="dxa"/>
            <w:vAlign w:val="bottom"/>
          </w:tcPr>
          <w:p>
            <w:pPr>
              <w:jc w:val="right"/>
              <w:spacing w:after="0"/>
              <w:rPr>
                <w:sz w:val="20"/>
                <w:szCs w:val="20"/>
                <w:color w:val="auto"/>
              </w:rPr>
            </w:pPr>
            <w:r>
              <w:rPr>
                <w:rFonts w:ascii="Arial" w:cs="Arial" w:eastAsia="Arial" w:hAnsi="Arial"/>
                <w:sz w:val="18"/>
                <w:szCs w:val="18"/>
                <w:color w:val="auto"/>
              </w:rPr>
              <w:t>30,066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Proceeds associated with sales of subsidiaries, property, plant and equipment,</w:t>
            </w:r>
          </w:p>
        </w:tc>
        <w:tc>
          <w:tcPr>
            <w:tcW w:w="1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7660" w:type="dxa"/>
            <w:vAlign w:val="bottom"/>
          </w:tcPr>
          <w:p>
            <w:pPr>
              <w:ind w:left="240"/>
              <w:spacing w:after="0"/>
              <w:rPr>
                <w:sz w:val="20"/>
                <w:szCs w:val="20"/>
                <w:color w:val="auto"/>
              </w:rPr>
            </w:pPr>
            <w:r>
              <w:rPr>
                <w:rFonts w:ascii="Arial" w:cs="Arial" w:eastAsia="Arial" w:hAnsi="Arial"/>
                <w:sz w:val="18"/>
                <w:szCs w:val="18"/>
                <w:color w:val="auto"/>
              </w:rPr>
              <w:t>and sales and returns of investments</w:t>
            </w: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3,692</w:t>
            </w:r>
          </w:p>
        </w:tc>
        <w:tc>
          <w:tcPr>
            <w:tcW w:w="18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4,123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r>
      <w:tr>
        <w:trPr>
          <w:trHeight w:val="210"/>
        </w:trPr>
        <w:tc>
          <w:tcPr>
            <w:tcW w:w="7660" w:type="dxa"/>
            <w:vAlign w:val="bottom"/>
          </w:tcPr>
          <w:p>
            <w:pPr>
              <w:ind w:left="240"/>
              <w:spacing w:after="0"/>
              <w:rPr>
                <w:sz w:val="20"/>
                <w:szCs w:val="20"/>
                <w:color w:val="auto"/>
              </w:rPr>
            </w:pPr>
            <w:r>
              <w:rPr>
                <w:rFonts w:ascii="Arial" w:cs="Arial" w:eastAsia="Arial" w:hAnsi="Arial"/>
                <w:sz w:val="18"/>
                <w:szCs w:val="18"/>
                <w:color w:val="auto"/>
              </w:rPr>
              <w:t>Cash flow from operations and asset sales</w:t>
            </w: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33,408</w:t>
            </w:r>
          </w:p>
        </w:tc>
        <w:tc>
          <w:tcPr>
            <w:tcW w:w="18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40,137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Employed</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Capital employed</w:t>
            </w:r>
          </w:p>
        </w:tc>
        <w:tc>
          <w:tcPr>
            <w:tcW w:w="33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7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184"/>
        </w:trPr>
        <w:tc>
          <w:tcPr>
            <w:tcW w:w="5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tcPr>
          <w:p>
            <w:pPr>
              <w:jc w:val="right"/>
              <w:ind w:right="233"/>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r>
      <w:tr>
        <w:trPr>
          <w:trHeight w:val="227"/>
        </w:trPr>
        <w:tc>
          <w:tcPr>
            <w:tcW w:w="5420" w:type="dxa"/>
            <w:vAlign w:val="bottom"/>
          </w:tcPr>
          <w:p>
            <w:pPr>
              <w:spacing w:after="0"/>
              <w:rPr>
                <w:sz w:val="20"/>
                <w:szCs w:val="20"/>
                <w:color w:val="auto"/>
              </w:rPr>
            </w:pPr>
            <w:r>
              <w:rPr>
                <w:rFonts w:ascii="Arial" w:cs="Arial" w:eastAsia="Arial" w:hAnsi="Arial"/>
                <w:sz w:val="18"/>
                <w:szCs w:val="18"/>
                <w:color w:val="auto"/>
              </w:rPr>
              <w:t>Business uses: asset and liability perspective</w:t>
            </w:r>
          </w:p>
        </w:tc>
        <w:tc>
          <w:tcPr>
            <w:tcW w:w="2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Total assets</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362,597</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346,196</w:t>
            </w:r>
          </w:p>
        </w:tc>
        <w:tc>
          <w:tcPr>
            <w:tcW w:w="980" w:type="dxa"/>
            <w:vAlign w:val="bottom"/>
          </w:tcPr>
          <w:p>
            <w:pPr>
              <w:jc w:val="right"/>
              <w:spacing w:after="0"/>
              <w:rPr>
                <w:sz w:val="20"/>
                <w:szCs w:val="20"/>
                <w:color w:val="auto"/>
              </w:rPr>
            </w:pPr>
            <w:r>
              <w:rPr>
                <w:rFonts w:ascii="Arial" w:cs="Arial" w:eastAsia="Arial" w:hAnsi="Arial"/>
                <w:sz w:val="18"/>
                <w:szCs w:val="18"/>
                <w:color w:val="auto"/>
              </w:rPr>
              <w:t>348,691</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4"/>
              </w:rPr>
              <w:t>Less liabilities and noncontrolling interests share of assets and liabilities</w:t>
            </w: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20" w:type="dxa"/>
            <w:vAlign w:val="bottom"/>
          </w:tcPr>
          <w:p>
            <w:pPr>
              <w:ind w:left="240"/>
              <w:spacing w:after="0"/>
              <w:rPr>
                <w:sz w:val="20"/>
                <w:szCs w:val="20"/>
                <w:color w:val="auto"/>
              </w:rPr>
            </w:pPr>
            <w:r>
              <w:rPr>
                <w:rFonts w:ascii="Arial" w:cs="Arial" w:eastAsia="Arial" w:hAnsi="Arial"/>
                <w:sz w:val="18"/>
                <w:szCs w:val="18"/>
                <w:color w:val="auto"/>
              </w:rPr>
              <w:t>Total current liabilities excluding notes and loans payable</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(43,411)</w:t>
            </w:r>
          </w:p>
        </w:tc>
        <w:tc>
          <w:tcPr>
            <w:tcW w:w="1720" w:type="dxa"/>
            <w:vAlign w:val="bottom"/>
          </w:tcPr>
          <w:p>
            <w:pPr>
              <w:jc w:val="right"/>
              <w:ind w:right="413"/>
              <w:spacing w:after="0"/>
              <w:rPr>
                <w:sz w:val="20"/>
                <w:szCs w:val="20"/>
                <w:color w:val="auto"/>
              </w:rPr>
            </w:pPr>
            <w:r>
              <w:rPr>
                <w:rFonts w:ascii="Arial" w:cs="Arial" w:eastAsia="Arial" w:hAnsi="Arial"/>
                <w:sz w:val="18"/>
                <w:szCs w:val="18"/>
                <w:color w:val="auto"/>
              </w:rPr>
              <w:t>(39,880)</w:t>
            </w:r>
          </w:p>
        </w:tc>
        <w:tc>
          <w:tcPr>
            <w:tcW w:w="980" w:type="dxa"/>
            <w:vAlign w:val="bottom"/>
          </w:tcPr>
          <w:p>
            <w:pPr>
              <w:jc w:val="right"/>
              <w:spacing w:after="0"/>
              <w:rPr>
                <w:sz w:val="20"/>
                <w:szCs w:val="20"/>
                <w:color w:val="auto"/>
              </w:rPr>
            </w:pPr>
            <w:r>
              <w:rPr>
                <w:rFonts w:ascii="Arial" w:cs="Arial" w:eastAsia="Arial" w:hAnsi="Arial"/>
                <w:sz w:val="18"/>
                <w:szCs w:val="18"/>
                <w:color w:val="auto"/>
              </w:rPr>
              <w:t>(39,841)</w:t>
            </w:r>
          </w:p>
        </w:tc>
      </w:tr>
      <w:tr>
        <w:trPr>
          <w:trHeight w:val="216"/>
        </w:trPr>
        <w:tc>
          <w:tcPr>
            <w:tcW w:w="5420" w:type="dxa"/>
            <w:vAlign w:val="bottom"/>
          </w:tcPr>
          <w:p>
            <w:pPr>
              <w:ind w:left="240"/>
              <w:spacing w:after="0"/>
              <w:rPr>
                <w:sz w:val="20"/>
                <w:szCs w:val="20"/>
                <w:color w:val="auto"/>
              </w:rPr>
            </w:pPr>
            <w:r>
              <w:rPr>
                <w:rFonts w:ascii="Arial" w:cs="Arial" w:eastAsia="Arial" w:hAnsi="Arial"/>
                <w:sz w:val="18"/>
                <w:szCs w:val="18"/>
                <w:color w:val="auto"/>
              </w:rPr>
              <w:t>Total long-term liabilities excluding long-term debt</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(73,328)</w:t>
            </w:r>
          </w:p>
        </w:tc>
        <w:tc>
          <w:tcPr>
            <w:tcW w:w="1720" w:type="dxa"/>
            <w:vAlign w:val="bottom"/>
          </w:tcPr>
          <w:p>
            <w:pPr>
              <w:jc w:val="right"/>
              <w:ind w:right="413"/>
              <w:spacing w:after="0"/>
              <w:rPr>
                <w:sz w:val="20"/>
                <w:szCs w:val="20"/>
                <w:color w:val="auto"/>
              </w:rPr>
            </w:pPr>
            <w:r>
              <w:rPr>
                <w:rFonts w:ascii="Arial" w:cs="Arial" w:eastAsia="Arial" w:hAnsi="Arial"/>
                <w:sz w:val="18"/>
                <w:szCs w:val="18"/>
                <w:color w:val="auto"/>
              </w:rPr>
              <w:t>(69,992)</w:t>
            </w:r>
          </w:p>
        </w:tc>
        <w:tc>
          <w:tcPr>
            <w:tcW w:w="980" w:type="dxa"/>
            <w:vAlign w:val="bottom"/>
          </w:tcPr>
          <w:p>
            <w:pPr>
              <w:jc w:val="right"/>
              <w:spacing w:after="0"/>
              <w:rPr>
                <w:sz w:val="20"/>
                <w:szCs w:val="20"/>
                <w:color w:val="auto"/>
              </w:rPr>
            </w:pPr>
            <w:r>
              <w:rPr>
                <w:rFonts w:ascii="Arial" w:cs="Arial" w:eastAsia="Arial" w:hAnsi="Arial"/>
                <w:sz w:val="18"/>
                <w:szCs w:val="18"/>
                <w:color w:val="auto"/>
              </w:rPr>
              <w:t>(72,014)</w:t>
            </w:r>
          </w:p>
        </w:tc>
      </w:tr>
      <w:tr>
        <w:trPr>
          <w:trHeight w:val="216"/>
        </w:trPr>
        <w:tc>
          <w:tcPr>
            <w:tcW w:w="5420" w:type="dxa"/>
            <w:vAlign w:val="bottom"/>
          </w:tcPr>
          <w:p>
            <w:pPr>
              <w:ind w:left="240"/>
              <w:spacing w:after="0"/>
              <w:rPr>
                <w:sz w:val="20"/>
                <w:szCs w:val="20"/>
                <w:color w:val="auto"/>
              </w:rPr>
            </w:pPr>
            <w:r>
              <w:rPr>
                <w:rFonts w:ascii="Arial" w:cs="Arial" w:eastAsia="Arial" w:hAnsi="Arial"/>
                <w:sz w:val="18"/>
                <w:szCs w:val="18"/>
                <w:color w:val="auto"/>
              </w:rPr>
              <w:t>Noncontrolling interests share of assets and liabilities</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(8,839)</w:t>
            </w:r>
          </w:p>
        </w:tc>
        <w:tc>
          <w:tcPr>
            <w:tcW w:w="1720" w:type="dxa"/>
            <w:vAlign w:val="bottom"/>
          </w:tcPr>
          <w:p>
            <w:pPr>
              <w:jc w:val="right"/>
              <w:ind w:right="413"/>
              <w:spacing w:after="0"/>
              <w:rPr>
                <w:sz w:val="20"/>
                <w:szCs w:val="20"/>
                <w:color w:val="auto"/>
              </w:rPr>
            </w:pPr>
            <w:r>
              <w:rPr>
                <w:rFonts w:ascii="Arial" w:cs="Arial" w:eastAsia="Arial" w:hAnsi="Arial"/>
                <w:sz w:val="18"/>
                <w:szCs w:val="18"/>
                <w:color w:val="auto"/>
              </w:rPr>
              <w:t>(7,958)</w:t>
            </w:r>
          </w:p>
        </w:tc>
        <w:tc>
          <w:tcPr>
            <w:tcW w:w="980" w:type="dxa"/>
            <w:vAlign w:val="bottom"/>
          </w:tcPr>
          <w:p>
            <w:pPr>
              <w:jc w:val="right"/>
              <w:spacing w:after="0"/>
              <w:rPr>
                <w:sz w:val="20"/>
                <w:szCs w:val="20"/>
                <w:color w:val="auto"/>
              </w:rPr>
            </w:pPr>
            <w:r>
              <w:rPr>
                <w:rFonts w:ascii="Arial" w:cs="Arial" w:eastAsia="Arial" w:hAnsi="Arial"/>
                <w:sz w:val="18"/>
                <w:szCs w:val="18"/>
                <w:color w:val="auto"/>
              </w:rPr>
              <w:t>(8,298)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Add ExxonMobil share of debt-financed equity company net assets</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3,906</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3,914</w:t>
            </w: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10"/>
        </w:trPr>
        <w:tc>
          <w:tcPr>
            <w:tcW w:w="5420" w:type="dxa"/>
            <w:vAlign w:val="bottom"/>
          </w:tcPr>
          <w:p>
            <w:pPr>
              <w:ind w:left="240"/>
              <w:spacing w:after="0"/>
              <w:rPr>
                <w:sz w:val="20"/>
                <w:szCs w:val="20"/>
                <w:color w:val="auto"/>
              </w:rPr>
            </w:pPr>
            <w:r>
              <w:rPr>
                <w:rFonts w:ascii="Arial" w:cs="Arial" w:eastAsia="Arial" w:hAnsi="Arial"/>
                <w:sz w:val="18"/>
                <w:szCs w:val="18"/>
                <w:color w:val="auto"/>
              </w:rPr>
              <w:t>Total capital employed</w:t>
            </w:r>
          </w:p>
        </w:tc>
        <w:tc>
          <w:tcPr>
            <w:tcW w:w="2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240,925</w:t>
            </w:r>
          </w:p>
        </w:tc>
        <w:tc>
          <w:tcPr>
            <w:tcW w:w="17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8"/>
                <w:szCs w:val="18"/>
                <w:color w:val="auto"/>
              </w:rPr>
              <w:t>232,280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232,467</w:t>
            </w:r>
          </w:p>
        </w:tc>
      </w:tr>
      <w:tr>
        <w:trPr>
          <w:trHeight w:val="411"/>
        </w:trPr>
        <w:tc>
          <w:tcPr>
            <w:tcW w:w="5420" w:type="dxa"/>
            <w:vAlign w:val="bottom"/>
          </w:tcPr>
          <w:p>
            <w:pPr>
              <w:spacing w:after="0"/>
              <w:rPr>
                <w:sz w:val="20"/>
                <w:szCs w:val="20"/>
                <w:color w:val="auto"/>
              </w:rPr>
            </w:pPr>
            <w:r>
              <w:rPr>
                <w:rFonts w:ascii="Arial" w:cs="Arial" w:eastAsia="Arial" w:hAnsi="Arial"/>
                <w:sz w:val="18"/>
                <w:szCs w:val="18"/>
                <w:color w:val="auto"/>
              </w:rPr>
              <w:t>Total corporate sources: debt and equity perspective</w:t>
            </w: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Notes and loans payable</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20,578</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17,258</w:t>
            </w:r>
          </w:p>
        </w:tc>
        <w:tc>
          <w:tcPr>
            <w:tcW w:w="980" w:type="dxa"/>
            <w:vAlign w:val="bottom"/>
          </w:tcPr>
          <w:p>
            <w:pPr>
              <w:jc w:val="right"/>
              <w:spacing w:after="0"/>
              <w:rPr>
                <w:sz w:val="20"/>
                <w:szCs w:val="20"/>
                <w:color w:val="auto"/>
              </w:rPr>
            </w:pPr>
            <w:r>
              <w:rPr>
                <w:rFonts w:ascii="Arial" w:cs="Arial" w:eastAsia="Arial" w:hAnsi="Arial"/>
                <w:sz w:val="18"/>
                <w:szCs w:val="18"/>
                <w:color w:val="auto"/>
              </w:rPr>
              <w:t>17,930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Long-term debt</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26,342</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20,538</w:t>
            </w:r>
          </w:p>
        </w:tc>
        <w:tc>
          <w:tcPr>
            <w:tcW w:w="980" w:type="dxa"/>
            <w:vAlign w:val="bottom"/>
          </w:tcPr>
          <w:p>
            <w:pPr>
              <w:jc w:val="right"/>
              <w:spacing w:after="0"/>
              <w:rPr>
                <w:sz w:val="20"/>
                <w:szCs w:val="20"/>
                <w:color w:val="auto"/>
              </w:rPr>
            </w:pPr>
            <w:r>
              <w:rPr>
                <w:rFonts w:ascii="Arial" w:cs="Arial" w:eastAsia="Arial" w:hAnsi="Arial"/>
                <w:sz w:val="18"/>
                <w:szCs w:val="18"/>
                <w:color w:val="auto"/>
              </w:rPr>
              <w:t>24,406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ExxonMobil share of equity</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191,650</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191,794</w:t>
            </w:r>
          </w:p>
        </w:tc>
        <w:tc>
          <w:tcPr>
            <w:tcW w:w="980" w:type="dxa"/>
            <w:vAlign w:val="bottom"/>
          </w:tcPr>
          <w:p>
            <w:pPr>
              <w:jc w:val="right"/>
              <w:spacing w:after="0"/>
              <w:rPr>
                <w:sz w:val="20"/>
                <w:szCs w:val="20"/>
                <w:color w:val="auto"/>
              </w:rPr>
            </w:pPr>
            <w:r>
              <w:rPr>
                <w:rFonts w:ascii="Arial" w:cs="Arial" w:eastAsia="Arial" w:hAnsi="Arial"/>
                <w:sz w:val="18"/>
                <w:szCs w:val="18"/>
                <w:color w:val="auto"/>
              </w:rPr>
              <w:t>187,688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noncontrolling interests share of total debt</w:t>
            </w:r>
          </w:p>
        </w:tc>
        <w:tc>
          <w:tcPr>
            <w:tcW w:w="3300" w:type="dxa"/>
            <w:vAlign w:val="bottom"/>
            <w:gridSpan w:val="2"/>
          </w:tcPr>
          <w:p>
            <w:pPr>
              <w:jc w:val="right"/>
              <w:ind w:right="150"/>
              <w:spacing w:after="0"/>
              <w:rPr>
                <w:sz w:val="20"/>
                <w:szCs w:val="20"/>
                <w:color w:val="auto"/>
              </w:rPr>
            </w:pPr>
            <w:r>
              <w:rPr>
                <w:rFonts w:ascii="Arial" w:cs="Arial" w:eastAsia="Arial" w:hAnsi="Arial"/>
                <w:sz w:val="18"/>
                <w:szCs w:val="18"/>
                <w:color w:val="auto"/>
              </w:rPr>
              <w:t>(1,551)</w:t>
            </w:r>
          </w:p>
        </w:tc>
        <w:tc>
          <w:tcPr>
            <w:tcW w:w="1720" w:type="dxa"/>
            <w:vAlign w:val="bottom"/>
          </w:tcPr>
          <w:p>
            <w:pPr>
              <w:jc w:val="right"/>
              <w:ind w:right="413"/>
              <w:spacing w:after="0"/>
              <w:rPr>
                <w:sz w:val="20"/>
                <w:szCs w:val="20"/>
                <w:color w:val="auto"/>
              </w:rPr>
            </w:pPr>
            <w:r>
              <w:rPr>
                <w:rFonts w:ascii="Arial" w:cs="Arial" w:eastAsia="Arial" w:hAnsi="Arial"/>
                <w:sz w:val="18"/>
                <w:szCs w:val="18"/>
                <w:color w:val="auto"/>
              </w:rPr>
              <w:t>(1,224)</w:t>
            </w:r>
          </w:p>
        </w:tc>
        <w:tc>
          <w:tcPr>
            <w:tcW w:w="98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Add ExxonMobil share of equity company debt</w:t>
            </w:r>
          </w:p>
        </w:tc>
        <w:tc>
          <w:tcPr>
            <w:tcW w:w="3300" w:type="dxa"/>
            <w:vAlign w:val="bottom"/>
            <w:gridSpan w:val="2"/>
          </w:tcPr>
          <w:p>
            <w:pPr>
              <w:jc w:val="right"/>
              <w:ind w:right="210"/>
              <w:spacing w:after="0"/>
              <w:rPr>
                <w:sz w:val="20"/>
                <w:szCs w:val="20"/>
                <w:color w:val="auto"/>
              </w:rPr>
            </w:pPr>
            <w:r>
              <w:rPr>
                <w:rFonts w:ascii="Arial" w:cs="Arial" w:eastAsia="Arial" w:hAnsi="Arial"/>
                <w:sz w:val="18"/>
                <w:szCs w:val="18"/>
                <w:color w:val="auto"/>
              </w:rPr>
              <w:t>3,906</w:t>
            </w:r>
          </w:p>
        </w:tc>
        <w:tc>
          <w:tcPr>
            <w:tcW w:w="1720" w:type="dxa"/>
            <w:vAlign w:val="bottom"/>
          </w:tcPr>
          <w:p>
            <w:pPr>
              <w:jc w:val="right"/>
              <w:ind w:right="453"/>
              <w:spacing w:after="0"/>
              <w:rPr>
                <w:sz w:val="20"/>
                <w:szCs w:val="20"/>
                <w:color w:val="auto"/>
              </w:rPr>
            </w:pPr>
            <w:r>
              <w:rPr>
                <w:rFonts w:ascii="Arial" w:cs="Arial" w:eastAsia="Arial" w:hAnsi="Arial"/>
                <w:sz w:val="18"/>
                <w:szCs w:val="18"/>
                <w:color w:val="auto"/>
              </w:rPr>
              <w:t>3,914</w:t>
            </w: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10"/>
        </w:trPr>
        <w:tc>
          <w:tcPr>
            <w:tcW w:w="5420" w:type="dxa"/>
            <w:vAlign w:val="bottom"/>
          </w:tcPr>
          <w:p>
            <w:pPr>
              <w:ind w:left="240"/>
              <w:spacing w:after="0"/>
              <w:rPr>
                <w:sz w:val="20"/>
                <w:szCs w:val="20"/>
                <w:color w:val="auto"/>
              </w:rPr>
            </w:pPr>
            <w:r>
              <w:rPr>
                <w:rFonts w:ascii="Arial" w:cs="Arial" w:eastAsia="Arial" w:hAnsi="Arial"/>
                <w:sz w:val="18"/>
                <w:szCs w:val="18"/>
                <w:color w:val="auto"/>
              </w:rPr>
              <w:t>Total capital employed</w:t>
            </w:r>
          </w:p>
        </w:tc>
        <w:tc>
          <w:tcPr>
            <w:tcW w:w="2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240,925</w:t>
            </w:r>
          </w:p>
        </w:tc>
        <w:tc>
          <w:tcPr>
            <w:tcW w:w="17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8"/>
                <w:szCs w:val="18"/>
                <w:color w:val="auto"/>
              </w:rPr>
              <w:t>232,280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232,467</w:t>
            </w:r>
          </w:p>
        </w:tc>
      </w:tr>
      <w:tr>
        <w:trPr>
          <w:trHeight w:val="223"/>
        </w:trPr>
        <w:tc>
          <w:tcPr>
            <w:tcW w:w="5420" w:type="dxa"/>
            <w:vAlign w:val="bottom"/>
          </w:tcPr>
          <w:p>
            <w:pPr>
              <w:spacing w:after="0"/>
              <w:rPr>
                <w:sz w:val="19"/>
                <w:szCs w:val="19"/>
                <w:color w:val="auto"/>
              </w:rPr>
            </w:pPr>
          </w:p>
        </w:tc>
        <w:tc>
          <w:tcPr>
            <w:tcW w:w="2240" w:type="dxa"/>
            <w:vAlign w:val="bottom"/>
          </w:tcPr>
          <w:p>
            <w:pPr>
              <w:jc w:val="right"/>
              <w:ind w:right="1771"/>
              <w:spacing w:after="0"/>
              <w:rPr>
                <w:sz w:val="20"/>
                <w:szCs w:val="20"/>
                <w:color w:val="auto"/>
              </w:rPr>
            </w:pPr>
            <w:r>
              <w:rPr>
                <w:rFonts w:ascii="Arial" w:cs="Arial" w:eastAsia="Arial" w:hAnsi="Arial"/>
                <w:sz w:val="18"/>
                <w:szCs w:val="18"/>
                <w:color w:val="auto"/>
              </w:rPr>
              <w:t>38</w:t>
            </w:r>
          </w:p>
        </w:tc>
        <w:tc>
          <w:tcPr>
            <w:tcW w:w="1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22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FREQUENTLY USED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Capital Employed</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the best measure of historical capital productivity in our capital-intensive, long-term industry, both to evaluate management’s performance and to demonstrate to shareholders that capital has been used wisely over the long term. Additional measures, which are more cash flow based, are used to make investment decisions.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Return on average capital employed</w:t>
            </w:r>
          </w:p>
        </w:tc>
        <w:tc>
          <w:tcPr>
            <w:tcW w:w="40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r>
      <w:tr>
        <w:trPr>
          <w:trHeight w:val="184"/>
        </w:trPr>
        <w:tc>
          <w:tcPr>
            <w:tcW w:w="4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jc w:val="right"/>
              <w:ind w:right="214"/>
              <w:spacing w:after="0"/>
              <w:rPr>
                <w:sz w:val="20"/>
                <w:szCs w:val="20"/>
                <w:color w:val="auto"/>
              </w:rPr>
            </w:pPr>
            <w:r>
              <w:rPr>
                <w:rFonts w:ascii="Arial" w:cs="Arial" w:eastAsia="Arial" w:hAnsi="Arial"/>
                <w:sz w:val="14"/>
                <w:szCs w:val="14"/>
                <w:i w:val="1"/>
                <w:iCs w:val="1"/>
                <w:color w:val="auto"/>
              </w:rPr>
              <w:t>(millions of dollars)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43"/>
        </w:trPr>
        <w:tc>
          <w:tcPr>
            <w:tcW w:w="4720" w:type="dxa"/>
            <w:vAlign w:val="bottom"/>
          </w:tcPr>
          <w:p>
            <w:pPr>
              <w:spacing w:after="0"/>
              <w:rPr>
                <w:sz w:val="20"/>
                <w:szCs w:val="20"/>
                <w:color w:val="auto"/>
              </w:rPr>
            </w:pPr>
            <w:r>
              <w:rPr>
                <w:rFonts w:ascii="Arial" w:cs="Arial" w:eastAsia="Arial" w:hAnsi="Arial"/>
                <w:sz w:val="18"/>
                <w:szCs w:val="18"/>
                <w:color w:val="auto"/>
              </w:rPr>
              <w:t>Net income attributable to ExxonMobil</w:t>
            </w:r>
          </w:p>
        </w:tc>
        <w:tc>
          <w:tcPr>
            <w:tcW w:w="4080" w:type="dxa"/>
            <w:vAlign w:val="bottom"/>
            <w:gridSpan w:val="2"/>
          </w:tcPr>
          <w:p>
            <w:pPr>
              <w:jc w:val="right"/>
              <w:ind w:right="170"/>
              <w:spacing w:after="0"/>
              <w:rPr>
                <w:sz w:val="20"/>
                <w:szCs w:val="20"/>
                <w:color w:val="auto"/>
              </w:rPr>
            </w:pPr>
            <w:r>
              <w:rPr>
                <w:rFonts w:ascii="Arial" w:cs="Arial" w:eastAsia="Arial" w:hAnsi="Arial"/>
                <w:sz w:val="18"/>
                <w:szCs w:val="18"/>
                <w:color w:val="auto"/>
              </w:rPr>
              <w:t>14,340</w:t>
            </w: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20,840</w:t>
            </w:r>
          </w:p>
        </w:tc>
        <w:tc>
          <w:tcPr>
            <w:tcW w:w="940" w:type="dxa"/>
            <w:vAlign w:val="bottom"/>
          </w:tcPr>
          <w:p>
            <w:pPr>
              <w:jc w:val="right"/>
              <w:spacing w:after="0"/>
              <w:rPr>
                <w:sz w:val="20"/>
                <w:szCs w:val="20"/>
                <w:color w:val="auto"/>
              </w:rPr>
            </w:pPr>
            <w:r>
              <w:rPr>
                <w:rFonts w:ascii="Arial" w:cs="Arial" w:eastAsia="Arial" w:hAnsi="Arial"/>
                <w:sz w:val="18"/>
                <w:szCs w:val="18"/>
                <w:color w:val="auto"/>
              </w:rPr>
              <w:t>19,710</w:t>
            </w:r>
          </w:p>
        </w:tc>
        <w:tc>
          <w:tcPr>
            <w:tcW w:w="20" w:type="dxa"/>
            <w:vAlign w:val="bottom"/>
          </w:tcPr>
          <w:p>
            <w:pPr>
              <w:spacing w:after="0"/>
              <w:rPr>
                <w:sz w:val="24"/>
                <w:szCs w:val="24"/>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Financing costs (after tax)</w:t>
            </w:r>
          </w:p>
        </w:tc>
        <w:tc>
          <w:tcPr>
            <w:tcW w:w="3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Gross third-party debt</w:t>
            </w:r>
          </w:p>
        </w:tc>
        <w:tc>
          <w:tcPr>
            <w:tcW w:w="4080" w:type="dxa"/>
            <w:vAlign w:val="bottom"/>
            <w:gridSpan w:val="2"/>
          </w:tcPr>
          <w:p>
            <w:pPr>
              <w:jc w:val="right"/>
              <w:ind w:right="130"/>
              <w:spacing w:after="0"/>
              <w:rPr>
                <w:sz w:val="20"/>
                <w:szCs w:val="20"/>
                <w:color w:val="auto"/>
              </w:rPr>
            </w:pPr>
            <w:r>
              <w:rPr>
                <w:rFonts w:ascii="Arial" w:cs="Arial" w:eastAsia="Arial" w:hAnsi="Arial"/>
                <w:sz w:val="18"/>
                <w:szCs w:val="18"/>
                <w:color w:val="auto"/>
              </w:rPr>
              <w:t>(1,075)</w:t>
            </w:r>
          </w:p>
        </w:tc>
        <w:tc>
          <w:tcPr>
            <w:tcW w:w="1680" w:type="dxa"/>
            <w:vAlign w:val="bottom"/>
          </w:tcPr>
          <w:p>
            <w:pPr>
              <w:jc w:val="right"/>
              <w:ind w:right="334"/>
              <w:spacing w:after="0"/>
              <w:rPr>
                <w:sz w:val="20"/>
                <w:szCs w:val="20"/>
                <w:color w:val="auto"/>
              </w:rPr>
            </w:pPr>
            <w:r>
              <w:rPr>
                <w:rFonts w:ascii="Arial" w:cs="Arial" w:eastAsia="Arial" w:hAnsi="Arial"/>
                <w:sz w:val="18"/>
                <w:szCs w:val="18"/>
                <w:color w:val="auto"/>
              </w:rPr>
              <w:t>(912)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ExxonMobil share of equity companies</w:t>
            </w:r>
          </w:p>
        </w:tc>
        <w:tc>
          <w:tcPr>
            <w:tcW w:w="4080" w:type="dxa"/>
            <w:vAlign w:val="bottom"/>
            <w:gridSpan w:val="2"/>
          </w:tcPr>
          <w:p>
            <w:pPr>
              <w:jc w:val="right"/>
              <w:ind w:right="130"/>
              <w:spacing w:after="0"/>
              <w:rPr>
                <w:sz w:val="20"/>
                <w:szCs w:val="20"/>
                <w:color w:val="auto"/>
              </w:rPr>
            </w:pPr>
            <w:r>
              <w:rPr>
                <w:rFonts w:ascii="Arial" w:cs="Arial" w:eastAsia="Arial" w:hAnsi="Arial"/>
                <w:sz w:val="18"/>
                <w:szCs w:val="18"/>
                <w:color w:val="auto"/>
              </w:rPr>
              <w:t>(207)</w:t>
            </w:r>
          </w:p>
        </w:tc>
        <w:tc>
          <w:tcPr>
            <w:tcW w:w="1680" w:type="dxa"/>
            <w:vAlign w:val="bottom"/>
          </w:tcPr>
          <w:p>
            <w:pPr>
              <w:jc w:val="right"/>
              <w:ind w:right="334"/>
              <w:spacing w:after="0"/>
              <w:rPr>
                <w:sz w:val="20"/>
                <w:szCs w:val="20"/>
                <w:color w:val="auto"/>
              </w:rPr>
            </w:pPr>
            <w:r>
              <w:rPr>
                <w:rFonts w:ascii="Arial" w:cs="Arial" w:eastAsia="Arial" w:hAnsi="Arial"/>
                <w:sz w:val="18"/>
                <w:szCs w:val="18"/>
                <w:color w:val="auto"/>
              </w:rPr>
              <w:t>(192)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All other financing costs – net</w:t>
            </w:r>
          </w:p>
        </w:tc>
        <w:tc>
          <w:tcPr>
            <w:tcW w:w="4080" w:type="dxa"/>
            <w:vAlign w:val="bottom"/>
            <w:gridSpan w:val="2"/>
          </w:tcPr>
          <w:p>
            <w:pPr>
              <w:jc w:val="right"/>
              <w:ind w:right="170"/>
              <w:spacing w:after="0"/>
              <w:rPr>
                <w:sz w:val="20"/>
                <w:szCs w:val="20"/>
                <w:color w:val="auto"/>
              </w:rPr>
            </w:pPr>
            <w:r>
              <w:rPr>
                <w:rFonts w:ascii="Arial" w:cs="Arial" w:eastAsia="Arial" w:hAnsi="Arial"/>
                <w:sz w:val="18"/>
                <w:szCs w:val="18"/>
                <w:color w:val="auto"/>
              </w:rPr>
              <w:t>141</w:t>
            </w: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498</w:t>
            </w: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20"/>
                <w:szCs w:val="20"/>
                <w:color w:val="auto"/>
              </w:rPr>
            </w:pPr>
          </w:p>
        </w:tc>
      </w:tr>
      <w:tr>
        <w:trPr>
          <w:trHeight w:val="210"/>
        </w:trPr>
        <w:tc>
          <w:tcPr>
            <w:tcW w:w="4720" w:type="dxa"/>
            <w:vAlign w:val="bottom"/>
          </w:tcPr>
          <w:p>
            <w:pPr>
              <w:ind w:left="460"/>
              <w:spacing w:after="0"/>
              <w:rPr>
                <w:sz w:val="20"/>
                <w:szCs w:val="20"/>
                <w:color w:val="auto"/>
              </w:rPr>
            </w:pPr>
            <w:r>
              <w:rPr>
                <w:rFonts w:ascii="Arial" w:cs="Arial" w:eastAsia="Arial" w:hAnsi="Arial"/>
                <w:sz w:val="18"/>
                <w:szCs w:val="18"/>
                <w:color w:val="auto"/>
              </w:rPr>
              <w:t>Total financing costs</w:t>
            </w:r>
          </w:p>
        </w:tc>
        <w:tc>
          <w:tcPr>
            <w:tcW w:w="30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(1,141)</w:t>
            </w:r>
          </w:p>
        </w:tc>
        <w:tc>
          <w:tcPr>
            <w:tcW w:w="16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color w:val="auto"/>
              </w:rPr>
              <w:t>(606)</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0"/>
        </w:trPr>
        <w:tc>
          <w:tcPr>
            <w:tcW w:w="4720" w:type="dxa"/>
            <w:vAlign w:val="bottom"/>
          </w:tcPr>
          <w:p>
            <w:pPr>
              <w:ind w:left="700"/>
              <w:spacing w:after="0"/>
              <w:rPr>
                <w:sz w:val="20"/>
                <w:szCs w:val="20"/>
                <w:color w:val="auto"/>
              </w:rPr>
            </w:pPr>
            <w:r>
              <w:rPr>
                <w:rFonts w:ascii="Arial" w:cs="Arial" w:eastAsia="Arial" w:hAnsi="Arial"/>
                <w:sz w:val="18"/>
                <w:szCs w:val="18"/>
                <w:color w:val="auto"/>
              </w:rPr>
              <w:t>Earnings excluding financing costs</w:t>
            </w:r>
          </w:p>
        </w:tc>
        <w:tc>
          <w:tcPr>
            <w:tcW w:w="3060" w:type="dxa"/>
            <w:vAlign w:val="bottom"/>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15,481</w:t>
            </w: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21,446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20,108</w:t>
            </w:r>
          </w:p>
        </w:tc>
        <w:tc>
          <w:tcPr>
            <w:tcW w:w="20" w:type="dxa"/>
            <w:vAlign w:val="bottom"/>
          </w:tcPr>
          <w:p>
            <w:pPr>
              <w:spacing w:after="0"/>
              <w:rPr>
                <w:sz w:val="18"/>
                <w:szCs w:val="18"/>
                <w:color w:val="auto"/>
              </w:rPr>
            </w:pPr>
          </w:p>
        </w:tc>
      </w:tr>
      <w:tr>
        <w:trPr>
          <w:trHeight w:val="426"/>
        </w:trPr>
        <w:tc>
          <w:tcPr>
            <w:tcW w:w="4720" w:type="dxa"/>
            <w:vAlign w:val="bottom"/>
          </w:tcPr>
          <w:p>
            <w:pPr>
              <w:spacing w:after="0"/>
              <w:rPr>
                <w:sz w:val="20"/>
                <w:szCs w:val="20"/>
                <w:color w:val="auto"/>
              </w:rPr>
            </w:pPr>
            <w:r>
              <w:rPr>
                <w:rFonts w:ascii="Arial" w:cs="Arial" w:eastAsia="Arial" w:hAnsi="Arial"/>
                <w:sz w:val="18"/>
                <w:szCs w:val="18"/>
                <w:color w:val="auto"/>
              </w:rPr>
              <w:t>Average capital employed</w:t>
            </w:r>
          </w:p>
        </w:tc>
        <w:tc>
          <w:tcPr>
            <w:tcW w:w="4080" w:type="dxa"/>
            <w:vAlign w:val="bottom"/>
            <w:gridSpan w:val="2"/>
          </w:tcPr>
          <w:p>
            <w:pPr>
              <w:jc w:val="right"/>
              <w:ind w:right="170"/>
              <w:spacing w:after="0"/>
              <w:rPr>
                <w:sz w:val="20"/>
                <w:szCs w:val="20"/>
                <w:color w:val="auto"/>
              </w:rPr>
            </w:pPr>
            <w:r>
              <w:rPr>
                <w:rFonts w:ascii="Arial" w:cs="Arial" w:eastAsia="Arial" w:hAnsi="Arial"/>
                <w:sz w:val="18"/>
                <w:szCs w:val="18"/>
                <w:color w:val="auto"/>
              </w:rPr>
              <w:t>236,603</w:t>
            </w:r>
          </w:p>
        </w:tc>
        <w:tc>
          <w:tcPr>
            <w:tcW w:w="1680" w:type="dxa"/>
            <w:vAlign w:val="bottom"/>
          </w:tcPr>
          <w:p>
            <w:pPr>
              <w:jc w:val="right"/>
              <w:ind w:right="394"/>
              <w:spacing w:after="0"/>
              <w:rPr>
                <w:sz w:val="20"/>
                <w:szCs w:val="20"/>
                <w:color w:val="auto"/>
              </w:rPr>
            </w:pPr>
            <w:r>
              <w:rPr>
                <w:rFonts w:ascii="Arial" w:cs="Arial" w:eastAsia="Arial" w:hAnsi="Arial"/>
                <w:sz w:val="18"/>
                <w:szCs w:val="18"/>
                <w:color w:val="auto"/>
              </w:rPr>
              <w:t>232,374</w:t>
            </w:r>
          </w:p>
        </w:tc>
        <w:tc>
          <w:tcPr>
            <w:tcW w:w="940" w:type="dxa"/>
            <w:vAlign w:val="bottom"/>
          </w:tcPr>
          <w:p>
            <w:pPr>
              <w:jc w:val="right"/>
              <w:spacing w:after="0"/>
              <w:rPr>
                <w:sz w:val="20"/>
                <w:szCs w:val="20"/>
                <w:color w:val="auto"/>
              </w:rPr>
            </w:pPr>
            <w:r>
              <w:rPr>
                <w:rFonts w:ascii="Arial" w:cs="Arial" w:eastAsia="Arial" w:hAnsi="Arial"/>
                <w:sz w:val="18"/>
                <w:szCs w:val="18"/>
                <w:color w:val="auto"/>
              </w:rPr>
              <w:t>222,631</w:t>
            </w:r>
          </w:p>
        </w:tc>
        <w:tc>
          <w:tcPr>
            <w:tcW w:w="20" w:type="dxa"/>
            <w:vAlign w:val="bottom"/>
          </w:tcPr>
          <w:p>
            <w:pPr>
              <w:spacing w:after="0"/>
              <w:rPr>
                <w:sz w:val="24"/>
                <w:szCs w:val="24"/>
                <w:color w:val="auto"/>
              </w:rPr>
            </w:pP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Return on average capital employed – corporate total</w:t>
            </w:r>
          </w:p>
        </w:tc>
        <w:tc>
          <w:tcPr>
            <w:tcW w:w="4080" w:type="dxa"/>
            <w:vAlign w:val="bottom"/>
            <w:gridSpan w:val="2"/>
          </w:tcPr>
          <w:p>
            <w:pPr>
              <w:jc w:val="right"/>
              <w:ind w:right="130"/>
              <w:spacing w:after="0"/>
              <w:rPr>
                <w:sz w:val="20"/>
                <w:szCs w:val="20"/>
                <w:color w:val="auto"/>
              </w:rPr>
            </w:pPr>
            <w:r>
              <w:rPr>
                <w:rFonts w:ascii="Arial" w:cs="Arial" w:eastAsia="Arial" w:hAnsi="Arial"/>
                <w:sz w:val="18"/>
                <w:szCs w:val="18"/>
                <w:color w:val="auto"/>
              </w:rPr>
              <w:t>6.5%</w:t>
            </w:r>
          </w:p>
        </w:tc>
        <w:tc>
          <w:tcPr>
            <w:tcW w:w="1680" w:type="dxa"/>
            <w:vAlign w:val="bottom"/>
          </w:tcPr>
          <w:p>
            <w:pPr>
              <w:jc w:val="right"/>
              <w:ind w:right="334"/>
              <w:spacing w:after="0"/>
              <w:rPr>
                <w:sz w:val="20"/>
                <w:szCs w:val="20"/>
                <w:color w:val="auto"/>
              </w:rPr>
            </w:pPr>
            <w:r>
              <w:rPr>
                <w:rFonts w:ascii="Arial" w:cs="Arial" w:eastAsia="Arial" w:hAnsi="Arial"/>
                <w:sz w:val="18"/>
                <w:szCs w:val="18"/>
                <w:color w:val="auto"/>
              </w:rPr>
              <w:t>9.2%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689"/>
        </w:trPr>
        <w:tc>
          <w:tcPr>
            <w:tcW w:w="4720" w:type="dxa"/>
            <w:vAlign w:val="bottom"/>
          </w:tcPr>
          <w:p>
            <w:pPr>
              <w:spacing w:after="0"/>
              <w:rPr>
                <w:sz w:val="24"/>
                <w:szCs w:val="24"/>
                <w:color w:val="auto"/>
              </w:rPr>
            </w:pPr>
          </w:p>
        </w:tc>
        <w:tc>
          <w:tcPr>
            <w:tcW w:w="3060" w:type="dxa"/>
            <w:vAlign w:val="bottom"/>
          </w:tcPr>
          <w:p>
            <w:pPr>
              <w:jc w:val="right"/>
              <w:ind w:right="1892"/>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720" w:type="dxa"/>
            <w:vAlign w:val="bottom"/>
            <w:tcBorders>
              <w:bottom w:val="single" w:sz="8" w:color="9A9A9A"/>
            </w:tcBorders>
          </w:tcPr>
          <w:p>
            <w:pPr>
              <w:spacing w:after="0"/>
              <w:rPr>
                <w:sz w:val="17"/>
                <w:szCs w:val="17"/>
                <w:color w:val="auto"/>
              </w:rPr>
            </w:pPr>
          </w:p>
        </w:tc>
        <w:tc>
          <w:tcPr>
            <w:tcW w:w="30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QUARTERLY INFORMATION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23495</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9" w:lineRule="exact"/>
        <w:rPr>
          <w:sz w:val="20"/>
          <w:szCs w:val="20"/>
          <w:color w:val="auto"/>
        </w:rPr>
      </w:pPr>
    </w:p>
    <w:tbl>
      <w:tblPr>
        <w:tblLayout w:type="fixed"/>
        <w:tblInd w:w="3120" w:type="dxa"/>
        <w:tblCellMar>
          <w:top w:w="0" w:type="dxa"/>
          <w:left w:w="0" w:type="dxa"/>
          <w:bottom w:w="0" w:type="dxa"/>
          <w:right w:w="0" w:type="dxa"/>
        </w:tblCellMar>
      </w:tblPr>
      <w:tr>
        <w:trPr>
          <w:trHeight w:val="176"/>
        </w:trPr>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First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c>
          <w:tcPr>
            <w:tcW w:w="500" w:type="dxa"/>
            <w:vAlign w:val="bottom"/>
          </w:tcPr>
          <w:p>
            <w:pPr>
              <w:spacing w:after="0"/>
              <w:rPr>
                <w:sz w:val="15"/>
                <w:szCs w:val="15"/>
                <w:color w:val="auto"/>
              </w:rPr>
            </w:pPr>
          </w:p>
        </w:tc>
      </w:tr>
      <w:tr>
        <w:trPr>
          <w:trHeight w:val="213"/>
        </w:trPr>
        <w:tc>
          <w:tcPr>
            <w:tcW w:w="66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92"/>
              </w:rPr>
              <w:t>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4507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23495</wp:posOffset>
            </wp:positionV>
            <wp:extent cx="25812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First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c>
          <w:tcPr>
            <w:tcW w:w="500" w:type="dxa"/>
            <w:vAlign w:val="bottom"/>
          </w:tcPr>
          <w:p>
            <w:pPr>
              <w:spacing w:after="0"/>
              <w:rPr>
                <w:sz w:val="15"/>
                <w:szCs w:val="15"/>
                <w:color w:val="auto"/>
              </w:rPr>
            </w:pPr>
          </w:p>
        </w:tc>
      </w:tr>
      <w:tr>
        <w:trPr>
          <w:trHeight w:val="213"/>
        </w:trPr>
        <w:tc>
          <w:tcPr>
            <w:tcW w:w="660" w:type="dxa"/>
            <w:vAlign w:val="bottom"/>
          </w:tcPr>
          <w:p>
            <w:pPr>
              <w:jc w:val="center"/>
              <w:ind w:right="68"/>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92"/>
              </w:rPr>
              <w:t>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-8890</wp:posOffset>
            </wp:positionV>
            <wp:extent cx="25812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80" w:space="720"/>
            <w:col w:w="3920"/>
          </w:cols>
          <w:pgMar w:left="240" w:top="33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Volumes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Production of crude oil,</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gridSpan w:val="2"/>
          </w:tcPr>
          <w:p>
            <w:pPr>
              <w:jc w:val="center"/>
              <w:ind w:right="239"/>
              <w:spacing w:after="0"/>
              <w:rPr>
                <w:sz w:val="20"/>
                <w:szCs w:val="20"/>
                <w:color w:val="auto"/>
              </w:rPr>
            </w:pPr>
            <w:r>
              <w:rPr>
                <w:rFonts w:ascii="Arial" w:cs="Arial" w:eastAsia="Arial" w:hAnsi="Arial"/>
                <w:sz w:val="14"/>
                <w:szCs w:val="14"/>
                <w:i w:val="1"/>
                <w:iCs w:val="1"/>
                <w:color w:val="auto"/>
                <w:w w:val="94"/>
              </w:rPr>
              <w:t>(thousands of barrels daily)</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720" w:type="dxa"/>
            <w:vAlign w:val="bottom"/>
          </w:tcPr>
          <w:p>
            <w:pPr>
              <w:ind w:left="220"/>
              <w:spacing w:after="0"/>
              <w:rPr>
                <w:sz w:val="20"/>
                <w:szCs w:val="20"/>
                <w:color w:val="auto"/>
              </w:rPr>
            </w:pPr>
            <w:r>
              <w:rPr>
                <w:rFonts w:ascii="Arial" w:cs="Arial" w:eastAsia="Arial" w:hAnsi="Arial"/>
                <w:sz w:val="16"/>
                <w:szCs w:val="16"/>
                <w:color w:val="auto"/>
              </w:rPr>
              <w:t>natural gas liquids,</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2,327</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2,389</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2,392</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2,436</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2,386</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2,216</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2,212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2,286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2,348</w:t>
            </w:r>
          </w:p>
        </w:tc>
        <w:tc>
          <w:tcPr>
            <w:tcW w:w="660" w:type="dxa"/>
            <w:vAlign w:val="bottom"/>
          </w:tcPr>
          <w:p>
            <w:pPr>
              <w:jc w:val="right"/>
              <w:spacing w:after="0"/>
              <w:rPr>
                <w:sz w:val="20"/>
                <w:szCs w:val="20"/>
                <w:color w:val="auto"/>
              </w:rPr>
            </w:pPr>
            <w:r>
              <w:rPr>
                <w:rFonts w:ascii="Arial" w:cs="Arial" w:eastAsia="Arial" w:hAnsi="Arial"/>
                <w:sz w:val="16"/>
                <w:szCs w:val="16"/>
                <w:color w:val="auto"/>
              </w:rPr>
              <w:t>2,266</w:t>
            </w:r>
          </w:p>
        </w:tc>
      </w:tr>
      <w:tr>
        <w:trPr>
          <w:trHeight w:val="203"/>
        </w:trPr>
        <w:tc>
          <w:tcPr>
            <w:tcW w:w="2720" w:type="dxa"/>
            <w:vAlign w:val="bottom"/>
          </w:tcPr>
          <w:p>
            <w:pPr>
              <w:ind w:left="220"/>
              <w:spacing w:after="0"/>
              <w:rPr>
                <w:sz w:val="20"/>
                <w:szCs w:val="20"/>
                <w:color w:val="auto"/>
              </w:rPr>
            </w:pPr>
            <w:r>
              <w:rPr>
                <w:rFonts w:ascii="Arial" w:cs="Arial" w:eastAsia="Arial" w:hAnsi="Arial"/>
                <w:sz w:val="16"/>
                <w:szCs w:val="16"/>
                <w:color w:val="auto"/>
              </w:rPr>
              <w:t>synthetic oil and bitumen</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Refinery throughput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3,886</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3,930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4,052</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4,053</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3,981</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4,293</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4,105</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4,392</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4,298</w:t>
            </w:r>
          </w:p>
        </w:tc>
        <w:tc>
          <w:tcPr>
            <w:tcW w:w="660" w:type="dxa"/>
            <w:vAlign w:val="bottom"/>
          </w:tcPr>
          <w:p>
            <w:pPr>
              <w:jc w:val="right"/>
              <w:spacing w:after="0"/>
              <w:rPr>
                <w:sz w:val="20"/>
                <w:szCs w:val="20"/>
                <w:color w:val="auto"/>
              </w:rPr>
            </w:pPr>
            <w:r>
              <w:rPr>
                <w:rFonts w:ascii="Arial" w:cs="Arial" w:eastAsia="Arial" w:hAnsi="Arial"/>
                <w:sz w:val="16"/>
                <w:szCs w:val="16"/>
                <w:color w:val="auto"/>
              </w:rPr>
              <w:t>4,272</w:t>
            </w: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 xml:space="preserve">Petroleum product sales </w:t>
            </w:r>
            <w:r>
              <w:rPr>
                <w:rFonts w:ascii="Arial" w:cs="Arial" w:eastAsia="Arial" w:hAnsi="Arial"/>
                <w:sz w:val="14"/>
                <w:szCs w:val="14"/>
                <w:i w:val="1"/>
                <w:iCs w:val="1"/>
                <w:color w:val="auto"/>
              </w:rPr>
              <w:t>(1)</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5,415</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5,408</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5,504</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5,482</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5,452</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5,432</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5,502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5,616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5,495</w:t>
            </w:r>
          </w:p>
        </w:tc>
        <w:tc>
          <w:tcPr>
            <w:tcW w:w="660" w:type="dxa"/>
            <w:vAlign w:val="bottom"/>
          </w:tcPr>
          <w:p>
            <w:pPr>
              <w:jc w:val="right"/>
              <w:spacing w:after="0"/>
              <w:rPr>
                <w:sz w:val="20"/>
                <w:szCs w:val="20"/>
                <w:color w:val="auto"/>
              </w:rPr>
            </w:pPr>
            <w:r>
              <w:rPr>
                <w:rFonts w:ascii="Arial" w:cs="Arial" w:eastAsia="Arial" w:hAnsi="Arial"/>
                <w:sz w:val="16"/>
                <w:szCs w:val="16"/>
                <w:color w:val="auto"/>
              </w:rPr>
              <w:t>5,512</w:t>
            </w:r>
          </w:p>
        </w:tc>
      </w:tr>
      <w:tr>
        <w:trPr>
          <w:trHeight w:val="401"/>
        </w:trPr>
        <w:tc>
          <w:tcPr>
            <w:tcW w:w="2720" w:type="dxa"/>
            <w:vAlign w:val="bottom"/>
          </w:tcPr>
          <w:p>
            <w:pPr>
              <w:spacing w:after="0"/>
              <w:rPr>
                <w:sz w:val="20"/>
                <w:szCs w:val="20"/>
                <w:color w:val="auto"/>
              </w:rPr>
            </w:pPr>
            <w:r>
              <w:rPr>
                <w:rFonts w:ascii="Arial" w:cs="Arial" w:eastAsia="Arial" w:hAnsi="Arial"/>
                <w:sz w:val="16"/>
                <w:szCs w:val="16"/>
                <w:color w:val="auto"/>
              </w:rPr>
              <w:t>Natural gas production</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gridSpan w:val="2"/>
          </w:tcPr>
          <w:p>
            <w:pPr>
              <w:jc w:val="center"/>
              <w:ind w:right="239"/>
              <w:spacing w:after="0"/>
              <w:rPr>
                <w:sz w:val="20"/>
                <w:szCs w:val="20"/>
                <w:color w:val="auto"/>
              </w:rPr>
            </w:pPr>
            <w:r>
              <w:rPr>
                <w:rFonts w:ascii="Arial" w:cs="Arial" w:eastAsia="Arial" w:hAnsi="Arial"/>
                <w:sz w:val="14"/>
                <w:szCs w:val="14"/>
                <w:i w:val="1"/>
                <w:iCs w:val="1"/>
                <w:color w:val="auto"/>
                <w:w w:val="97"/>
              </w:rPr>
              <w:t>(millions of cubic feet daily)</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6"/>
        </w:trPr>
        <w:tc>
          <w:tcPr>
            <w:tcW w:w="2720" w:type="dxa"/>
            <w:vAlign w:val="bottom"/>
          </w:tcPr>
          <w:p>
            <w:pPr>
              <w:ind w:left="220"/>
              <w:spacing w:after="0"/>
              <w:rPr>
                <w:sz w:val="20"/>
                <w:szCs w:val="20"/>
                <w:color w:val="auto"/>
              </w:rPr>
            </w:pPr>
            <w:r>
              <w:rPr>
                <w:rFonts w:ascii="Arial" w:cs="Arial" w:eastAsia="Arial" w:hAnsi="Arial"/>
                <w:sz w:val="16"/>
                <w:szCs w:val="16"/>
                <w:color w:val="auto"/>
              </w:rPr>
              <w:t>available for sale</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9,924</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9,120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9,045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9,495</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9,394</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10,038</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8,613</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9,001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9,974</w:t>
            </w:r>
          </w:p>
        </w:tc>
        <w:tc>
          <w:tcPr>
            <w:tcW w:w="660" w:type="dxa"/>
            <w:vAlign w:val="bottom"/>
          </w:tcPr>
          <w:p>
            <w:pPr>
              <w:jc w:val="right"/>
              <w:spacing w:after="0"/>
              <w:rPr>
                <w:sz w:val="20"/>
                <w:szCs w:val="20"/>
                <w:color w:val="auto"/>
              </w:rPr>
            </w:pPr>
            <w:r>
              <w:rPr>
                <w:rFonts w:ascii="Arial" w:cs="Arial" w:eastAsia="Arial" w:hAnsi="Arial"/>
                <w:sz w:val="16"/>
                <w:szCs w:val="16"/>
                <w:color w:val="auto"/>
              </w:rPr>
              <w:t>9,405</w:t>
            </w:r>
          </w:p>
        </w:tc>
      </w:tr>
      <w:tr>
        <w:trPr>
          <w:trHeight w:val="399"/>
        </w:trPr>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20" w:type="dxa"/>
            <w:vAlign w:val="bottom"/>
            <w:gridSpan w:val="3"/>
          </w:tcPr>
          <w:p>
            <w:pPr>
              <w:jc w:val="center"/>
              <w:ind w:left="360"/>
              <w:spacing w:after="0"/>
              <w:rPr>
                <w:sz w:val="20"/>
                <w:szCs w:val="20"/>
                <w:color w:val="auto"/>
              </w:rPr>
            </w:pPr>
            <w:r>
              <w:rPr>
                <w:rFonts w:ascii="Arial" w:cs="Arial" w:eastAsia="Arial" w:hAnsi="Arial"/>
                <w:sz w:val="14"/>
                <w:szCs w:val="14"/>
                <w:i w:val="1"/>
                <w:iCs w:val="1"/>
                <w:color w:val="auto"/>
                <w:w w:val="95"/>
              </w:rPr>
              <w:t>(thousands of oil-equivalent barrels daily)</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2720" w:type="dxa"/>
            <w:vAlign w:val="bottom"/>
          </w:tcPr>
          <w:p>
            <w:pPr>
              <w:spacing w:after="0"/>
              <w:rPr>
                <w:sz w:val="20"/>
                <w:szCs w:val="20"/>
                <w:color w:val="auto"/>
              </w:rPr>
            </w:pPr>
            <w:r>
              <w:rPr>
                <w:rFonts w:ascii="Arial" w:cs="Arial" w:eastAsia="Arial" w:hAnsi="Arial"/>
                <w:sz w:val="16"/>
                <w:szCs w:val="16"/>
                <w:color w:val="auto"/>
              </w:rPr>
              <w:t xml:space="preserve">Oil-equivalent production </w:t>
            </w:r>
            <w:r>
              <w:rPr>
                <w:rFonts w:ascii="Arial" w:cs="Arial" w:eastAsia="Arial" w:hAnsi="Arial"/>
                <w:sz w:val="14"/>
                <w:szCs w:val="14"/>
                <w:i w:val="1"/>
                <w:iCs w:val="1"/>
                <w:color w:val="auto"/>
              </w:rPr>
              <w:t>(2)</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3,981</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3,909</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3,899</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4,018</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3,952</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3,889</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3,647</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3,786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4,010</w:t>
            </w:r>
          </w:p>
        </w:tc>
        <w:tc>
          <w:tcPr>
            <w:tcW w:w="660" w:type="dxa"/>
            <w:vAlign w:val="bottom"/>
          </w:tcPr>
          <w:p>
            <w:pPr>
              <w:jc w:val="right"/>
              <w:spacing w:after="0"/>
              <w:rPr>
                <w:sz w:val="20"/>
                <w:szCs w:val="20"/>
                <w:color w:val="auto"/>
              </w:rPr>
            </w:pPr>
            <w:r>
              <w:rPr>
                <w:rFonts w:ascii="Arial" w:cs="Arial" w:eastAsia="Arial" w:hAnsi="Arial"/>
                <w:sz w:val="16"/>
                <w:szCs w:val="16"/>
                <w:color w:val="auto"/>
              </w:rPr>
              <w:t>3,833</w:t>
            </w:r>
          </w:p>
        </w:tc>
      </w:tr>
      <w:tr>
        <w:trPr>
          <w:trHeight w:val="399"/>
        </w:trPr>
        <w:tc>
          <w:tcPr>
            <w:tcW w:w="2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gridSpan w:val="2"/>
          </w:tcPr>
          <w:p>
            <w:pPr>
              <w:jc w:val="center"/>
              <w:ind w:right="239"/>
              <w:spacing w:after="0"/>
              <w:rPr>
                <w:sz w:val="20"/>
                <w:szCs w:val="20"/>
                <w:color w:val="auto"/>
              </w:rPr>
            </w:pPr>
            <w:r>
              <w:rPr>
                <w:rFonts w:ascii="Arial" w:cs="Arial" w:eastAsia="Arial" w:hAnsi="Arial"/>
                <w:sz w:val="14"/>
                <w:szCs w:val="14"/>
                <w:i w:val="1"/>
                <w:iCs w:val="1"/>
                <w:color w:val="auto"/>
                <w:w w:val="93"/>
              </w:rPr>
              <w:t>(thousands of metric tons)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2720" w:type="dxa"/>
            <w:vAlign w:val="bottom"/>
          </w:tcPr>
          <w:p>
            <w:pPr>
              <w:spacing w:after="0"/>
              <w:rPr>
                <w:sz w:val="20"/>
                <w:szCs w:val="20"/>
                <w:color w:val="auto"/>
              </w:rPr>
            </w:pPr>
            <w:r>
              <w:rPr>
                <w:rFonts w:ascii="Arial" w:cs="Arial" w:eastAsia="Arial" w:hAnsi="Arial"/>
                <w:sz w:val="16"/>
                <w:szCs w:val="16"/>
                <w:color w:val="auto"/>
              </w:rPr>
              <w:t xml:space="preserve">Chemical prime product sales </w:t>
            </w:r>
            <w:r>
              <w:rPr>
                <w:rFonts w:ascii="Arial" w:cs="Arial" w:eastAsia="Arial" w:hAnsi="Arial"/>
                <w:sz w:val="14"/>
                <w:szCs w:val="14"/>
                <w:i w:val="1"/>
                <w:iCs w:val="1"/>
                <w:color w:val="auto"/>
              </w:rPr>
              <w:t>(1)</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6,772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6,699</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6,476</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6,569</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26,516</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6,668</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6,852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6,677</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6,672</w:t>
            </w:r>
          </w:p>
        </w:tc>
        <w:tc>
          <w:tcPr>
            <w:tcW w:w="660" w:type="dxa"/>
            <w:vAlign w:val="bottom"/>
          </w:tcPr>
          <w:p>
            <w:pPr>
              <w:jc w:val="right"/>
              <w:spacing w:after="0"/>
              <w:rPr>
                <w:sz w:val="20"/>
                <w:szCs w:val="20"/>
                <w:color w:val="auto"/>
              </w:rPr>
            </w:pPr>
            <w:r>
              <w:rPr>
                <w:rFonts w:ascii="Arial" w:cs="Arial" w:eastAsia="Arial" w:hAnsi="Arial"/>
                <w:sz w:val="16"/>
                <w:szCs w:val="16"/>
                <w:color w:val="auto"/>
              </w:rPr>
              <w:t>26,869</w:t>
            </w:r>
          </w:p>
        </w:tc>
      </w:tr>
      <w:tr>
        <w:trPr>
          <w:trHeight w:val="401"/>
        </w:trPr>
        <w:tc>
          <w:tcPr>
            <w:tcW w:w="2720" w:type="dxa"/>
            <w:vAlign w:val="bottom"/>
          </w:tcPr>
          <w:p>
            <w:pPr>
              <w:spacing w:after="0"/>
              <w:rPr>
                <w:sz w:val="20"/>
                <w:szCs w:val="20"/>
                <w:color w:val="auto"/>
              </w:rPr>
            </w:pPr>
            <w:r>
              <w:rPr>
                <w:rFonts w:ascii="Arial" w:cs="Arial" w:eastAsia="Arial" w:hAnsi="Arial"/>
                <w:sz w:val="16"/>
                <w:szCs w:val="16"/>
                <w:b w:val="1"/>
                <w:bCs w:val="1"/>
                <w:color w:val="auto"/>
              </w:rPr>
              <w:t>Summarized financial data</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Sales and other operating</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gridSpan w:val="2"/>
          </w:tcPr>
          <w:p>
            <w:pPr>
              <w:jc w:val="center"/>
              <w:ind w:right="239"/>
              <w:spacing w:after="0"/>
              <w:rPr>
                <w:sz w:val="20"/>
                <w:szCs w:val="20"/>
                <w:color w:val="auto"/>
              </w:rPr>
            </w:pPr>
            <w:r>
              <w:rPr>
                <w:rFonts w:ascii="Arial" w:cs="Arial" w:eastAsia="Arial" w:hAnsi="Arial"/>
                <w:sz w:val="14"/>
                <w:szCs w:val="14"/>
                <w:i w:val="1"/>
                <w:iCs w:val="1"/>
                <w:color w:val="auto"/>
                <w:w w:val="99"/>
              </w:rPr>
              <w:t>(millions of dollars)</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720" w:type="dxa"/>
            <w:vAlign w:val="bottom"/>
          </w:tcPr>
          <w:p>
            <w:pPr>
              <w:ind w:left="22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61,646</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67,491</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63,422</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63,024</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255,583</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65,436</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71,456</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74,187</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68,253</w:t>
            </w:r>
          </w:p>
        </w:tc>
        <w:tc>
          <w:tcPr>
            <w:tcW w:w="660" w:type="dxa"/>
            <w:vAlign w:val="bottom"/>
          </w:tcPr>
          <w:p>
            <w:pPr>
              <w:jc w:val="right"/>
              <w:spacing w:after="0"/>
              <w:rPr>
                <w:sz w:val="20"/>
                <w:szCs w:val="20"/>
                <w:color w:val="auto"/>
              </w:rPr>
            </w:pPr>
            <w:r>
              <w:rPr>
                <w:rFonts w:ascii="Arial" w:cs="Arial" w:eastAsia="Arial" w:hAnsi="Arial"/>
                <w:sz w:val="16"/>
                <w:szCs w:val="16"/>
                <w:color w:val="auto"/>
              </w:rPr>
              <w:t>279,332</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 xml:space="preserve">Gross profit </w:t>
            </w:r>
            <w:r>
              <w:rPr>
                <w:rFonts w:ascii="Arial" w:cs="Arial" w:eastAsia="Arial" w:hAnsi="Arial"/>
                <w:sz w:val="14"/>
                <w:szCs w:val="14"/>
                <w:i w:val="1"/>
                <w:iCs w:val="1"/>
                <w:color w:val="auto"/>
              </w:rPr>
              <w:t>(3)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13,304</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14,396</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14,411</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13,847</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55,958</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16,187</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16,622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18,656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16,268</w:t>
            </w:r>
          </w:p>
        </w:tc>
        <w:tc>
          <w:tcPr>
            <w:tcW w:w="660" w:type="dxa"/>
            <w:vAlign w:val="bottom"/>
          </w:tcPr>
          <w:p>
            <w:pPr>
              <w:jc w:val="right"/>
              <w:spacing w:after="0"/>
              <w:rPr>
                <w:sz w:val="20"/>
                <w:szCs w:val="20"/>
                <w:color w:val="auto"/>
              </w:rPr>
            </w:pPr>
            <w:r>
              <w:rPr>
                <w:rFonts w:ascii="Arial" w:cs="Arial" w:eastAsia="Arial" w:hAnsi="Arial"/>
                <w:sz w:val="16"/>
                <w:szCs w:val="16"/>
                <w:color w:val="auto"/>
              </w:rPr>
              <w:t>67,733</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Net income attributable to</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2720" w:type="dxa"/>
            <w:vAlign w:val="bottom"/>
          </w:tcPr>
          <w:p>
            <w:pPr>
              <w:ind w:left="220"/>
              <w:spacing w:after="0"/>
              <w:rPr>
                <w:sz w:val="20"/>
                <w:szCs w:val="20"/>
                <w:color w:val="auto"/>
              </w:rPr>
            </w:pPr>
            <w:r>
              <w:rPr>
                <w:rFonts w:ascii="Arial" w:cs="Arial" w:eastAsia="Arial" w:hAnsi="Arial"/>
                <w:sz w:val="16"/>
                <w:szCs w:val="16"/>
                <w:color w:val="auto"/>
              </w:rPr>
              <w:t xml:space="preserve">ExxonMobil </w:t>
            </w:r>
            <w:r>
              <w:rPr>
                <w:rFonts w:ascii="Arial" w:cs="Arial" w:eastAsia="Arial" w:hAnsi="Arial"/>
                <w:sz w:val="14"/>
                <w:szCs w:val="14"/>
                <w:i w:val="1"/>
                <w:iCs w:val="1"/>
                <w:color w:val="auto"/>
              </w:rPr>
              <w:t>(4)</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2,350</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3,130</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3,170</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5,690</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14,340</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4,650</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3,950</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6,240</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6,000</w:t>
            </w:r>
          </w:p>
        </w:tc>
        <w:tc>
          <w:tcPr>
            <w:tcW w:w="660" w:type="dxa"/>
            <w:vAlign w:val="bottom"/>
          </w:tcPr>
          <w:p>
            <w:pPr>
              <w:jc w:val="right"/>
              <w:spacing w:after="0"/>
              <w:rPr>
                <w:sz w:val="20"/>
                <w:szCs w:val="20"/>
                <w:color w:val="auto"/>
              </w:rPr>
            </w:pPr>
            <w:r>
              <w:rPr>
                <w:rFonts w:ascii="Arial" w:cs="Arial" w:eastAsia="Arial" w:hAnsi="Arial"/>
                <w:sz w:val="16"/>
                <w:szCs w:val="16"/>
                <w:color w:val="auto"/>
              </w:rPr>
              <w:t>20,840</w:t>
            </w:r>
          </w:p>
        </w:tc>
      </w:tr>
      <w:tr>
        <w:trPr>
          <w:trHeight w:val="401"/>
        </w:trPr>
        <w:tc>
          <w:tcPr>
            <w:tcW w:w="2720" w:type="dxa"/>
            <w:vAlign w:val="bottom"/>
          </w:tcPr>
          <w:p>
            <w:pPr>
              <w:spacing w:after="0"/>
              <w:rPr>
                <w:sz w:val="20"/>
                <w:szCs w:val="20"/>
                <w:color w:val="auto"/>
              </w:rPr>
            </w:pPr>
            <w:r>
              <w:rPr>
                <w:rFonts w:ascii="Arial" w:cs="Arial" w:eastAsia="Arial" w:hAnsi="Arial"/>
                <w:sz w:val="16"/>
                <w:szCs w:val="16"/>
                <w:b w:val="1"/>
                <w:bCs w:val="1"/>
                <w:color w:val="auto"/>
              </w:rPr>
              <w:t>Per share data</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gridSpan w:val="2"/>
          </w:tcPr>
          <w:p>
            <w:pPr>
              <w:jc w:val="center"/>
              <w:ind w:right="239"/>
              <w:spacing w:after="0"/>
              <w:rPr>
                <w:sz w:val="20"/>
                <w:szCs w:val="20"/>
                <w:color w:val="auto"/>
              </w:rPr>
            </w:pPr>
            <w:r>
              <w:rPr>
                <w:rFonts w:ascii="Arial" w:cs="Arial" w:eastAsia="Arial" w:hAnsi="Arial"/>
                <w:sz w:val="14"/>
                <w:szCs w:val="14"/>
                <w:i w:val="1"/>
                <w:iCs w:val="1"/>
                <w:color w:val="auto"/>
                <w:w w:val="95"/>
              </w:rPr>
              <w:t>(dollars per share)</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 xml:space="preserve">Earnings per common share </w:t>
            </w:r>
            <w:r>
              <w:rPr>
                <w:rFonts w:ascii="Arial" w:cs="Arial" w:eastAsia="Arial" w:hAnsi="Arial"/>
                <w:sz w:val="14"/>
                <w:szCs w:val="14"/>
                <w:i w:val="1"/>
                <w:iCs w:val="1"/>
                <w:color w:val="auto"/>
              </w:rPr>
              <w:t>(5)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0.55</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0.73</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0.75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3.36</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0.92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66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Earnings per common share</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6"/>
        </w:trPr>
        <w:tc>
          <w:tcPr>
            <w:tcW w:w="2720" w:type="dxa"/>
            <w:vAlign w:val="bottom"/>
          </w:tcPr>
          <w:p>
            <w:pPr>
              <w:ind w:left="220"/>
              <w:spacing w:after="0"/>
              <w:rPr>
                <w:sz w:val="20"/>
                <w:szCs w:val="20"/>
                <w:color w:val="auto"/>
              </w:rPr>
            </w:pPr>
            <w:r>
              <w:rPr>
                <w:rFonts w:ascii="Arial" w:cs="Arial" w:eastAsia="Arial" w:hAnsi="Arial"/>
                <w:sz w:val="16"/>
                <w:szCs w:val="16"/>
                <w:color w:val="auto"/>
              </w:rPr>
              <w:t xml:space="preserve">– assuming dilution </w:t>
            </w:r>
            <w:r>
              <w:rPr>
                <w:rFonts w:ascii="Arial" w:cs="Arial" w:eastAsia="Arial" w:hAnsi="Arial"/>
                <w:sz w:val="14"/>
                <w:szCs w:val="14"/>
                <w:i w:val="1"/>
                <w:iCs w:val="1"/>
                <w:color w:val="auto"/>
              </w:rPr>
              <w:t>(5)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0.55</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0.73</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0.75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1040" w:type="dxa"/>
            <w:vAlign w:val="bottom"/>
          </w:tcPr>
          <w:p>
            <w:pPr>
              <w:jc w:val="right"/>
              <w:ind w:right="282"/>
              <w:spacing w:after="0"/>
              <w:rPr>
                <w:sz w:val="20"/>
                <w:szCs w:val="20"/>
                <w:color w:val="auto"/>
              </w:rPr>
            </w:pPr>
            <w:r>
              <w:rPr>
                <w:rFonts w:ascii="Arial" w:cs="Arial" w:eastAsia="Arial" w:hAnsi="Arial"/>
                <w:sz w:val="16"/>
                <w:szCs w:val="16"/>
                <w:color w:val="auto"/>
              </w:rPr>
              <w:t>3.36</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0.92</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1.46</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660" w:type="dxa"/>
            <w:vAlign w:val="bottom"/>
          </w:tcPr>
          <w:p>
            <w:pPr>
              <w:jc w:val="right"/>
              <w:spacing w:after="0"/>
              <w:rPr>
                <w:sz w:val="20"/>
                <w:szCs w:val="20"/>
                <w:color w:val="auto"/>
              </w:rPr>
            </w:pPr>
            <w:r>
              <w:rPr>
                <w:rFonts w:ascii="Arial" w:cs="Arial" w:eastAsia="Arial" w:hAnsi="Arial"/>
                <w:sz w:val="16"/>
                <w:szCs w:val="16"/>
                <w:color w:val="auto"/>
              </w:rPr>
              <w:t>4.88</w:t>
            </w:r>
          </w:p>
        </w:tc>
      </w:tr>
    </w:tbl>
    <w:p>
      <w:pPr>
        <w:spacing w:after="0" w:line="21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Petroleum product and chemical prime product sales data reported net of purchases/sales contracts with the same counterparty.</w:t>
      </w:r>
    </w:p>
    <w:p>
      <w:pPr>
        <w:spacing w:after="0" w:line="72" w:lineRule="exact"/>
        <w:rPr>
          <w:rFonts w:ascii="Arial" w:cs="Arial" w:eastAsia="Arial" w:hAnsi="Arial"/>
          <w:sz w:val="16"/>
          <w:szCs w:val="16"/>
          <w:i w:val="1"/>
          <w:iCs w:val="1"/>
          <w:color w:val="auto"/>
        </w:rPr>
      </w:pPr>
    </w:p>
    <w:p>
      <w:pPr>
        <w:ind w:left="520" w:hanging="512"/>
        <w:spacing w:after="0"/>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Natural gas is converted to an oil-equivalent basis at six million cubic feet per one thousand barrels.</w:t>
      </w:r>
    </w:p>
    <w:p>
      <w:pPr>
        <w:spacing w:after="0" w:line="72" w:lineRule="exact"/>
        <w:rPr>
          <w:rFonts w:ascii="Arial" w:cs="Arial" w:eastAsia="Arial" w:hAnsi="Arial"/>
          <w:sz w:val="16"/>
          <w:szCs w:val="16"/>
          <w:i w:val="1"/>
          <w:iCs w:val="1"/>
          <w:color w:val="auto"/>
        </w:rPr>
      </w:pPr>
    </w:p>
    <w:p>
      <w:pPr>
        <w:ind w:left="520" w:hanging="512"/>
        <w:spacing w:after="0"/>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equals sales and other operating revenue less estimated costs associated with products sold.</w:t>
      </w:r>
    </w:p>
    <w:p>
      <w:pPr>
        <w:spacing w:after="0" w:line="72" w:lineRule="exact"/>
        <w:rPr>
          <w:rFonts w:ascii="Arial" w:cs="Arial" w:eastAsia="Arial" w:hAnsi="Arial"/>
          <w:sz w:val="16"/>
          <w:szCs w:val="16"/>
          <w:i w:val="1"/>
          <w:iCs w:val="1"/>
          <w:color w:val="auto"/>
        </w:rPr>
      </w:pPr>
    </w:p>
    <w:p>
      <w:pPr>
        <w:ind w:left="520" w:hanging="512"/>
        <w:spacing w:after="0"/>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Fourth quarter 2019 included a gain of $3,655 million on the sale of non-operated upstream assets in Norway.</w:t>
      </w:r>
    </w:p>
    <w:p>
      <w:pPr>
        <w:spacing w:after="0" w:line="72" w:lineRule="exact"/>
        <w:rPr>
          <w:rFonts w:ascii="Arial" w:cs="Arial" w:eastAsia="Arial" w:hAnsi="Arial"/>
          <w:sz w:val="16"/>
          <w:szCs w:val="16"/>
          <w:i w:val="1"/>
          <w:iCs w:val="1"/>
          <w:color w:val="auto"/>
        </w:rPr>
      </w:pPr>
    </w:p>
    <w:p>
      <w:pPr>
        <w:ind w:left="520" w:hanging="512"/>
        <w:spacing w:after="0"/>
        <w:tabs>
          <w:tab w:leader="none" w:pos="52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Computed using the average number of shares outstanding during each period. The sum of the four quarters may not add to the full year.</w:t>
      </w: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principal market where ExxonMobil common stock (XOM) is traded is the New York Stock Exchange, although the stock is traded on other exchanges in and outside the United States.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354,828 registered shareholders of ExxonMobil common stock at December 31, 2019. At January 31, 2020, the registered shareholders of ExxonMobil common stock numbered 352,585.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 January 29, 2020, the Corporation declared an $0.87 dividend per common share, payable March 10, 2020.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FUNCTIONAL EARNINGS</w:t>
            </w: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5"/>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Earnings (U.S. GAAP)</w:t>
            </w:r>
          </w:p>
        </w:tc>
        <w:tc>
          <w:tcPr>
            <w:tcW w:w="3480" w:type="dxa"/>
            <w:vAlign w:val="bottom"/>
            <w:gridSpan w:val="3"/>
          </w:tcPr>
          <w:p>
            <w:pPr>
              <w:jc w:val="right"/>
              <w:ind w:right="312"/>
              <w:spacing w:after="0"/>
              <w:rPr>
                <w:sz w:val="20"/>
                <w:szCs w:val="20"/>
                <w:color w:val="auto"/>
              </w:rPr>
            </w:pPr>
            <w:r>
              <w:rPr>
                <w:rFonts w:ascii="Arial" w:cs="Arial" w:eastAsia="Arial" w:hAnsi="Arial"/>
                <w:sz w:val="14"/>
                <w:szCs w:val="14"/>
                <w:i w:val="1"/>
                <w:iCs w:val="1"/>
                <w:color w:val="auto"/>
              </w:rPr>
              <w:t>(millions of dollars, except per share amounts)</w:t>
            </w:r>
          </w:p>
        </w:tc>
        <w:tc>
          <w:tcPr>
            <w:tcW w:w="0" w:type="dxa"/>
            <w:vAlign w:val="bottom"/>
          </w:tcPr>
          <w:p>
            <w:pPr>
              <w:spacing w:after="0"/>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Upstream</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536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1,739</w:t>
            </w:r>
          </w:p>
        </w:tc>
        <w:tc>
          <w:tcPr>
            <w:tcW w:w="980" w:type="dxa"/>
            <w:vAlign w:val="bottom"/>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Non-U.S.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13,906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12,340</w:t>
            </w:r>
          </w:p>
        </w:tc>
        <w:tc>
          <w:tcPr>
            <w:tcW w:w="98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Downstream</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1,717</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2,962</w:t>
            </w:r>
          </w:p>
        </w:tc>
        <w:tc>
          <w:tcPr>
            <w:tcW w:w="980" w:type="dxa"/>
            <w:vAlign w:val="bottom"/>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Non-U.S.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606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3,048</w:t>
            </w:r>
          </w:p>
        </w:tc>
        <w:tc>
          <w:tcPr>
            <w:tcW w:w="980" w:type="dxa"/>
            <w:vAlign w:val="bottom"/>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Chemical</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206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1,642</w:t>
            </w:r>
          </w:p>
        </w:tc>
        <w:tc>
          <w:tcPr>
            <w:tcW w:w="980" w:type="dxa"/>
            <w:vAlign w:val="bottom"/>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7940" w:type="dxa"/>
            <w:vAlign w:val="bottom"/>
          </w:tcPr>
          <w:p>
            <w:pPr>
              <w:ind w:left="220"/>
              <w:spacing w:after="0"/>
              <w:rPr>
                <w:sz w:val="20"/>
                <w:szCs w:val="20"/>
                <w:color w:val="auto"/>
              </w:rPr>
            </w:pPr>
            <w:r>
              <w:rPr>
                <w:rFonts w:ascii="Arial" w:cs="Arial" w:eastAsia="Arial" w:hAnsi="Arial"/>
                <w:sz w:val="18"/>
                <w:szCs w:val="18"/>
                <w:color w:val="auto"/>
              </w:rPr>
              <w:t>Non-U.S.</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386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1,709</w:t>
            </w:r>
          </w:p>
        </w:tc>
        <w:tc>
          <w:tcPr>
            <w:tcW w:w="980" w:type="dxa"/>
            <w:vAlign w:val="bottom"/>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Corporate and financing</w:t>
            </w: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(3,017)</w:t>
            </w: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(2,600)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0"/>
        </w:trPr>
        <w:tc>
          <w:tcPr>
            <w:tcW w:w="7940" w:type="dxa"/>
            <w:vAlign w:val="bottom"/>
          </w:tcPr>
          <w:p>
            <w:pPr>
              <w:ind w:left="440"/>
              <w:spacing w:after="0"/>
              <w:rPr>
                <w:sz w:val="20"/>
                <w:szCs w:val="20"/>
                <w:color w:val="auto"/>
              </w:rPr>
            </w:pPr>
            <w:r>
              <w:rPr>
                <w:rFonts w:ascii="Arial" w:cs="Arial" w:eastAsia="Arial" w:hAnsi="Arial"/>
                <w:sz w:val="18"/>
                <w:szCs w:val="18"/>
                <w:color w:val="auto"/>
              </w:rPr>
              <w:t>Net income attributable to ExxonMobil (U.S. GAAP)</w:t>
            </w: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14,340</w:t>
            </w:r>
          </w:p>
        </w:tc>
        <w:tc>
          <w:tcPr>
            <w:tcW w:w="14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20,840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411"/>
        </w:trPr>
        <w:tc>
          <w:tcPr>
            <w:tcW w:w="79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3.36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4.88</w:t>
            </w: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Earnings per common share – assuming dilution</w:t>
            </w: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3.36</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4.88</w:t>
            </w: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References in this discussion to total corporate earnings mean net income attributable to ExxonMobil (U.S. GAAP) from the consolidated income statement. Unless otherwise indicated, references to earnings, Upstream, Downstream, Chemical and Corporate and financing segment earnings, and earnings per share are ExxonMobil’s share after excluding amounts attributable to noncontrolling interests.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in this discussion related to outlooks, projections, goals, targets, descriptions of strategic plans and objectives, and other statements of future events or conditions are forward-looking statements. Actual future results, including business and project plans, capacities, costs, and timing; capital spending; proceeds from asset sales; resource recoveries and production rates; asset carrying values; proved reserves; financing sources; the resolution of contingencies and uncertain tax positions; and the impact of new technologies, including to increase capital efficiency and production and to reduce greenhouse gas emissions, could differ materially due to a number of factors. These include global or regional changes in supply and demand for oil, gas, petrochemicals, feedstocks and other market conditions that impact prices and differentials; reservoir performance; the outcome of exploration projects and timely completion of development and construction projects; the impact of fiscal and commercial terms and the outcome of commercial negotiations or acquisitions; changes in law, taxes, or regulation including environmental regulations, and timely granting of governmental permits; war, trade agreements, shipping blockades or harassment, and other political, public health or security disturbances; opportunities for and regulatory approval of potential investments or divestments; the actions of competitors; the capture of efficiencies between business lines; unforeseen technical or operating difficulties; unexpected technological developments; the ability to bring new technologies to commercial scale on a cost-competitive basis, including large-scale hydraulic fracturing projects; general economic conditions including the occurrence and duration of economic recessions; the results of research programs; and other factors discussed herein and in Item 1A. Risk Factors. We assume no duty to update these statements as of any future date. The term “project” as used in this report can refer to a variety of different activities and does not necessarily have the same meaning as in any government payment transparency reports.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integrated business model involving exploration for, and production of, crude oil and natural gas and manufacture, trade, transport and sale of crude oil, natural gas, petroleum products, petrochemicals and a wide variety of specialty products.</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ExxonMobil, with its resource base, financial strength, disciplined investment approach and technology portfolio, is well-positioned to participate in substantial investments to develop new energy supplies. The company’s integrated business model, with significant investments in Upstream, Downstream and Chemical segments, reduces the Corporation’s risk from changes in commodity prices. While commodity prices depend on supply and demand and may be volatile on a short-term basis, ExxonMobil’s investment decisions are grounded on fundamentals reflected in our long-term business outlook, and use a disciplined approach in selecting and pursuing the most attractive investment opportunities. The corporate plan is a fundamental annual management process that is the basis for setting near-term operating and capital objectives in addition to providing the longer-term economic assumptions used for investment evaluation purposes. Volumes are based on individual field production profiles, which are also updated annually. Price ranges for crude oil, natural gas, refined products, and chemical products are based on corporate plan assumptions developed annually by major region and are utilized for investment evaluation purposes. Major investment opportunities are evaluated over a range of potential market conditions. Once major investments are made, a reappraisal process is completed to ensure relevant lessons are learned and improvements are incorporated into future projects.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RISK ASSESSMENT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Business Outlook</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Long-Term Business Outlook is based on the Corporation’s 2019 </w:t>
      </w:r>
      <w:r>
        <w:rPr>
          <w:rFonts w:ascii="Arial" w:cs="Arial" w:eastAsia="Arial" w:hAnsi="Arial"/>
          <w:sz w:val="18"/>
          <w:szCs w:val="18"/>
          <w:i w:val="1"/>
          <w:iCs w:val="1"/>
          <w:color w:val="auto"/>
        </w:rPr>
        <w:t>Outlook for Energy</w:t>
      </w:r>
      <w:r>
        <w:rPr>
          <w:rFonts w:ascii="Arial" w:cs="Arial" w:eastAsia="Arial" w:hAnsi="Arial"/>
          <w:sz w:val="18"/>
          <w:szCs w:val="18"/>
          <w:color w:val="auto"/>
        </w:rPr>
        <w:t>, which is used to help inform our long term business strategies and investment plans. By 2040, the world’s population is projected at around 9.2 billion people, or about 1.6 billion more than in 2017. Coincident with this population increase, the Corporation expects worldwide economic growth to average close to 3 percent per year, with economic output nearly doubling by 2040. As economies and populations grow, and as living standards improve for billions of people, the need for energy is expected to continue to rise. Even with significant efficiency gains, global energy demand is projected to rise by about 20 percent from 2017 to 2040. This increase in energy demand is expected to be driven by developing countries (i.e., those that are not member nations of the Organisation for Economic Co-operation and Development (OECD)).</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expanding prosperity helps drive global energy demand higher, increasing use of energy efficient technologies and practices as well as lower-emission products will continue to help significantly reduce energy consumption and emissions per unit of economic output over time. Substantial efficiency gains are likely in all key aspects of the world’s economy through 2040, affecting energy requirements for power generation, transportation, industrial applications, and residential and commercial needs.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Global electricity demand is expected to increase approximately 60 percent from 2017 to 2040, with developing countries likely to account for about 85 percent of the increase. Consistent with this projection, power generation is expected to remain the largest and fastest growing major segment of global primary energy demand, supported by a wide variety of energy sources. The share of coal fired generation is likely to decline substantially and approach 25 percent of the world’s electricity in 2040, versus nearly 40 percent in 2017, in part as a result of policies to improve air quality as well as reduce greenhouse gas emissions to address the risks related to climate change. From 2017 to 2040, the amount of electricity supplied using natural gas, nuclear power, and renewables is likely to grow by two thirds, accounting for the entire growth in electricity supplies and offsetting the reduction of coal. Electricity from wind and solar is likely to increase about 400 percent, helping total renewables (including other sources, e.g. hydropower) to account for about 75 percent of the increase in electricity supplies worldwide through 2040. Total renewables will likely reach nearly 40 percent of global electricity supplies by 2040. Natural gas and nuclear are also expected to increase shares over the period to 2040, reaching almost 30 percent and about 15 percent of global electricity supplies respectively by 2040. Supplies of electricity by energy type will reflect significant differences across regions reflecting a wide range of factors including the cost and availability of various energy supplies and policy developments.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Energy for transportation – including cars, trucks, ships, trains and airplanes – is expected to increase more than 25 percent from 2017 to 2040. Transportation energy demand is likely to account for approximately 60 percent of the growth in liquid fuels demand worldwide over this period. Light-duty vehicle demand for liquid fuels is projected to peak prior to 2025 and then decline to levels seen in the early-2010s by 2040 as the impact of better fuel economy and significant growth in electric cars, led by China, Europe, and the United States, work to offset growth in the worldwide car fleet of about 70 percent. By 2040, light-duty vehicles are expected to account for about 20 percent of global liquid fuels demand. During the same time period, nearly all the world’s transportation fleets are likely to continue to run on liquid fuels, which are widely available and offer practical advantages in providing a large quantity of energy in small volumes.</w:t>
      </w:r>
    </w:p>
    <w:p>
      <w:pPr>
        <w:spacing w:after="0" w:line="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Liquid fuels provide the largest share of global energy supplies today reflecting broad-based availability, affordability, ease of transportation, and fitness as a practical solution to meet a wide variety of needs. By 2040, global demand for liquid fuels is projected to grow to approximately 114 million barrels of oil equivalent per day, an increase of about 16 percent from 2017. The non-OECD share of global liquid fuels demand is expected to increase to about 65 percent by 2040, as liquid fuels demand in the OECD is likely to decline by close to 10 percent. Much of the global liquid fuels demand today is met by crude production from traditional conventional sources; these supplies will remain important, and significant development activity is expected to offset much of the natural declines from these fields. At the same time, a variety of emerging supply sources – including tight oil, deepwater, oil sands, natural gas liquids and biofuels – are expected to grow to help meet rising demand. The world’s resource base is sufficient to meet projected demand through 2040 as technology advances continue to expand the availability of economic and lower carbon supply options. However, timely investments will remain critical to meeting global needs with reliable and affordable supplies.</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Natural gas is a low-emission, versatile and practical fuel for a wide variety of applications, and it is expected to grow the most of any primary energy type from 2017 to 2040, meeting more than 40 percent of global energy demand growth. Global natural gas demand is expected to rise about 35 percent from 2017 to 2040, with about half of that increase coming from the Asia Pacific region. Significant growth in supplies of unconventional gas – the natural gas found in shale and other tight rock formations – will help meet these needs. In total, about 60 percent of the growth in natural gas supplies is expected to be from unconventional sources. At the same time, conventionally-produced natural gas is likely to remain the cornerstone of global supply, meeting more than two thirds of worldwide demand in 2040. Liquefied natural gas (LNG) trade will expand significantly, meeting about 40 percent of the increase in global demand growth, with much of this supply expected to help meet rising demand in Asia Pacific.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world’s energy mix is highly diverse and will remain so through 2040. Oil is expected to remain the largest source of energy with its share remaining close to 30 percent in 2040. Coal is currently the second largest source of energy, but it is likely to lose that position to natural gas in the 2020-2025 timeframe. The share of natural gas is expected to reach about 25 percent by 2040, while the share of coal falls to about 20 percent. Nuclear power is projected to grow significantly, as many nations are likely to expand nuclear capacity to address rising electricity needs as well as energy security and environmental issues. Total renewable energy is likely to exceed 15 percent of global energy by 2040, with biomass, hydro and geothermal contributing a combined share of more than 10 percent. Total energy supplied from wind, solar and biofuels is expected to increase rapidly, growing nearly 250 percent from 2017 to 2040, when they will likely be just over 5 percent of the world energy mix.</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Corporation anticipates that the world’s available oil and gas resource base will grow not only from new discoveries, but also from increases in previously discovered fields. Technology will underpin these increases. The investments to develop and supply resources to meet global demand through 2040 will be significant – even if demand remains flat. This reflects a fundamental aspect of the oil and natural gas business as the International Energy Agency (IEA) describes in its </w:t>
      </w:r>
      <w:r>
        <w:rPr>
          <w:rFonts w:ascii="Arial" w:cs="Arial" w:eastAsia="Arial" w:hAnsi="Arial"/>
          <w:sz w:val="18"/>
          <w:szCs w:val="18"/>
          <w:i w:val="1"/>
          <w:iCs w:val="1"/>
          <w:color w:val="auto"/>
        </w:rPr>
        <w:t>World Energy Outlook 2019</w:t>
      </w:r>
      <w:r>
        <w:rPr>
          <w:rFonts w:ascii="Arial" w:cs="Arial" w:eastAsia="Arial" w:hAnsi="Arial"/>
          <w:sz w:val="18"/>
          <w:szCs w:val="18"/>
          <w:color w:val="auto"/>
        </w:rPr>
        <w:t>. According to the IEA’s Stated Energy Policies Scenario, the investment required to meet oil and natural gas supply requirements worldwide over the period 2019-2040 will be about $20 trillion (measured in 2018 dollars). In the IEA’s Sustainable Development Scenario, which is in line with the objectives of the Paris Agreement on climate change, the investment need would still accumulate to $13 trillion.</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International accords and underlying regional and national regulations covering greenhouse gas emissions continue to evolve with uncertain timing and outcome, making it difficult to predict their business impact. For many years, the Corporation has taken into account policies established to reduce energy related greenhouse gas emissions in its long-term </w:t>
      </w:r>
      <w:r>
        <w:rPr>
          <w:rFonts w:ascii="Arial" w:cs="Arial" w:eastAsia="Arial" w:hAnsi="Arial"/>
          <w:sz w:val="17"/>
          <w:szCs w:val="17"/>
          <w:i w:val="1"/>
          <w:iCs w:val="1"/>
          <w:color w:val="auto"/>
        </w:rPr>
        <w:t>Outlook for Energy</w:t>
      </w:r>
      <w:r>
        <w:rPr>
          <w:rFonts w:ascii="Arial" w:cs="Arial" w:eastAsia="Arial" w:hAnsi="Arial"/>
          <w:sz w:val="17"/>
          <w:szCs w:val="17"/>
          <w:color w:val="auto"/>
        </w:rPr>
        <w:t xml:space="preserve">. The climate accord reached at the Conference of the Parties (COP 21) in Paris set many new goals, and many related policies are still emerging. Our </w:t>
      </w:r>
      <w:r>
        <w:rPr>
          <w:rFonts w:ascii="Arial" w:cs="Arial" w:eastAsia="Arial" w:hAnsi="Arial"/>
          <w:sz w:val="17"/>
          <w:szCs w:val="17"/>
          <w:i w:val="1"/>
          <w:iCs w:val="1"/>
          <w:color w:val="auto"/>
        </w:rPr>
        <w:t>Outlook</w:t>
      </w:r>
      <w:r>
        <w:rPr>
          <w:rFonts w:ascii="Arial" w:cs="Arial" w:eastAsia="Arial" w:hAnsi="Arial"/>
          <w:sz w:val="17"/>
          <w:szCs w:val="17"/>
          <w:color w:val="auto"/>
        </w:rPr>
        <w:t xml:space="preserve"> reflects an environment with increasingly stringent climate policies and is consistent with the aggregation of Nationally Determined Contributions, which were submitted by signatories to the United Nations Framework Convention on Climate Change (UNFCCC) 2015 Paris Agreement. Our </w:t>
      </w:r>
      <w:r>
        <w:rPr>
          <w:rFonts w:ascii="Arial" w:cs="Arial" w:eastAsia="Arial" w:hAnsi="Arial"/>
          <w:sz w:val="17"/>
          <w:szCs w:val="17"/>
          <w:i w:val="1"/>
          <w:iCs w:val="1"/>
          <w:color w:val="auto"/>
        </w:rPr>
        <w:t>Outlook</w:t>
      </w:r>
      <w:r>
        <w:rPr>
          <w:rFonts w:ascii="Arial" w:cs="Arial" w:eastAsia="Arial" w:hAnsi="Arial"/>
          <w:sz w:val="17"/>
          <w:szCs w:val="17"/>
          <w:color w:val="auto"/>
        </w:rPr>
        <w:t xml:space="preserve"> seeks to identify potential impacts of climate related policies, which often target specific sectors. It estimates potential impacts of these policies on consumer energy demand by using various assumptions and tools – including, depending on the sector, application of a proxy cost of carbon or assessment of targeted policies (e.g. automotive fuel economy standards). For purposes of the </w:t>
      </w:r>
      <w:r>
        <w:rPr>
          <w:rFonts w:ascii="Arial" w:cs="Arial" w:eastAsia="Arial" w:hAnsi="Arial"/>
          <w:sz w:val="17"/>
          <w:szCs w:val="17"/>
          <w:i w:val="1"/>
          <w:iCs w:val="1"/>
          <w:color w:val="auto"/>
        </w:rPr>
        <w:t>Outlook</w:t>
      </w:r>
      <w:r>
        <w:rPr>
          <w:rFonts w:ascii="Arial" w:cs="Arial" w:eastAsia="Arial" w:hAnsi="Arial"/>
          <w:sz w:val="17"/>
          <w:szCs w:val="17"/>
          <w:color w:val="auto"/>
        </w:rPr>
        <w:t>, a proxy cost on energy-related CO</w:t>
      </w:r>
      <w:r>
        <w:rPr>
          <w:rFonts w:ascii="Arial" w:cs="Arial" w:eastAsia="Arial" w:hAnsi="Arial"/>
          <w:sz w:val="28"/>
          <w:szCs w:val="28"/>
          <w:color w:val="auto"/>
          <w:vertAlign w:val="subscript"/>
        </w:rPr>
        <w:t>2</w:t>
      </w:r>
      <w:r>
        <w:rPr>
          <w:rFonts w:ascii="Arial" w:cs="Arial" w:eastAsia="Arial" w:hAnsi="Arial"/>
          <w:sz w:val="17"/>
          <w:szCs w:val="17"/>
          <w:color w:val="auto"/>
        </w:rPr>
        <w:t xml:space="preserve"> emissions is assumed to reach about $80 per tonne in 2040 in OECD nations. China and other leading non-OECD nations are expected to trail OECD policy initiatives. Nevertheless, as people and nations look for ways to reduce risks of global climate change, they will continue to need practical solutions that do not jeopardize the affordability or reliability of the energy they need.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Practical solutions to the world’s energy and climate challenges will benefit from market competition in addition to well-informed, well-designed, and transparent policy approaches that carefully weigh costs and benefits. Such policies are likely to help manage the risks of climate change while also enabling societies to pursue other high priority goals around the world – including clean air and water, access to reliable, affordable energy, and economic progress for all people. All practical and economically-viable energy sources, both conventional and unconventional, will need to be pursued to continue meeting global energy demand, recognizing the scale and variety of worldwide energy needs as well as the importance of expanding access to modern energy to promote better standards of living for billions of people.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provided in the Long-Term Business Outlook includes ExxonMobil’s internal estimates and forecasts based upon internal data and analyses as well as publicly available information from external sources including the International Energy Agency.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ExxonMobil continues to sustain a diverse growth portfolio of exploration and development opportunities, which enables the Corporation to be selective, maximizing shareholder value and mitigating political and technical risks. ExxonMobil’s fundamental strategies guide our global Upstream business, including capturing material and accretive opportunities to continually high-grade the resource portfolio, selectively developing attractive oil and natural gas resources, developing and applying high-impact technologies, and pursuing productivity and efficiency gains. These strategies are underpinned by a relentless focus on operational excellence, development of our employees, and investment in the communities within which we operate.</w:t>
      </w:r>
    </w:p>
    <w:p>
      <w:pPr>
        <w:spacing w:after="0" w:line="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future development projects and drilling activities bring new production online, the Corporation expects a shift in the geographic mix and in the type of opportunities from which volumes are produced. Based on current investment plans, oil-equivalent production from the Americas is expected to increase to be a majority of total production over the next several years. Further, the proportion of our global production from unconventional, deepwater, and LNG resource types currently contributes nearly half of global production, and is expected to grow to be about 60 percent in the next few years.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and other factors described in Item 1A. Risk Factors.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crude oil and natural gas have a history of significant price volatility. ExxonMobil believes prices over the long term will continue to be driven by market supply and demand, with the demand side largely being a function of general economic activities, levels of prosperity, technology advances, consumer preference and government policies. On the supply side, prices may be significantly impacted by political events, the actions of OPEC and other large government resource owners, and other factors. To manage the risks associated with price, ExxonMobil evaluates annual plans and major investments across a range of price scenarios.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2019, the Upstream business produced 4.0 million oil-equivalent barrels per day. The Corporation continued to have exploration success in Guyana and Cyprus, and also made strategic acreage acquisitions in Argentina, Brazil, Greece, Egypt, and Namibia. In the more mature conventional operations, our primary goal is to maximize cash flow generation through ExxonMobil’s world-class workforce and best practices in reliability and project execution. As a result, assets in Russia, Indonesia, Kazakhstan, and the United Arab Emirates all recorded their highest daily production rates to-date.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Downstream is a large, diversified business with global logistics, trading, refining, and marketing. The Corporation has a presence with established markets in the Americas and Europe, as well as in the growing Asia Pacific region.</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ExxonMobil’s fundamental Downstream business strategies competitively position the company across a range of market conditions. These strategies include targeting best in class operations in all aspects of the business, maximizing value from advanced technologies, capitalizing on integration across ExxonMobil businesses, selectively investing for resilient, advantaged returns, operating efficiently and effectively, and providing quality, valued and differentiated products and services to customers.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ExxonMobil’s operating results, as noted in Item 2. Properties, reflect 21 refineries, located in 14 countries, with distillation capacity of 4.7 million barrels per day and lubricant basestock manufacturing capacity of 129 thousand barrels per day. ExxonMobil’s fuels and lubes value chains have significant global reach, with multiple channels to market serving a diverse customer base. Our portfolio of world-renowned brands includes </w:t>
      </w:r>
      <w:r>
        <w:rPr>
          <w:rFonts w:ascii="Arial" w:cs="Arial" w:eastAsia="Arial" w:hAnsi="Arial"/>
          <w:sz w:val="18"/>
          <w:szCs w:val="18"/>
          <w:i w:val="1"/>
          <w:iCs w:val="1"/>
          <w:color w:val="auto"/>
        </w:rPr>
        <w:t>Exxon, Mobil, Esso, Synergy,</w:t>
      </w:r>
      <w:r>
        <w:rPr>
          <w:rFonts w:ascii="Arial" w:cs="Arial" w:eastAsia="Arial" w:hAnsi="Arial"/>
          <w:sz w:val="18"/>
          <w:szCs w:val="18"/>
          <w:color w:val="auto"/>
        </w:rPr>
        <w:t xml:space="preserve"> and </w:t>
      </w:r>
      <w:r>
        <w:rPr>
          <w:rFonts w:ascii="Arial" w:cs="Arial" w:eastAsia="Arial" w:hAnsi="Arial"/>
          <w:sz w:val="18"/>
          <w:szCs w:val="18"/>
          <w:i w:val="1"/>
          <w:iCs w:val="1"/>
          <w:color w:val="auto"/>
        </w:rPr>
        <w:t>Mobil</w:t>
      </w:r>
      <w:r>
        <w:rPr>
          <w:rFonts w:ascii="Arial" w:cs="Arial" w:eastAsia="Arial" w:hAnsi="Arial"/>
          <w:sz w:val="18"/>
          <w:szCs w:val="18"/>
          <w:color w:val="auto"/>
        </w:rPr>
        <w:t xml:space="preserve"> </w:t>
      </w:r>
      <w:r>
        <w:rPr>
          <w:rFonts w:ascii="Arial" w:cs="Arial" w:eastAsia="Arial" w:hAnsi="Arial"/>
          <w:sz w:val="18"/>
          <w:szCs w:val="18"/>
          <w:i w:val="1"/>
          <w:iCs w:val="1"/>
          <w:color w:val="auto"/>
        </w:rPr>
        <w:t>1</w:t>
      </w:r>
      <w:r>
        <w:rPr>
          <w:rFonts w:ascii="Arial" w:cs="Arial" w:eastAsia="Arial" w:hAnsi="Arial"/>
          <w:sz w:val="18"/>
          <w:szCs w:val="18"/>
          <w:color w:val="auto"/>
        </w:rPr>
        <w:t>.</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products grew 1 million barrels per day or about 1 percent in 2019, but was outpaced by global refining capacity, which expanded by about 1.8 million barrels per day, resulting in weaker refining margins. Canadian crude differentials narrowed in 2019 as Alberta imposed limits on crude production, which resulted in lower refinery margins in Canada and the Midwest region of the U.S. New pipeline capacity in the Permian reduced the crude differentials between Midland and Houston. In the near term, we expect to continue to see variability in refining margins following the dynamics of the supply/demand balance.</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Refining margins are largely driven by differences in commodity prices and are a function of the difference between what a refinery pays for its raw materials (primarily crude oil) and the market prices for the range of products produced (primarily gasoline, heating oil, diesel oil, jet fuel and fuel oil).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industry refinery operations, import/export balances, currency fluctuations, seasonal demand, weather, and political climate.</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ExxonMobil’s long term outlook is that industry refining margins will remain volatile subject to the pace of new capacity growth relative to global demand growth. ExxonMobil’s integration including logistics, trading, refining, and marketing enhances our ability to generate returns across the value chain in both fuels and lubricants businesses.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more detail in Item 1A. Risk Factors, proposed carbon policy and other climate related regulations in many countries, as well as the continued growth in biofuels mandates, could have negative impacts on the Downstream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Downstream portfolio is continually evaluated during all parts of the business cycle, and numerous asset divestments have been made over the past decade. When investing in the Downstream, ExxonMobil remains focused on selective and resilient projects. The three key projects that started up at the end of 2018 (Antwerp coker, Rotterdam advanced hydrocracker and Beaumont hydrofiner) have added incremental earnings in 2019 to the Downstream by upgrading resid and intermediates into high value clean products and basestocks. Four other strategic projects have been approved during the first half of 2019. The Singapore resid upgrade project will use proprietary technology to upgrade the resid streams from the refinery and chemical plant into clean fuels and basestocks; the Fawley hydrofiner will upgrade high sulfur distillates into finished diesel and the project will also strengthen the logistics into the UK market; the Beaumont light crude expansion will enable the site to increase the processing capability of advantaged tight oil crudes; and finally, the Wink to Webster pipeline will provide efficient transportation of more than 1 million barrels per day of crude oil from the Permian to the Houston refining center.</w:t>
      </w:r>
    </w:p>
    <w:p>
      <w:pPr>
        <w:spacing w:after="0" w:line="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ExxonMobil continues to grow its product sales in new markets near major production assets with continued progress on the Mexico and Indonesia market entries. The lubricants business continues to grow, leveraging world class brands and integration with industry leading basestock refining capability. Through the Mobil branded properties, such as </w:t>
      </w:r>
      <w:r>
        <w:rPr>
          <w:rFonts w:ascii="Arial" w:cs="Arial" w:eastAsia="Arial" w:hAnsi="Arial"/>
          <w:sz w:val="18"/>
          <w:szCs w:val="18"/>
          <w:i w:val="1"/>
          <w:iCs w:val="1"/>
          <w:color w:val="auto"/>
        </w:rPr>
        <w:t>Mobil 1</w:t>
      </w:r>
      <w:r>
        <w:rPr>
          <w:rFonts w:ascii="Arial" w:cs="Arial" w:eastAsia="Arial" w:hAnsi="Arial"/>
          <w:sz w:val="18"/>
          <w:szCs w:val="18"/>
          <w:color w:val="auto"/>
        </w:rPr>
        <w:t>, Mobil is the worldwide leader among synthetic motor oils.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ExxonMobil is a major manufacturer and marketer of petrochemicals and a wide variety of specialty products. ExxonMobil sustains its competitive advantage through continued operational excellence, investment and cost discipline, a balanced portfolio of products, and integration with downstream and upstream operations, all underpinned by proprietary technology.</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Demand for chemical products continued to grow in 2019. Polyolefin and aromatics product margins were however further impacted by capacity additions outpacing global demand growth.</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long term, demand for chemical products is forecast to outpace growth in global GDP and energy demand for the next two decades. ExxonMobil estimates that global demand for chemicals will rise by approximately 45 percent by 2030, driven by continued global growth of the middle class. ExxonMobil’s integration with refining, together with unparalleled project execution capacity, enhances our ability to generate industry-leading returns across a range of market environments.</w:t>
      </w:r>
    </w:p>
    <w:p>
      <w:pPr>
        <w:spacing w:after="0" w:line="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These competitive advantages enable us to continue to invest in projects that are robust to the chemical market cycles. In 2019, we started up the expansion of the polyethylene plant in Beaumont, Texas ahead of schedule, capitalizing on advantaged feedstock and energy supplies in North America. This capacity, together with the world-scale Baytown polyethylene lines started up in 2017, help to meet the rapidly growing global demand for performance polymers. We also made full funding decisions for a suite of Chemical projects. A 450-thousand-tonnes-per-year performance polypropylene line will add to our existing polypropylene capacity in Baton Rouge. The Baytown Chemical Expansion Project broke ground in 2019, and includes a 400-thousand-tonnes-per-year </w:t>
      </w:r>
      <w:r>
        <w:rPr>
          <w:rFonts w:ascii="Arial" w:cs="Arial" w:eastAsia="Arial" w:hAnsi="Arial"/>
          <w:sz w:val="16"/>
          <w:szCs w:val="16"/>
          <w:i w:val="1"/>
          <w:iCs w:val="1"/>
          <w:color w:val="auto"/>
        </w:rPr>
        <w:t xml:space="preserve">Vistamaxx </w:t>
      </w:r>
      <w:r>
        <w:rPr>
          <w:rFonts w:ascii="Arial" w:cs="Arial" w:eastAsia="Arial" w:hAnsi="Arial"/>
          <w:sz w:val="16"/>
          <w:szCs w:val="16"/>
          <w:color w:val="auto"/>
        </w:rPr>
        <w:t>performance polymer unit and a 350-thousand-tonnes-per-year linear alpha olefins unit, further expanding ExxonMobil’s product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also began in San Patricio County, Texas on our joint venture ethane cracker and associated derivative units. In addition, we continued to progress plans for a world-scale steam cracker and performance derivative units in Guangdong Province, China.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2019 AND 2018 RESULTS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2019</w:t>
            </w: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7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Earnings (U.S. GAAP)</w:t>
            </w:r>
          </w:p>
        </w:tc>
        <w:tc>
          <w:tcPr>
            <w:tcW w:w="1060" w:type="dxa"/>
            <w:vAlign w:val="bottom"/>
          </w:tcPr>
          <w:p>
            <w:pPr>
              <w:spacing w:after="0"/>
              <w:rPr>
                <w:sz w:val="19"/>
                <w:szCs w:val="19"/>
                <w:color w:val="auto"/>
              </w:rPr>
            </w:pPr>
          </w:p>
        </w:tc>
        <w:tc>
          <w:tcPr>
            <w:tcW w:w="1820" w:type="dxa"/>
            <w:vAlign w:val="bottom"/>
          </w:tcPr>
          <w:p>
            <w:pPr>
              <w:ind w:left="280"/>
              <w:spacing w:after="0"/>
              <w:rPr>
                <w:sz w:val="20"/>
                <w:szCs w:val="20"/>
                <w:color w:val="auto"/>
              </w:rPr>
            </w:pPr>
            <w:r>
              <w:rPr>
                <w:rFonts w:ascii="Arial" w:cs="Arial" w:eastAsia="Arial" w:hAnsi="Arial"/>
                <w:sz w:val="14"/>
                <w:szCs w:val="14"/>
                <w:i w:val="1"/>
                <w:iCs w:val="1"/>
                <w:color w:val="auto"/>
              </w:rPr>
              <w:t>(millions of dollars)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20"/>
              <w:spacing w:after="0"/>
              <w:rPr>
                <w:sz w:val="20"/>
                <w:szCs w:val="20"/>
                <w:color w:val="auto"/>
              </w:rPr>
            </w:pPr>
            <w:r>
              <w:rPr>
                <w:rFonts w:ascii="Arial" w:cs="Arial" w:eastAsia="Arial" w:hAnsi="Arial"/>
                <w:sz w:val="18"/>
                <w:szCs w:val="18"/>
                <w:color w:val="auto"/>
              </w:rPr>
              <w:t>Net income attributable to ExxonMobil (U.S. GAAP)</w:t>
            </w:r>
          </w:p>
        </w:tc>
        <w:tc>
          <w:tcPr>
            <w:tcW w:w="1060" w:type="dxa"/>
            <w:vAlign w:val="bottom"/>
          </w:tcPr>
          <w:p>
            <w:pPr>
              <w:ind w:left="260"/>
              <w:spacing w:after="0"/>
              <w:rPr>
                <w:sz w:val="20"/>
                <w:szCs w:val="20"/>
                <w:color w:val="auto"/>
              </w:rPr>
            </w:pPr>
            <w:r>
              <w:rPr>
                <w:rFonts w:ascii="Arial" w:cs="Arial" w:eastAsia="Arial" w:hAnsi="Arial"/>
                <w:sz w:val="18"/>
                <w:szCs w:val="18"/>
                <w:color w:val="auto"/>
              </w:rPr>
              <w:t>14,340</w:t>
            </w:r>
          </w:p>
        </w:tc>
        <w:tc>
          <w:tcPr>
            <w:tcW w:w="1820" w:type="dxa"/>
            <w:vAlign w:val="bottom"/>
          </w:tcPr>
          <w:p>
            <w:pPr>
              <w:ind w:left="700"/>
              <w:spacing w:after="0"/>
              <w:rPr>
                <w:sz w:val="20"/>
                <w:szCs w:val="20"/>
                <w:color w:val="auto"/>
              </w:rPr>
            </w:pPr>
            <w:r>
              <w:rPr>
                <w:rFonts w:ascii="Arial" w:cs="Arial" w:eastAsia="Arial" w:hAnsi="Arial"/>
                <w:sz w:val="18"/>
                <w:szCs w:val="18"/>
                <w:color w:val="auto"/>
              </w:rPr>
              <w:t>20,840</w:t>
            </w:r>
          </w:p>
        </w:tc>
        <w:tc>
          <w:tcPr>
            <w:tcW w:w="960" w:type="dxa"/>
            <w:vAlign w:val="bottom"/>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864"/>
        </w:trPr>
        <w:tc>
          <w:tcPr>
            <w:tcW w:w="7580" w:type="dxa"/>
            <w:vAlign w:val="bottom"/>
          </w:tcPr>
          <w:p>
            <w:pPr>
              <w:spacing w:after="0"/>
              <w:rPr>
                <w:sz w:val="20"/>
                <w:szCs w:val="20"/>
                <w:color w:val="auto"/>
              </w:rPr>
            </w:pPr>
            <w:r>
              <w:rPr>
                <w:rFonts w:ascii="Arial" w:cs="Arial" w:eastAsia="Arial" w:hAnsi="Arial"/>
                <w:sz w:val="18"/>
                <w:szCs w:val="18"/>
                <w:b w:val="1"/>
                <w:bCs w:val="1"/>
                <w:color w:val="auto"/>
              </w:rPr>
              <w:t>Upstream</w:t>
            </w: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820" w:type="dxa"/>
            <w:vAlign w:val="bottom"/>
          </w:tcPr>
          <w:p>
            <w:pPr>
              <w:ind w:left="700"/>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7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580" w:type="dxa"/>
            <w:vAlign w:val="bottom"/>
            <w:vMerge w:val="restart"/>
          </w:tcPr>
          <w:p>
            <w:pPr>
              <w:spacing w:after="0"/>
              <w:rPr>
                <w:sz w:val="20"/>
                <w:szCs w:val="20"/>
                <w:color w:val="auto"/>
              </w:rPr>
            </w:pPr>
            <w:r>
              <w:rPr>
                <w:rFonts w:ascii="Arial" w:cs="Arial" w:eastAsia="Arial" w:hAnsi="Arial"/>
                <w:sz w:val="18"/>
                <w:szCs w:val="18"/>
                <w:color w:val="auto"/>
              </w:rPr>
              <w:t>Upstream</w:t>
            </w:r>
          </w:p>
        </w:tc>
        <w:tc>
          <w:tcPr>
            <w:tcW w:w="1060" w:type="dxa"/>
            <w:vAlign w:val="bottom"/>
          </w:tcPr>
          <w:p>
            <w:pPr>
              <w:spacing w:after="0"/>
              <w:rPr>
                <w:sz w:val="19"/>
                <w:szCs w:val="19"/>
                <w:color w:val="auto"/>
              </w:rPr>
            </w:pPr>
          </w:p>
        </w:tc>
        <w:tc>
          <w:tcPr>
            <w:tcW w:w="1820" w:type="dxa"/>
            <w:vAlign w:val="bottom"/>
          </w:tcPr>
          <w:p>
            <w:pPr>
              <w:ind w:left="280"/>
              <w:spacing w:after="0"/>
              <w:rPr>
                <w:sz w:val="20"/>
                <w:szCs w:val="20"/>
                <w:color w:val="auto"/>
              </w:rPr>
            </w:pPr>
            <w:r>
              <w:rPr>
                <w:rFonts w:ascii="Arial" w:cs="Arial" w:eastAsia="Arial" w:hAnsi="Arial"/>
                <w:sz w:val="14"/>
                <w:szCs w:val="14"/>
                <w:i w:val="1"/>
                <w:iCs w:val="1"/>
                <w:color w:val="auto"/>
              </w:rPr>
              <w:t>(millions of dollars)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536</w:t>
            </w:r>
          </w:p>
        </w:tc>
        <w:tc>
          <w:tcPr>
            <w:tcW w:w="1820" w:type="dxa"/>
            <w:vAlign w:val="bottom"/>
          </w:tcPr>
          <w:p>
            <w:pPr>
              <w:ind w:left="800"/>
              <w:spacing w:after="0"/>
              <w:rPr>
                <w:sz w:val="20"/>
                <w:szCs w:val="20"/>
                <w:color w:val="auto"/>
              </w:rPr>
            </w:pPr>
            <w:r>
              <w:rPr>
                <w:rFonts w:ascii="Arial" w:cs="Arial" w:eastAsia="Arial" w:hAnsi="Arial"/>
                <w:sz w:val="18"/>
                <w:szCs w:val="18"/>
                <w:color w:val="auto"/>
              </w:rPr>
              <w:t>1,739</w:t>
            </w:r>
          </w:p>
        </w:tc>
        <w:tc>
          <w:tcPr>
            <w:tcW w:w="960" w:type="dxa"/>
            <w:vAlign w:val="bottom"/>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Non-U.S.</w:t>
            </w: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13,906</w:t>
            </w:r>
          </w:p>
        </w:tc>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12,340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0"/>
        </w:trPr>
        <w:tc>
          <w:tcPr>
            <w:tcW w:w="7580" w:type="dxa"/>
            <w:vAlign w:val="bottom"/>
          </w:tcPr>
          <w:p>
            <w:pPr>
              <w:ind w:left="6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14,442</w:t>
            </w:r>
          </w:p>
        </w:tc>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14,079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Upstream earnings were $14,442 million, up $363 million from 2018.</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Lower realizations reduced earnings by $2.7 billion.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Favorable volume and mix effects increased earnings by $860 million.</w:t>
      </w:r>
    </w:p>
    <w:p>
      <w:pPr>
        <w:spacing w:after="0" w:line="36" w:lineRule="exact"/>
        <w:rPr>
          <w:sz w:val="20"/>
          <w:szCs w:val="20"/>
          <w:color w:val="auto"/>
        </w:rPr>
      </w:pPr>
    </w:p>
    <w:p>
      <w:pPr>
        <w:ind w:left="660" w:right="20" w:firstLine="68"/>
        <w:spacing w:after="0" w:line="266" w:lineRule="auto"/>
        <w:rPr>
          <w:sz w:val="20"/>
          <w:szCs w:val="20"/>
          <w:color w:val="auto"/>
        </w:rPr>
      </w:pPr>
      <w:r>
        <w:rPr>
          <w:rFonts w:ascii="Arial" w:cs="Arial" w:eastAsia="Arial" w:hAnsi="Arial"/>
          <w:sz w:val="18"/>
          <w:szCs w:val="18"/>
          <w:color w:val="auto"/>
        </w:rPr>
        <w:t>All other items increased earnings by $2.2 billion, as a $3.7 billion gain from the Norway non-operated divestment was partly offset by higher expenses of $1.1 billion.</w:t>
      </w:r>
    </w:p>
    <w:p>
      <w:pPr>
        <w:ind w:left="720"/>
        <w:spacing w:after="0"/>
        <w:rPr>
          <w:sz w:val="20"/>
          <w:szCs w:val="20"/>
          <w:color w:val="auto"/>
        </w:rPr>
      </w:pPr>
      <w:r>
        <w:rPr>
          <w:rFonts w:ascii="Arial" w:cs="Arial" w:eastAsia="Arial" w:hAnsi="Arial"/>
          <w:sz w:val="18"/>
          <w:szCs w:val="18"/>
          <w:color w:val="auto"/>
        </w:rPr>
        <w:t>U.S. Upstream earnings were $536 million and included asset impairments of $146 million.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Non-U.S. Upstream earnings were $13,906 million, including the $3.7 billion gain from the Norway non-operated divestment.</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an oil-equivalent basis, production of 4.0 million barrels per day was up 3 percent compared to 2018.</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Liquids production of 2.4 million barrels per day increased 120,000 barrels per day reflecting growth and higher entitlements.</w:t>
      </w:r>
    </w:p>
    <w:p>
      <w:pPr>
        <w:spacing w:after="0" w:line="36" w:lineRule="exact"/>
        <w:rPr>
          <w:sz w:val="20"/>
          <w:szCs w:val="20"/>
          <w:color w:val="auto"/>
        </w:rPr>
      </w:pPr>
    </w:p>
    <w:p>
      <w:pPr>
        <w:ind w:left="660" w:right="20" w:firstLine="54"/>
        <w:spacing w:after="0" w:line="277" w:lineRule="auto"/>
        <w:rPr>
          <w:sz w:val="20"/>
          <w:szCs w:val="20"/>
          <w:color w:val="auto"/>
        </w:rPr>
      </w:pPr>
      <w:r>
        <w:rPr>
          <w:rFonts w:ascii="Arial" w:cs="Arial" w:eastAsia="Arial" w:hAnsi="Arial"/>
          <w:sz w:val="18"/>
          <w:szCs w:val="18"/>
          <w:color w:val="auto"/>
        </w:rPr>
        <w:t>Natural gas production of 9.4 billion cubic feet per day decreased 11 million cubic feet per day from 2018, with the impact from divestments and higher downtime offset by growth and higher entitlements.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Upstream earnings were $14,079 million, up $724 million from 2017.</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Higher realizations increased earnings by $7 billion.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Unfavorable volume and mix effects decreased earnings by $240 million.</w:t>
      </w:r>
    </w:p>
    <w:p>
      <w:pPr>
        <w:spacing w:after="0" w:line="36" w:lineRule="exact"/>
        <w:rPr>
          <w:sz w:val="20"/>
          <w:szCs w:val="20"/>
          <w:color w:val="auto"/>
        </w:rPr>
      </w:pPr>
    </w:p>
    <w:p>
      <w:pPr>
        <w:ind w:left="660" w:firstLine="54"/>
        <w:spacing w:after="0" w:line="266" w:lineRule="auto"/>
        <w:rPr>
          <w:sz w:val="20"/>
          <w:szCs w:val="20"/>
          <w:color w:val="auto"/>
        </w:rPr>
      </w:pPr>
      <w:r>
        <w:rPr>
          <w:rFonts w:ascii="Arial" w:cs="Arial" w:eastAsia="Arial" w:hAnsi="Arial"/>
          <w:sz w:val="18"/>
          <w:szCs w:val="18"/>
          <w:color w:val="auto"/>
        </w:rPr>
        <w:t>All other items decreased earnings by $6.1 billion, primarily due to lower favorable impacts of $6.9 billion from U.S. tax reform, partly offset by lower asset impairments of $1.1 billion.</w:t>
      </w:r>
    </w:p>
    <w:p>
      <w:pPr>
        <w:ind w:left="720"/>
        <w:spacing w:after="0"/>
        <w:rPr>
          <w:sz w:val="20"/>
          <w:szCs w:val="20"/>
          <w:color w:val="auto"/>
        </w:rPr>
      </w:pPr>
      <w:r>
        <w:rPr>
          <w:rFonts w:ascii="Arial" w:cs="Arial" w:eastAsia="Arial" w:hAnsi="Arial"/>
          <w:sz w:val="18"/>
          <w:szCs w:val="18"/>
          <w:color w:val="auto"/>
        </w:rPr>
        <w:t>U.S. Upstream earnings were $1,739 million, including asset impairments of $297 million.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Non-U.S. Upstream earnings were $12,340 million, including a favorable impact of $271 million from U.S. tax reform.</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an oil-equivalent basis, production of 3.8 million barrels per day was down 4 percent compared to 2017.</w:t>
      </w:r>
    </w:p>
    <w:p>
      <w:pPr>
        <w:spacing w:after="0" w:line="36" w:lineRule="exact"/>
        <w:rPr>
          <w:sz w:val="20"/>
          <w:szCs w:val="20"/>
          <w:color w:val="auto"/>
        </w:rPr>
      </w:pPr>
    </w:p>
    <w:p>
      <w:pPr>
        <w:ind w:left="660" w:right="20" w:firstLine="68"/>
        <w:spacing w:after="0" w:line="266" w:lineRule="auto"/>
        <w:rPr>
          <w:sz w:val="20"/>
          <w:szCs w:val="20"/>
          <w:color w:val="auto"/>
        </w:rPr>
      </w:pPr>
      <w:r>
        <w:rPr>
          <w:rFonts w:ascii="Arial" w:cs="Arial" w:eastAsia="Arial" w:hAnsi="Arial"/>
          <w:sz w:val="18"/>
          <w:szCs w:val="18"/>
          <w:color w:val="auto"/>
        </w:rPr>
        <w:t>Liquids production of 2.3 million barrels per day decreased 17,000 barrels per day as growth in North America was more than offset by decline, lower entitlements, and divestments.</w:t>
      </w:r>
    </w:p>
    <w:p>
      <w:pPr>
        <w:ind w:left="660" w:firstLine="68"/>
        <w:spacing w:after="0" w:line="277" w:lineRule="auto"/>
        <w:rPr>
          <w:sz w:val="20"/>
          <w:szCs w:val="20"/>
          <w:color w:val="auto"/>
        </w:rPr>
      </w:pPr>
      <w:r>
        <w:rPr>
          <w:rFonts w:ascii="Arial" w:cs="Arial" w:eastAsia="Arial" w:hAnsi="Arial"/>
          <w:sz w:val="18"/>
          <w:szCs w:val="18"/>
          <w:color w:val="auto"/>
        </w:rPr>
        <w:t>Natural gas production of 9.4 billion cubic feet per day decreased 806 million cubic feet per day from 2017 due to decline, lower entitlements, divestments, and higher downtime.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Upstream Additional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700" w:type="dxa"/>
            <w:vAlign w:val="bottom"/>
          </w:tcPr>
          <w:p>
            <w:pPr>
              <w:jc w:val="right"/>
              <w:ind w:right="894"/>
              <w:spacing w:after="0"/>
              <w:rPr>
                <w:sz w:val="20"/>
                <w:szCs w:val="20"/>
                <w:color w:val="auto"/>
              </w:rPr>
            </w:pPr>
            <w:r>
              <w:rPr>
                <w:rFonts w:ascii="Arial" w:cs="Arial" w:eastAsia="Arial" w:hAnsi="Arial"/>
                <w:sz w:val="14"/>
                <w:szCs w:val="14"/>
                <w:b w:val="1"/>
                <w:bCs w:val="1"/>
                <w:color w:val="auto"/>
              </w:rPr>
              <w:t>2019</w:t>
            </w: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r>
      <w:tr>
        <w:trPr>
          <w:trHeight w:val="26"/>
        </w:trPr>
        <w:tc>
          <w:tcPr>
            <w:tcW w:w="8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r>
      <w:tr>
        <w:trPr>
          <w:trHeight w:val="176"/>
        </w:trPr>
        <w:tc>
          <w:tcPr>
            <w:tcW w:w="8400" w:type="dxa"/>
            <w:vAlign w:val="bottom"/>
          </w:tcPr>
          <w:p>
            <w:pPr>
              <w:spacing w:after="0"/>
              <w:rPr>
                <w:sz w:val="15"/>
                <w:szCs w:val="15"/>
                <w:color w:val="auto"/>
              </w:rPr>
            </w:pPr>
          </w:p>
        </w:tc>
        <w:tc>
          <w:tcPr>
            <w:tcW w:w="3020" w:type="dxa"/>
            <w:vAlign w:val="bottom"/>
            <w:gridSpan w:val="2"/>
          </w:tcPr>
          <w:p>
            <w:pPr>
              <w:jc w:val="right"/>
              <w:ind w:right="612"/>
              <w:spacing w:after="0"/>
              <w:rPr>
                <w:sz w:val="20"/>
                <w:szCs w:val="20"/>
                <w:color w:val="auto"/>
              </w:rPr>
            </w:pPr>
            <w:r>
              <w:rPr>
                <w:rFonts w:ascii="Arial" w:cs="Arial" w:eastAsia="Arial" w:hAnsi="Arial"/>
                <w:sz w:val="14"/>
                <w:szCs w:val="14"/>
                <w:i w:val="1"/>
                <w:iCs w:val="1"/>
                <w:color w:val="auto"/>
              </w:rPr>
              <w:t>(thousands of barrels daily)</w:t>
            </w:r>
          </w:p>
        </w:tc>
      </w:tr>
      <w:tr>
        <w:trPr>
          <w:trHeight w:val="236"/>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 xml:space="preserve">Volumes Reconciliation </w:t>
            </w:r>
            <w:r>
              <w:rPr>
                <w:rFonts w:ascii="Arial" w:cs="Arial" w:eastAsia="Arial" w:hAnsi="Arial"/>
                <w:sz w:val="18"/>
                <w:szCs w:val="18"/>
                <w:color w:val="auto"/>
              </w:rPr>
              <w:t>(Oil-equivalent production)</w:t>
            </w:r>
            <w:r>
              <w:rPr>
                <w:rFonts w:ascii="Arial" w:cs="Arial" w:eastAsia="Arial" w:hAnsi="Arial"/>
                <w:sz w:val="18"/>
                <w:szCs w:val="18"/>
                <w:b w:val="1"/>
                <w:bCs w:val="1"/>
                <w:color w:val="auto"/>
              </w:rPr>
              <w:t xml:space="preserve"> </w:t>
            </w:r>
            <w:r>
              <w:rPr>
                <w:rFonts w:ascii="Arial" w:cs="Arial" w:eastAsia="Arial" w:hAnsi="Arial"/>
                <w:sz w:val="14"/>
                <w:szCs w:val="14"/>
                <w:i w:val="1"/>
                <w:iCs w:val="1"/>
                <w:color w:val="auto"/>
              </w:rPr>
              <w:t>(1)</w:t>
            </w: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8400" w:type="dxa"/>
            <w:vAlign w:val="bottom"/>
          </w:tcPr>
          <w:p>
            <w:pPr>
              <w:ind w:left="40"/>
              <w:spacing w:after="0"/>
              <w:rPr>
                <w:sz w:val="20"/>
                <w:szCs w:val="20"/>
                <w:color w:val="auto"/>
              </w:rPr>
            </w:pPr>
            <w:r>
              <w:rPr>
                <w:rFonts w:ascii="Arial" w:cs="Arial" w:eastAsia="Arial" w:hAnsi="Arial"/>
                <w:sz w:val="18"/>
                <w:szCs w:val="18"/>
                <w:color w:val="auto"/>
              </w:rPr>
              <w:t>Prior Year</w:t>
            </w:r>
          </w:p>
        </w:tc>
        <w:tc>
          <w:tcPr>
            <w:tcW w:w="1700" w:type="dxa"/>
            <w:vAlign w:val="bottom"/>
          </w:tcPr>
          <w:p>
            <w:pPr>
              <w:jc w:val="right"/>
              <w:ind w:right="554"/>
              <w:spacing w:after="0"/>
              <w:rPr>
                <w:sz w:val="20"/>
                <w:szCs w:val="20"/>
                <w:color w:val="auto"/>
              </w:rPr>
            </w:pPr>
            <w:r>
              <w:rPr>
                <w:rFonts w:ascii="Arial" w:cs="Arial" w:eastAsia="Arial" w:hAnsi="Arial"/>
                <w:sz w:val="18"/>
                <w:szCs w:val="18"/>
                <w:color w:val="auto"/>
              </w:rPr>
              <w:t>3,833</w:t>
            </w:r>
          </w:p>
        </w:tc>
        <w:tc>
          <w:tcPr>
            <w:tcW w:w="1320" w:type="dxa"/>
            <w:vAlign w:val="bottom"/>
          </w:tcPr>
          <w:p>
            <w:pPr>
              <w:jc w:val="right"/>
              <w:spacing w:after="0"/>
              <w:rPr>
                <w:sz w:val="20"/>
                <w:szCs w:val="20"/>
                <w:color w:val="auto"/>
              </w:rPr>
            </w:pPr>
            <w:r>
              <w:rPr>
                <w:rFonts w:ascii="Arial" w:cs="Arial" w:eastAsia="Arial" w:hAnsi="Arial"/>
                <w:sz w:val="18"/>
                <w:szCs w:val="18"/>
                <w:color w:val="auto"/>
              </w:rPr>
              <w:t>3,985</w:t>
            </w:r>
          </w:p>
        </w:tc>
      </w:tr>
      <w:tr>
        <w:trPr>
          <w:trHeight w:val="216"/>
        </w:trPr>
        <w:tc>
          <w:tcPr>
            <w:tcW w:w="8400" w:type="dxa"/>
            <w:vAlign w:val="bottom"/>
          </w:tcPr>
          <w:p>
            <w:pPr>
              <w:ind w:left="380"/>
              <w:spacing w:after="0"/>
              <w:rPr>
                <w:sz w:val="20"/>
                <w:szCs w:val="20"/>
                <w:color w:val="auto"/>
              </w:rPr>
            </w:pPr>
            <w:r>
              <w:rPr>
                <w:rFonts w:ascii="Arial" w:cs="Arial" w:eastAsia="Arial" w:hAnsi="Arial"/>
                <w:sz w:val="18"/>
                <w:szCs w:val="18"/>
                <w:color w:val="auto"/>
              </w:rPr>
              <w:t>Entitlements - Net Interest</w:t>
            </w:r>
          </w:p>
        </w:tc>
        <w:tc>
          <w:tcPr>
            <w:tcW w:w="1700" w:type="dxa"/>
            <w:vAlign w:val="bottom"/>
          </w:tcPr>
          <w:p>
            <w:pPr>
              <w:jc w:val="right"/>
              <w:ind w:right="494"/>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00" w:type="dxa"/>
            <w:vAlign w:val="bottom"/>
          </w:tcPr>
          <w:p>
            <w:pPr>
              <w:ind w:left="380"/>
              <w:spacing w:after="0"/>
              <w:rPr>
                <w:sz w:val="20"/>
                <w:szCs w:val="20"/>
                <w:color w:val="auto"/>
              </w:rPr>
            </w:pPr>
            <w:r>
              <w:rPr>
                <w:rFonts w:ascii="Arial" w:cs="Arial" w:eastAsia="Arial" w:hAnsi="Arial"/>
                <w:sz w:val="18"/>
                <w:szCs w:val="18"/>
                <w:color w:val="auto"/>
              </w:rPr>
              <w:t>Entitlements - Price / Spend / Other</w:t>
            </w:r>
          </w:p>
        </w:tc>
        <w:tc>
          <w:tcPr>
            <w:tcW w:w="1700" w:type="dxa"/>
            <w:vAlign w:val="bottom"/>
          </w:tcPr>
          <w:p>
            <w:pPr>
              <w:jc w:val="right"/>
              <w:ind w:right="554"/>
              <w:spacing w:after="0"/>
              <w:rPr>
                <w:sz w:val="20"/>
                <w:szCs w:val="20"/>
                <w:color w:val="auto"/>
              </w:rPr>
            </w:pPr>
            <w:r>
              <w:rPr>
                <w:rFonts w:ascii="Arial" w:cs="Arial" w:eastAsia="Arial" w:hAnsi="Arial"/>
                <w:sz w:val="18"/>
                <w:szCs w:val="18"/>
                <w:color w:val="auto"/>
              </w:rPr>
              <w:t>34</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400" w:type="dxa"/>
            <w:vAlign w:val="bottom"/>
          </w:tcPr>
          <w:p>
            <w:pPr>
              <w:ind w:left="380"/>
              <w:spacing w:after="0"/>
              <w:rPr>
                <w:sz w:val="20"/>
                <w:szCs w:val="20"/>
                <w:color w:val="auto"/>
              </w:rPr>
            </w:pPr>
            <w:r>
              <w:rPr>
                <w:rFonts w:ascii="Arial" w:cs="Arial" w:eastAsia="Arial" w:hAnsi="Arial"/>
                <w:sz w:val="18"/>
                <w:szCs w:val="18"/>
                <w:color w:val="auto"/>
              </w:rPr>
              <w:t>Quotas</w:t>
            </w:r>
          </w:p>
        </w:tc>
        <w:tc>
          <w:tcPr>
            <w:tcW w:w="1700" w:type="dxa"/>
            <w:vAlign w:val="bottom"/>
          </w:tcPr>
          <w:p>
            <w:pPr>
              <w:jc w:val="right"/>
              <w:ind w:right="554"/>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ind w:left="380"/>
              <w:spacing w:after="0"/>
              <w:rPr>
                <w:sz w:val="20"/>
                <w:szCs w:val="20"/>
                <w:color w:val="auto"/>
              </w:rPr>
            </w:pPr>
            <w:r>
              <w:rPr>
                <w:rFonts w:ascii="Arial" w:cs="Arial" w:eastAsia="Arial" w:hAnsi="Arial"/>
                <w:sz w:val="18"/>
                <w:szCs w:val="18"/>
                <w:color w:val="auto"/>
              </w:rPr>
              <w:t>Divestments</w:t>
            </w:r>
          </w:p>
        </w:tc>
        <w:tc>
          <w:tcPr>
            <w:tcW w:w="1700" w:type="dxa"/>
            <w:vAlign w:val="bottom"/>
          </w:tcPr>
          <w:p>
            <w:pPr>
              <w:jc w:val="right"/>
              <w:ind w:right="494"/>
              <w:spacing w:after="0"/>
              <w:rPr>
                <w:sz w:val="20"/>
                <w:szCs w:val="20"/>
                <w:color w:val="auto"/>
              </w:rPr>
            </w:pPr>
            <w:r>
              <w:rPr>
                <w:rFonts w:ascii="Arial" w:cs="Arial" w:eastAsia="Arial" w:hAnsi="Arial"/>
                <w:sz w:val="18"/>
                <w:szCs w:val="18"/>
                <w:color w:val="auto"/>
              </w:rPr>
              <w:t>(27)</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400" w:type="dxa"/>
            <w:vAlign w:val="bottom"/>
          </w:tcPr>
          <w:p>
            <w:pPr>
              <w:ind w:left="380"/>
              <w:spacing w:after="0"/>
              <w:rPr>
                <w:sz w:val="20"/>
                <w:szCs w:val="20"/>
                <w:color w:val="auto"/>
              </w:rPr>
            </w:pPr>
            <w:r>
              <w:rPr>
                <w:rFonts w:ascii="Arial" w:cs="Arial" w:eastAsia="Arial" w:hAnsi="Arial"/>
                <w:sz w:val="18"/>
                <w:szCs w:val="18"/>
                <w:color w:val="auto"/>
              </w:rPr>
              <w:t>Growth / Other</w:t>
            </w:r>
          </w:p>
        </w:tc>
        <w:tc>
          <w:tcPr>
            <w:tcW w:w="170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113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8400" w:type="dxa"/>
            <w:vAlign w:val="bottom"/>
          </w:tcPr>
          <w:p>
            <w:pPr>
              <w:ind w:left="40"/>
              <w:spacing w:after="0"/>
              <w:rPr>
                <w:sz w:val="20"/>
                <w:szCs w:val="20"/>
                <w:color w:val="auto"/>
              </w:rPr>
            </w:pPr>
            <w:r>
              <w:rPr>
                <w:rFonts w:ascii="Arial" w:cs="Arial" w:eastAsia="Arial" w:hAnsi="Arial"/>
                <w:sz w:val="18"/>
                <w:szCs w:val="18"/>
                <w:color w:val="auto"/>
              </w:rPr>
              <w:t>Current Year</w:t>
            </w:r>
          </w:p>
        </w:tc>
        <w:tc>
          <w:tcPr>
            <w:tcW w:w="170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3,952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(1) Natural gas is converted to an oil-equivalent basis at six million cubic feet per one thousand barrels.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ExxonMobil’s volumes reconciliation factors which are provided to facilitate understanding of the terms.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Entitlements - Net Interest </w:t>
      </w:r>
      <w:r>
        <w:rPr>
          <w:rFonts w:ascii="Arial" w:cs="Arial" w:eastAsia="Arial" w:hAnsi="Arial"/>
          <w:sz w:val="18"/>
          <w:szCs w:val="18"/>
          <w:color w:val="auto"/>
        </w:rPr>
        <w:t>are changes to ExxonMobil’s share of production volumes caused by non-operational changes to volume-determining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Entitlements - Price, Spend and Other </w:t>
      </w:r>
      <w:r>
        <w:rPr>
          <w:rFonts w:ascii="Arial" w:cs="Arial" w:eastAsia="Arial" w:hAnsi="Arial"/>
          <w:sz w:val="18"/>
          <w:szCs w:val="18"/>
          <w:color w:val="auto"/>
        </w:rPr>
        <w:t>are changes to ExxonMobil’s share of production volumes resulting from temporary changes to non-operational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Quotas </w:t>
      </w:r>
      <w:r>
        <w:rPr>
          <w:rFonts w:ascii="Arial" w:cs="Arial" w:eastAsia="Arial" w:hAnsi="Arial"/>
          <w:sz w:val="16"/>
          <w:szCs w:val="16"/>
          <w:color w:val="auto"/>
        </w:rPr>
        <w:t>are changes in ExxonMobil’s allowable production arising from production constraints imposed by countries which are members of the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Petroleum Exporting Countries (OPEC). Volumes reported in this category would have been readily producible in the absence of the quota.</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Divestments </w:t>
      </w:r>
      <w:r>
        <w:rPr>
          <w:rFonts w:ascii="Arial" w:cs="Arial" w:eastAsia="Arial" w:hAnsi="Arial"/>
          <w:sz w:val="18"/>
          <w:szCs w:val="18"/>
          <w:color w:val="auto"/>
        </w:rPr>
        <w:t>are reductions in ExxonMobil’s production arising from commercial arrangements to fully or partially reduce equity in a field or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financial or other economic consideration.</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Growth and Other </w:t>
      </w:r>
      <w:r>
        <w:rPr>
          <w:rFonts w:ascii="Arial" w:cs="Arial" w:eastAsia="Arial" w:hAnsi="Arial"/>
          <w:sz w:val="16"/>
          <w:szCs w:val="16"/>
          <w:color w:val="auto"/>
        </w:rPr>
        <w:t>factors comprise all other operational and non-operational factors not covered by the above definitions that may affect volumes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to ExxonMobil. 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840" w:type="dxa"/>
            <w:vAlign w:val="bottom"/>
          </w:tcPr>
          <w:p>
            <w:pPr>
              <w:jc w:val="right"/>
              <w:ind w:right="757"/>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7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580" w:type="dxa"/>
            <w:vAlign w:val="bottom"/>
            <w:vMerge w:val="restart"/>
          </w:tcPr>
          <w:p>
            <w:pPr>
              <w:spacing w:after="0"/>
              <w:rPr>
                <w:sz w:val="20"/>
                <w:szCs w:val="20"/>
                <w:color w:val="auto"/>
              </w:rPr>
            </w:pPr>
            <w:r>
              <w:rPr>
                <w:rFonts w:ascii="Arial" w:cs="Arial" w:eastAsia="Arial" w:hAnsi="Arial"/>
                <w:sz w:val="18"/>
                <w:szCs w:val="18"/>
                <w:color w:val="auto"/>
              </w:rPr>
              <w:t>Downstream</w:t>
            </w:r>
          </w:p>
        </w:tc>
        <w:tc>
          <w:tcPr>
            <w:tcW w:w="1040" w:type="dxa"/>
            <w:vAlign w:val="bottom"/>
          </w:tcPr>
          <w:p>
            <w:pPr>
              <w:spacing w:after="0"/>
              <w:rPr>
                <w:sz w:val="19"/>
                <w:szCs w:val="19"/>
                <w:color w:val="auto"/>
              </w:rPr>
            </w:pPr>
          </w:p>
        </w:tc>
        <w:tc>
          <w:tcPr>
            <w:tcW w:w="1840" w:type="dxa"/>
            <w:vAlign w:val="bottom"/>
          </w:tcPr>
          <w:p>
            <w:pPr>
              <w:jc w:val="right"/>
              <w:ind w:right="297"/>
              <w:spacing w:after="0"/>
              <w:rPr>
                <w:sz w:val="20"/>
                <w:szCs w:val="20"/>
                <w:color w:val="auto"/>
              </w:rPr>
            </w:pPr>
            <w:r>
              <w:rPr>
                <w:rFonts w:ascii="Arial" w:cs="Arial" w:eastAsia="Arial" w:hAnsi="Arial"/>
                <w:sz w:val="14"/>
                <w:szCs w:val="14"/>
                <w:i w:val="1"/>
                <w:iCs w:val="1"/>
                <w:color w:val="auto"/>
              </w:rPr>
              <w:t>(millions of dollars)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1,717</w:t>
            </w:r>
          </w:p>
        </w:tc>
        <w:tc>
          <w:tcPr>
            <w:tcW w:w="1840" w:type="dxa"/>
            <w:vAlign w:val="bottom"/>
          </w:tcPr>
          <w:p>
            <w:pPr>
              <w:jc w:val="right"/>
              <w:ind w:right="537"/>
              <w:spacing w:after="0"/>
              <w:rPr>
                <w:sz w:val="20"/>
                <w:szCs w:val="20"/>
                <w:color w:val="auto"/>
              </w:rPr>
            </w:pPr>
            <w:r>
              <w:rPr>
                <w:rFonts w:ascii="Arial" w:cs="Arial" w:eastAsia="Arial" w:hAnsi="Arial"/>
                <w:sz w:val="18"/>
                <w:szCs w:val="18"/>
                <w:color w:val="auto"/>
              </w:rPr>
              <w:t>2,962</w:t>
            </w:r>
          </w:p>
        </w:tc>
        <w:tc>
          <w:tcPr>
            <w:tcW w:w="960" w:type="dxa"/>
            <w:vAlign w:val="bottom"/>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Non-U.S.</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606</w:t>
            </w:r>
          </w:p>
        </w:tc>
        <w:tc>
          <w:tcPr>
            <w:tcW w:w="18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rPr>
              <w:t>3,048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0"/>
        </w:trPr>
        <w:tc>
          <w:tcPr>
            <w:tcW w:w="7580" w:type="dxa"/>
            <w:vAlign w:val="bottom"/>
          </w:tcPr>
          <w:p>
            <w:pPr>
              <w:ind w:left="6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2,323</w:t>
            </w:r>
          </w:p>
        </w:tc>
        <w:tc>
          <w:tcPr>
            <w:tcW w:w="18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rPr>
              <w:t>6,010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Downstream earnings of $2,323 million decreased $3,687 million from 2018.</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Margins decreased earnings by $3 billion including the impact of lower North American crude differentials.</w:t>
      </w:r>
    </w:p>
    <w:p>
      <w:pPr>
        <w:spacing w:after="0" w:line="36" w:lineRule="exact"/>
        <w:rPr>
          <w:sz w:val="20"/>
          <w:szCs w:val="20"/>
          <w:color w:val="auto"/>
        </w:rPr>
      </w:pPr>
    </w:p>
    <w:p>
      <w:pPr>
        <w:ind w:left="660" w:firstLine="68"/>
        <w:spacing w:after="0" w:line="266" w:lineRule="auto"/>
        <w:rPr>
          <w:sz w:val="20"/>
          <w:szCs w:val="20"/>
          <w:color w:val="auto"/>
        </w:rPr>
      </w:pPr>
      <w:r>
        <w:rPr>
          <w:rFonts w:ascii="Arial" w:cs="Arial" w:eastAsia="Arial" w:hAnsi="Arial"/>
          <w:sz w:val="18"/>
          <w:szCs w:val="18"/>
          <w:color w:val="auto"/>
        </w:rPr>
        <w:t>Volume and mix effects lowered earnings by $50 million as project contributions and portfolio improvement were more than offset by increased downtime/maintenance and unfavorable yield/sales mix.</w:t>
      </w:r>
    </w:p>
    <w:p>
      <w:pPr>
        <w:ind w:left="660" w:firstLine="68"/>
        <w:spacing w:after="0" w:line="266" w:lineRule="auto"/>
        <w:rPr>
          <w:sz w:val="20"/>
          <w:szCs w:val="20"/>
          <w:color w:val="auto"/>
        </w:rPr>
      </w:pPr>
      <w:r>
        <w:rPr>
          <w:rFonts w:ascii="Arial" w:cs="Arial" w:eastAsia="Arial" w:hAnsi="Arial"/>
          <w:sz w:val="18"/>
          <w:szCs w:val="18"/>
          <w:color w:val="auto"/>
        </w:rPr>
        <w:t>All other items decreased earnings by $660 million, mainly driven by the absence of prior year divestment gains and higher expenses reflecting increased maintenance and project startups, partly offset by favorable foreign exchange impacts and LIFO inventory gains.</w:t>
      </w:r>
    </w:p>
    <w:p>
      <w:pPr>
        <w:ind w:left="720"/>
        <w:spacing w:after="0"/>
        <w:rPr>
          <w:sz w:val="20"/>
          <w:szCs w:val="20"/>
          <w:color w:val="auto"/>
        </w:rPr>
      </w:pPr>
      <w:r>
        <w:rPr>
          <w:rFonts w:ascii="Arial" w:cs="Arial" w:eastAsia="Arial" w:hAnsi="Arial"/>
          <w:sz w:val="18"/>
          <w:szCs w:val="18"/>
          <w:color w:val="auto"/>
        </w:rPr>
        <w:t>U.S. Downstream earnings were $1,717 million, compared to $2,962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Non-U.S. Downstream earnings were $606 million, compared to $3,048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Petroleum product sales of 5.5 million barrels per day were 60,000 barrels per day lower than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Downstream earnings of $6,010 million increased $413 million from 2017.</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Margins increased earnings by $660 million primarily due to the capture of North American crude differentials.</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Volume and mix effects increased earnings by $650 million due to improved yield/sales mix.</w:t>
      </w:r>
    </w:p>
    <w:p>
      <w:pPr>
        <w:spacing w:after="0" w:line="36" w:lineRule="exact"/>
        <w:rPr>
          <w:sz w:val="20"/>
          <w:szCs w:val="20"/>
          <w:color w:val="auto"/>
        </w:rPr>
      </w:pPr>
    </w:p>
    <w:p>
      <w:pPr>
        <w:ind w:left="660" w:firstLine="54"/>
        <w:spacing w:after="0" w:line="281" w:lineRule="auto"/>
        <w:rPr>
          <w:sz w:val="20"/>
          <w:szCs w:val="20"/>
          <w:color w:val="auto"/>
        </w:rPr>
      </w:pPr>
      <w:r>
        <w:rPr>
          <w:rFonts w:ascii="Arial" w:cs="Arial" w:eastAsia="Arial" w:hAnsi="Arial"/>
          <w:sz w:val="17"/>
          <w:szCs w:val="17"/>
          <w:color w:val="auto"/>
        </w:rPr>
        <w:t>All other items decreased earnings by $900 million, mainly driven by the absence of favorable U.S. tax reform impacts of $618 million, unfavorable foreign exchange impacts, and higher downtime/maintenance, partly offset by higher divestment gains and favorable tax impacts.</w:t>
      </w:r>
    </w:p>
    <w:p>
      <w:pPr>
        <w:spacing w:after="0" w:line="1" w:lineRule="exact"/>
        <w:rPr>
          <w:sz w:val="20"/>
          <w:szCs w:val="20"/>
          <w:color w:val="auto"/>
        </w:rPr>
      </w:pPr>
    </w:p>
    <w:p>
      <w:pPr>
        <w:ind w:left="660" w:right="20" w:firstLine="54"/>
        <w:spacing w:after="0" w:line="266" w:lineRule="auto"/>
        <w:rPr>
          <w:sz w:val="20"/>
          <w:szCs w:val="20"/>
          <w:color w:val="auto"/>
        </w:rPr>
      </w:pPr>
      <w:r>
        <w:rPr>
          <w:rFonts w:ascii="Arial" w:cs="Arial" w:eastAsia="Arial" w:hAnsi="Arial"/>
          <w:sz w:val="18"/>
          <w:szCs w:val="18"/>
          <w:color w:val="auto"/>
        </w:rPr>
        <w:t>U.S. Downstream earnings were $2,962 million, compared to $1,948 million in the prior year which included a favorable impact of $618 million from U.S. tax reform.</w:t>
      </w:r>
    </w:p>
    <w:p>
      <w:pPr>
        <w:ind w:left="720"/>
        <w:spacing w:after="0"/>
        <w:rPr>
          <w:sz w:val="20"/>
          <w:szCs w:val="20"/>
          <w:color w:val="auto"/>
        </w:rPr>
      </w:pPr>
      <w:r>
        <w:rPr>
          <w:rFonts w:ascii="Arial" w:cs="Arial" w:eastAsia="Arial" w:hAnsi="Arial"/>
          <w:sz w:val="18"/>
          <w:szCs w:val="18"/>
          <w:color w:val="auto"/>
        </w:rPr>
        <w:t>Non-U.S. Downstream earnings were $3,048 million, compared to $3,649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Petroleum product sales of 5.5 million barrels per day were 18,000 barrels per day lower than 2017.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840" w:type="dxa"/>
            <w:vAlign w:val="bottom"/>
          </w:tcPr>
          <w:p>
            <w:pPr>
              <w:jc w:val="right"/>
              <w:ind w:right="757"/>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7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580" w:type="dxa"/>
            <w:vAlign w:val="bottom"/>
            <w:vMerge w:val="restart"/>
          </w:tcPr>
          <w:p>
            <w:pPr>
              <w:spacing w:after="0"/>
              <w:rPr>
                <w:sz w:val="20"/>
                <w:szCs w:val="20"/>
                <w:color w:val="auto"/>
              </w:rPr>
            </w:pPr>
            <w:r>
              <w:rPr>
                <w:rFonts w:ascii="Arial" w:cs="Arial" w:eastAsia="Arial" w:hAnsi="Arial"/>
                <w:sz w:val="18"/>
                <w:szCs w:val="18"/>
                <w:color w:val="auto"/>
              </w:rPr>
              <w:t>Chemical</w:t>
            </w:r>
          </w:p>
        </w:tc>
        <w:tc>
          <w:tcPr>
            <w:tcW w:w="1040" w:type="dxa"/>
            <w:vAlign w:val="bottom"/>
          </w:tcPr>
          <w:p>
            <w:pPr>
              <w:spacing w:after="0"/>
              <w:rPr>
                <w:sz w:val="19"/>
                <w:szCs w:val="19"/>
                <w:color w:val="auto"/>
              </w:rPr>
            </w:pPr>
          </w:p>
        </w:tc>
        <w:tc>
          <w:tcPr>
            <w:tcW w:w="1840" w:type="dxa"/>
            <w:vAlign w:val="bottom"/>
          </w:tcPr>
          <w:p>
            <w:pPr>
              <w:jc w:val="right"/>
              <w:ind w:right="297"/>
              <w:spacing w:after="0"/>
              <w:rPr>
                <w:sz w:val="20"/>
                <w:szCs w:val="20"/>
                <w:color w:val="auto"/>
              </w:rPr>
            </w:pPr>
            <w:r>
              <w:rPr>
                <w:rFonts w:ascii="Arial" w:cs="Arial" w:eastAsia="Arial" w:hAnsi="Arial"/>
                <w:sz w:val="14"/>
                <w:szCs w:val="14"/>
                <w:i w:val="1"/>
                <w:iCs w:val="1"/>
                <w:color w:val="auto"/>
              </w:rPr>
              <w:t>(millions of dollars)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206</w:t>
            </w:r>
          </w:p>
        </w:tc>
        <w:tc>
          <w:tcPr>
            <w:tcW w:w="1840" w:type="dxa"/>
            <w:vAlign w:val="bottom"/>
          </w:tcPr>
          <w:p>
            <w:pPr>
              <w:jc w:val="right"/>
              <w:ind w:right="537"/>
              <w:spacing w:after="0"/>
              <w:rPr>
                <w:sz w:val="20"/>
                <w:szCs w:val="20"/>
                <w:color w:val="auto"/>
              </w:rPr>
            </w:pPr>
            <w:r>
              <w:rPr>
                <w:rFonts w:ascii="Arial" w:cs="Arial" w:eastAsia="Arial" w:hAnsi="Arial"/>
                <w:sz w:val="18"/>
                <w:szCs w:val="18"/>
                <w:color w:val="auto"/>
              </w:rPr>
              <w:t>1,642</w:t>
            </w:r>
          </w:p>
        </w:tc>
        <w:tc>
          <w:tcPr>
            <w:tcW w:w="960" w:type="dxa"/>
            <w:vAlign w:val="bottom"/>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Non-U.S.</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386</w:t>
            </w:r>
          </w:p>
        </w:tc>
        <w:tc>
          <w:tcPr>
            <w:tcW w:w="18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rPr>
              <w:t>1,709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0"/>
        </w:trPr>
        <w:tc>
          <w:tcPr>
            <w:tcW w:w="7580" w:type="dxa"/>
            <w:vAlign w:val="bottom"/>
          </w:tcPr>
          <w:p>
            <w:pPr>
              <w:ind w:left="6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592</w:t>
            </w:r>
          </w:p>
        </w:tc>
        <w:tc>
          <w:tcPr>
            <w:tcW w:w="184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rPr>
              <w:t>3,351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Chemical earnings of $592 million decreased $2,759 million from 2018.</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Weaker margins decreased earnings by $1.8 billion.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Volume and mix effects were essentially flat, as lower sales volumes were offset by new asset contributions.</w:t>
      </w:r>
    </w:p>
    <w:p>
      <w:pPr>
        <w:spacing w:after="0" w:line="36" w:lineRule="exact"/>
        <w:rPr>
          <w:sz w:val="20"/>
          <w:szCs w:val="20"/>
          <w:color w:val="auto"/>
        </w:rPr>
      </w:pPr>
    </w:p>
    <w:p>
      <w:pPr>
        <w:ind w:left="660" w:firstLine="54"/>
        <w:spacing w:after="0" w:line="266" w:lineRule="auto"/>
        <w:rPr>
          <w:sz w:val="20"/>
          <w:szCs w:val="20"/>
          <w:color w:val="auto"/>
        </w:rPr>
      </w:pPr>
      <w:r>
        <w:rPr>
          <w:rFonts w:ascii="Arial" w:cs="Arial" w:eastAsia="Arial" w:hAnsi="Arial"/>
          <w:sz w:val="18"/>
          <w:szCs w:val="18"/>
          <w:color w:val="auto"/>
        </w:rPr>
        <w:t>All other items decreased earnings by $940 million, primarily due to higher expenses associated with new assets, business growth, and maintenance activity, the absence of a favorable tax item in the prior year, and unfavorable foreign exchange impacts.</w:t>
      </w:r>
    </w:p>
    <w:p>
      <w:pPr>
        <w:ind w:left="720"/>
        <w:spacing w:after="0"/>
        <w:rPr>
          <w:sz w:val="20"/>
          <w:szCs w:val="20"/>
          <w:color w:val="auto"/>
        </w:rPr>
      </w:pPr>
      <w:r>
        <w:rPr>
          <w:rFonts w:ascii="Arial" w:cs="Arial" w:eastAsia="Arial" w:hAnsi="Arial"/>
          <w:sz w:val="18"/>
          <w:szCs w:val="18"/>
          <w:color w:val="auto"/>
        </w:rPr>
        <w:t>U.S. Chemical earnings were $206 million in 2019, compared with $1,642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Non-U.S. Chemical earnings were $386 million, compared with $1,709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Prime product sales of 26.5 million metric tons were down 0.4 million metric tons from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Chemical earnings of $3,351 million decreased $1,167 million from 2017.</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Weaker margins decreased earnings by $910 million.</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Volume and mix effects increased earnings by $280 million, primarily due to sales growth.</w:t>
      </w:r>
    </w:p>
    <w:p>
      <w:pPr>
        <w:spacing w:after="0" w:line="36" w:lineRule="exact"/>
        <w:rPr>
          <w:sz w:val="20"/>
          <w:szCs w:val="20"/>
          <w:color w:val="auto"/>
        </w:rPr>
      </w:pPr>
    </w:p>
    <w:p>
      <w:pPr>
        <w:ind w:left="660" w:firstLine="54"/>
        <w:spacing w:after="0" w:line="281" w:lineRule="auto"/>
        <w:rPr>
          <w:sz w:val="20"/>
          <w:szCs w:val="20"/>
          <w:color w:val="auto"/>
        </w:rPr>
      </w:pPr>
      <w:r>
        <w:rPr>
          <w:rFonts w:ascii="Arial" w:cs="Arial" w:eastAsia="Arial" w:hAnsi="Arial"/>
          <w:sz w:val="17"/>
          <w:szCs w:val="17"/>
          <w:color w:val="auto"/>
        </w:rPr>
        <w:t>All other items decreased earnings by $540 million, primarily due to the absence of favorable impacts from U.S. tax reform of $335 million, higher downtime/maintenance, and growth-related expenses, partly offset by a favorable tax item and favorable foreign exchange impacts.</w:t>
      </w:r>
    </w:p>
    <w:p>
      <w:pPr>
        <w:spacing w:after="0" w:line="1" w:lineRule="exact"/>
        <w:rPr>
          <w:sz w:val="20"/>
          <w:szCs w:val="20"/>
          <w:color w:val="auto"/>
        </w:rPr>
      </w:pPr>
    </w:p>
    <w:p>
      <w:pPr>
        <w:ind w:left="660" w:firstLine="68"/>
        <w:spacing w:after="0" w:line="266" w:lineRule="auto"/>
        <w:rPr>
          <w:sz w:val="20"/>
          <w:szCs w:val="20"/>
          <w:color w:val="auto"/>
        </w:rPr>
      </w:pPr>
      <w:r>
        <w:rPr>
          <w:rFonts w:ascii="Arial" w:cs="Arial" w:eastAsia="Arial" w:hAnsi="Arial"/>
          <w:sz w:val="18"/>
          <w:szCs w:val="18"/>
          <w:color w:val="auto"/>
        </w:rPr>
        <w:t>U.S. Chemical earnings were $1,642 million in 2018, compared with $2,190 million in the prior year which included $335 million in favorable impacts from U.S. tax reform.</w:t>
      </w:r>
    </w:p>
    <w:p>
      <w:pPr>
        <w:ind w:left="720"/>
        <w:spacing w:after="0"/>
        <w:rPr>
          <w:sz w:val="20"/>
          <w:szCs w:val="20"/>
          <w:color w:val="auto"/>
        </w:rPr>
      </w:pPr>
      <w:r>
        <w:rPr>
          <w:rFonts w:ascii="Arial" w:cs="Arial" w:eastAsia="Arial" w:hAnsi="Arial"/>
          <w:sz w:val="18"/>
          <w:szCs w:val="18"/>
          <w:color w:val="auto"/>
        </w:rPr>
        <w:t>Non-U.S. Chemical earnings were $1,709 million, compared with $2,328 million in the prior year.</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Prime product sales of 26.9 million metric tons were up 1.4 million metric tons from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800" w:type="dxa"/>
            <w:vAlign w:val="bottom"/>
          </w:tcPr>
          <w:p>
            <w:pPr>
              <w:jc w:val="right"/>
              <w:ind w:right="742"/>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w:t>
            </w:r>
          </w:p>
        </w:tc>
      </w:tr>
      <w:tr>
        <w:trPr>
          <w:trHeight w:val="26"/>
        </w:trPr>
        <w:tc>
          <w:tcPr>
            <w:tcW w:w="48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0" w:type="dxa"/>
            <w:vAlign w:val="bottom"/>
          </w:tcPr>
          <w:p>
            <w:pPr>
              <w:jc w:val="center"/>
              <w:ind w:right="42"/>
              <w:spacing w:after="0"/>
              <w:rPr>
                <w:sz w:val="20"/>
                <w:szCs w:val="20"/>
                <w:color w:val="auto"/>
              </w:rPr>
            </w:pPr>
            <w:r>
              <w:rPr>
                <w:rFonts w:ascii="Arial" w:cs="Arial" w:eastAsia="Arial" w:hAnsi="Arial"/>
                <w:sz w:val="14"/>
                <w:szCs w:val="14"/>
                <w:i w:val="1"/>
                <w:iCs w:val="1"/>
                <w:color w:val="auto"/>
                <w:w w:val="99"/>
              </w:rPr>
              <w:t>(millions of dollars)</w:t>
            </w:r>
          </w:p>
        </w:tc>
        <w:tc>
          <w:tcPr>
            <w:tcW w:w="960" w:type="dxa"/>
            <w:vAlign w:val="bottom"/>
          </w:tcPr>
          <w:p>
            <w:pPr>
              <w:spacing w:after="0"/>
              <w:rPr>
                <w:sz w:val="19"/>
                <w:szCs w:val="19"/>
                <w:color w:val="auto"/>
              </w:rPr>
            </w:pPr>
          </w:p>
        </w:tc>
      </w:tr>
      <w:tr>
        <w:trPr>
          <w:trHeight w:val="417"/>
        </w:trPr>
        <w:tc>
          <w:tcPr>
            <w:tcW w:w="4800" w:type="dxa"/>
            <w:vAlign w:val="bottom"/>
          </w:tcPr>
          <w:p>
            <w:pPr>
              <w:spacing w:after="0"/>
              <w:rPr>
                <w:sz w:val="20"/>
                <w:szCs w:val="20"/>
                <w:color w:val="auto"/>
              </w:rPr>
            </w:pPr>
            <w:r>
              <w:rPr>
                <w:rFonts w:ascii="Arial" w:cs="Arial" w:eastAsia="Arial" w:hAnsi="Arial"/>
                <w:sz w:val="18"/>
                <w:szCs w:val="18"/>
                <w:color w:val="auto"/>
              </w:rPr>
              <w:t>Corporate and financing</w:t>
            </w:r>
          </w:p>
        </w:tc>
        <w:tc>
          <w:tcPr>
            <w:tcW w:w="3860" w:type="dxa"/>
            <w:vAlign w:val="bottom"/>
          </w:tcPr>
          <w:p>
            <w:pPr>
              <w:jc w:val="right"/>
              <w:ind w:right="179"/>
              <w:spacing w:after="0"/>
              <w:rPr>
                <w:sz w:val="20"/>
                <w:szCs w:val="20"/>
                <w:color w:val="auto"/>
              </w:rPr>
            </w:pPr>
            <w:r>
              <w:rPr>
                <w:rFonts w:ascii="Arial" w:cs="Arial" w:eastAsia="Arial" w:hAnsi="Arial"/>
                <w:sz w:val="18"/>
                <w:szCs w:val="18"/>
                <w:color w:val="auto"/>
              </w:rPr>
              <w:t>(3,017)</w:t>
            </w:r>
          </w:p>
        </w:tc>
        <w:tc>
          <w:tcPr>
            <w:tcW w:w="1800" w:type="dxa"/>
            <w:vAlign w:val="bottom"/>
          </w:tcPr>
          <w:p>
            <w:pPr>
              <w:jc w:val="right"/>
              <w:ind w:right="482"/>
              <w:spacing w:after="0"/>
              <w:rPr>
                <w:sz w:val="20"/>
                <w:szCs w:val="20"/>
                <w:color w:val="auto"/>
              </w:rPr>
            </w:pPr>
            <w:r>
              <w:rPr>
                <w:rFonts w:ascii="Arial" w:cs="Arial" w:eastAsia="Arial" w:hAnsi="Arial"/>
                <w:sz w:val="18"/>
                <w:szCs w:val="18"/>
                <w:color w:val="auto"/>
              </w:rPr>
              <w:t>(2,600)</w:t>
            </w:r>
          </w:p>
        </w:tc>
        <w:tc>
          <w:tcPr>
            <w:tcW w:w="960" w:type="dxa"/>
            <w:vAlign w:val="bottom"/>
          </w:tcPr>
          <w:p>
            <w:pPr>
              <w:jc w:val="right"/>
              <w:spacing w:after="0"/>
              <w:rPr>
                <w:sz w:val="20"/>
                <w:szCs w:val="20"/>
                <w:color w:val="auto"/>
              </w:rPr>
            </w:pPr>
            <w:r>
              <w:rPr>
                <w:rFonts w:ascii="Arial" w:cs="Arial" w:eastAsia="Arial" w:hAnsi="Arial"/>
                <w:sz w:val="18"/>
                <w:szCs w:val="18"/>
                <w:color w:val="auto"/>
              </w:rPr>
              <w:t>(3,760)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financing expenses were $3,017 million in 2019 compared to $2,600 million in 2018, with the increase mainly due to unfavorable tax impacts and higher financing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financing expenses were $2,600 million in 2018 compared to $3,760 million in 2017, with the decrease mainly due to the absence of prior year unfavorable impacts of $2.1 billion from U.S. tax reform, partly offset by higher pension and financing related costs, the lower U.S. tax rate, and lower net favorable tax items.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680" w:type="dxa"/>
            <w:vAlign w:val="bottom"/>
            <w:vMerge w:val="restart"/>
          </w:tcPr>
          <w:p>
            <w:pPr>
              <w:spacing w:after="0"/>
              <w:rPr>
                <w:sz w:val="20"/>
                <w:szCs w:val="20"/>
                <w:color w:val="auto"/>
              </w:rPr>
            </w:pPr>
            <w:r>
              <w:rPr>
                <w:rFonts w:ascii="Arial" w:cs="Arial" w:eastAsia="Arial" w:hAnsi="Arial"/>
                <w:sz w:val="18"/>
                <w:szCs w:val="18"/>
                <w:color w:val="auto"/>
              </w:rPr>
              <w:t>Net cash provided by/(used in)</w:t>
            </w:r>
          </w:p>
        </w:tc>
        <w:tc>
          <w:tcPr>
            <w:tcW w:w="10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4"/>
                <w:szCs w:val="14"/>
                <w:i w:val="1"/>
                <w:iCs w:val="1"/>
                <w:color w:val="auto"/>
                <w:w w:val="97"/>
              </w:rPr>
              <w:t>(millions of dollars)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6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29,716</w:t>
            </w:r>
          </w:p>
        </w:tc>
        <w:tc>
          <w:tcPr>
            <w:tcW w:w="1740" w:type="dxa"/>
            <w:vAlign w:val="bottom"/>
          </w:tcPr>
          <w:p>
            <w:pPr>
              <w:jc w:val="right"/>
              <w:ind w:right="476"/>
              <w:spacing w:after="0"/>
              <w:rPr>
                <w:sz w:val="20"/>
                <w:szCs w:val="20"/>
                <w:color w:val="auto"/>
              </w:rPr>
            </w:pPr>
            <w:r>
              <w:rPr>
                <w:rFonts w:ascii="Arial" w:cs="Arial" w:eastAsia="Arial" w:hAnsi="Arial"/>
                <w:sz w:val="18"/>
                <w:szCs w:val="18"/>
                <w:color w:val="auto"/>
              </w:rPr>
              <w:t>36,014</w:t>
            </w:r>
          </w:p>
        </w:tc>
        <w:tc>
          <w:tcPr>
            <w:tcW w:w="960" w:type="dxa"/>
            <w:vAlign w:val="bottom"/>
          </w:tcPr>
          <w:p>
            <w:pPr>
              <w:jc w:val="right"/>
              <w:spacing w:after="0"/>
              <w:rPr>
                <w:sz w:val="20"/>
                <w:szCs w:val="20"/>
                <w:color w:val="auto"/>
              </w:rPr>
            </w:pPr>
            <w:r>
              <w:rPr>
                <w:rFonts w:ascii="Arial" w:cs="Arial" w:eastAsia="Arial" w:hAnsi="Arial"/>
                <w:sz w:val="18"/>
                <w:szCs w:val="18"/>
                <w:color w:val="auto"/>
              </w:rPr>
              <w:t>30,066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(23,084)</w:t>
            </w:r>
          </w:p>
        </w:tc>
        <w:tc>
          <w:tcPr>
            <w:tcW w:w="1740" w:type="dxa"/>
            <w:vAlign w:val="bottom"/>
          </w:tcPr>
          <w:p>
            <w:pPr>
              <w:jc w:val="right"/>
              <w:ind w:right="436"/>
              <w:spacing w:after="0"/>
              <w:rPr>
                <w:sz w:val="20"/>
                <w:szCs w:val="20"/>
                <w:color w:val="auto"/>
              </w:rPr>
            </w:pPr>
            <w:r>
              <w:rPr>
                <w:rFonts w:ascii="Arial" w:cs="Arial" w:eastAsia="Arial" w:hAnsi="Arial"/>
                <w:sz w:val="18"/>
                <w:szCs w:val="18"/>
                <w:color w:val="auto"/>
              </w:rPr>
              <w:t>(16,446)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(15,730)</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(6,618)</w:t>
            </w:r>
          </w:p>
        </w:tc>
        <w:tc>
          <w:tcPr>
            <w:tcW w:w="1740" w:type="dxa"/>
            <w:vAlign w:val="bottom"/>
          </w:tcPr>
          <w:p>
            <w:pPr>
              <w:jc w:val="right"/>
              <w:ind w:right="436"/>
              <w:spacing w:after="0"/>
              <w:rPr>
                <w:sz w:val="20"/>
                <w:szCs w:val="20"/>
                <w:color w:val="auto"/>
              </w:rPr>
            </w:pPr>
            <w:r>
              <w:rPr>
                <w:rFonts w:ascii="Arial" w:cs="Arial" w:eastAsia="Arial" w:hAnsi="Arial"/>
                <w:sz w:val="18"/>
                <w:szCs w:val="18"/>
                <w:color w:val="auto"/>
              </w:rPr>
              <w:t>(19,446)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33</w:t>
            </w:r>
          </w:p>
        </w:tc>
        <w:tc>
          <w:tcPr>
            <w:tcW w:w="17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(257)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47</w:t>
            </w:r>
          </w:p>
        </w:tc>
        <w:tc>
          <w:tcPr>
            <w:tcW w:w="17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(135)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7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(December 31)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68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3,089</w:t>
            </w:r>
          </w:p>
        </w:tc>
        <w:tc>
          <w:tcPr>
            <w:tcW w:w="174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3,042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cash and cash equivalents were $3.1 billion at the end of 2019, up $47 million from the prior year. The major sources of funds in 2019 were net income including noncontrolling interests of $14.8 billion, the adjustment for the noncash provision of $19.0 billion for depreciation and depletion, a net debt increase of $8.7 billion, and proceeds from asset sales of $3.7 billion. The major uses of funds included spending for additions to property, plant and equipment of $24.4 billion, dividends to shareholders of $14.7 billion, and additional investments and advances of $3.9 billion.</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cash and cash equivalents were $3.0 billion at the end of 2018, down $0.1 billion from the prior year. The major sources of funds in 2018 were net income including noncontrolling interests of $21.4 billion, the adjustment for the noncash provision of $18.7 billion for depreciation and depletion, and proceeds from asset sales of $4.1 billion. The major uses of funds included spending for additions to property, plant and equipment of $19.6 billion, dividends to shareholders of $13.8 billion, net debt repayments of $4.9 billion, an increase in inventories of $3.1 billion, the adjustment for net gains on asset sales of $2.0 billion, and additional investments and advances of $2.0 billion.</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has access to significant capacity of long-term and short-term liquidity. Internally generated funds are generally expected to cover financial requirements, supplemented by short-term and long-term debt as required. Commercial paper is used to balance short-term liquidity requirements, and is reflected in “Notes and loans payable” on the Consolidated Balance Sheet with changes in outstanding commercial paper between periods included in the Consolidated Statement of Cash Flows. On December 31, 2019, the Corporation had unused committed short-term lines of credit of $7.9 billion and unused committed long-term lines of credit of $0.2 billion. Cash that may be available as surplus to the Corporation’s immediate needs is carefully managed through counterparty quality and investment guidelines to ensure it is secure and readily available to meet the Corporation’s cash requirements, and to optimize returns.</w:t>
      </w:r>
    </w:p>
    <w:p>
      <w:pPr>
        <w:spacing w:after="0" w:line="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cash flows in future periods the Corporation will need to continually find or acquire and develop new fields, and continue to develop and apply new technologies and recovery processes to existing fields, in order to maintain or increase production. After a period of production at plateau rates, it is the nature of oil and gas fields eventually to produce at declining rates for the remainder of their economic life. Decline rates can vary widely by individual field due to a number of factors, including, but not limited to, the type of reservoir, fluid properties, recovery mechanisms, work activity, and age of the field. In particular, the Corporation’s key tight-oil plays have higher initial decline rates which tend to moderate over time. Furthermore, the Corporation’s net interest in production for individual fields can vary with price and the impact of fiscal and commercial terms.</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Corporation has long been successful at offsetting the effects of natural field decline through disciplined investments in quality opportunities and project execution. 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and changes in the amount and timing of investments that may vary depending on the oil and gas price environment. The Corporation’s cash flows are also highly dependent on crude oil and natural gas prices. Please refer to Item 1A. Risk Factors for a more complete discussion of risks.</w:t>
      </w:r>
    </w:p>
    <w:p>
      <w:pPr>
        <w:spacing w:after="0" w:line="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Corporation’s financial strength enables it to make large, long-term capital expenditures. Capital and exploration expenditures in 2019 were $31.1 billion, reflecting the Corporation’s continued active investment program. The Corporation anticipates an investment level of up to $33 billion in 2020.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Actual spending could vary depending on the progress of individual projects and property acquisitions. The Corporation has a large and diverse portfolio of development projects and exploration opportunities, which helps mitigate the overall political and technical risks of the Corporation’s Upstream segment and associated cash flow. Further, due to its financial strength, debt capacity and diverse portfolio of opportunities, the risk associated with failure or delay of any single project would not have a significant impact on the Corporation’s liquidity or ability to generate sufficient cash flows for operations and its fixed commitments.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Additionally, the Corporation continues to evaluate opportunities to enhance its business portfolio through acquisitions of assets or companies, and enters into such transactions from time to time. Key criteria for evaluating acquisitions include potential for future growth and attractive current valuations. Acquisitions may be made with cash, shares of the Corporation’s common stock, or both.</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ExxonMobil closely monitors the potential impacts of Brexit and Interbank Offered Rate (IBOR) reforms, including LIBOR, under a number of scenarios and has taken steps to mitigate their potential impact. Accordingly, ExxonMobil does not believe these events represent a material risk to the Corporation’s consolidated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totaled $29.7 billion in 2019, $6.3 billion lower than 2018. The major source of funds was net income including noncontrolling interests of $14.8 billion, a decrease of $6.6 billion. The noncash provision for depreciation and depletion was $19.0 billion, up $0.3 billion from the prior year. The adjustment for the net gain on asset sales was $1.7 billion, a decrease of $0.3 billion. The adjustment for dividends received less than equity in current earnings of equity companies was a reduction of $0.9 billion, compared to a reduction of $1.7 billion in 2018. Changes in operational working capital, excluding cash and debt, increased cash in 2019 by $0.9 billion.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totaled $36.0 billion in 2018, $5.9 billion higher than 2017. The major source of funds was net income including noncontrolling interests of $21.4 billion, an increase of $1.6 billion. The noncash provision for depreciation and depletion was $18.7 billion, down $1.1 billion from the prior year. The adjustment for the net gain on asset sales was $2.0 billion, an increase of $1.7 billion. The adjustment for dividends received less than equity in current earnings of equity companies was a reduction of $1.7 billion, compared to an increase of $0.1 billion in 2017. The adjustment for deferred income tax credits was $0.1 billion, compared to $8.6 billion in 2017. Changes in operational working capital, excluding cash and debt, decreased cash in 2018 by $1.4 billion.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netted to $23.1 billion in 2019, $6.6 billion higher than 2018. Spending for property, plant and equipment of $24.4 billion increased $4.8 billion from 2018. Proceeds associated with sales of subsidiaries, property, plant and equipment, and sales and returns of investments of $3.7 billion compared to $4.1 billion in 2018. Additional investments and advances were $1.9 billion higher in 2019, while proceeds from other investing activities including collection of advances increased by $0.5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used in investing activities netted to $16.4 billion in 2018, $0.7 billion higher than 2017. Spending for property, plant and equipment of $19.6 billion increased $4.2 billion from 2017. Proceeds associated with sales of subsidiaries, property, plant and equipment, and sales and returns of investments of $4.1 billion compared to $3.1 billion in 2017. Additional investments and advances were $3.5 billion lower in 2018, while proceeds from other investing activities including collection of advances decreased by $1.1 billion.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financing activities was $6.6 billion in 2019, $12.8 billion lower than 2018. Dividend payments on common shares increased to $3.43 per share from $3.23 per share and totaled $14.7 billion. During the third quarter of 2019, the Corporation issued $7.0 billion of long-term debt. Total debt increased $9.1 billion to $46.9 billion at year-end.</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ExxonMobil share of equity decreased $0.1 billion to $191.7 billion. The addition to equity for earnings was $14.3 billion. This was offset by reductions for distributions to ExxonMobil shareholders of $14.7 billion, all in the form of dividends. Foreign exchange translation effects of $1.4 billion for the weaker U.S. currency increased equity, while a $1.4 billion change in the funded status of the postretirement benefits reserves reduced equity.</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Exxon Mobil Corporation acquired 8 million shares of its common stock for the treasury. Purchases were made to offset shares or units settled in shares issued in conjunction with the company’s benefit plans and programs. Shares outstanding decreased from 4,237 million to 4,234 million at the end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financing activities was $19.4 billion in 2018, $4.3 billion higher than 2017. Dividend payments on common shares increased to $3.23 per share from $3.06 per share and totaled $13.8 billion. Total debt decreased $4.5 billion to $37.8 billion at year-end. The reduction was principally driven by net short-term debt and commercial paper repayments of $5.0 billion.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ExxonMobil share of equity increased $4.1 billion to $191.8 billion. The addition to equity for earnings was $20.8 billion. This was partly offset by reductions for distributions to ExxonMobil shareholders of $13.8 billion, all in the form of dividends. Foreign exchange translation effects of $4.4 billion for the stronger U.S. currency reduced equity, while a $1.1 billion change in the funded status of the postretirement benefits reserves increased equity.</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Exxon Mobil Corporation acquired 8 million shares of its common stock for the treasury. Purchases were made to offset shares or units settled in shares issued in conjunction with the company’s benefit plans and programs. Shares outstanding decreased from 4,239 million to 4,237 million at the end of 2018.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is information about the outstanding commitments of the Corporation’s consolidated subsidiaries at December 31, 2019. The table combines data from the Consolidated Balance Sheet and from individual notes to the Consolidated Financial Statements.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Payments Due by Period</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2025</w:t>
            </w:r>
          </w:p>
        </w:tc>
        <w:tc>
          <w:tcPr>
            <w:tcW w:w="88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10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7"/>
                <w:szCs w:val="17"/>
                <w:color w:val="auto"/>
              </w:rPr>
            </w:pPr>
          </w:p>
        </w:tc>
      </w:tr>
      <w:tr>
        <w:trPr>
          <w:trHeight w:val="24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Beyond</w:t>
            </w: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184"/>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20" w:type="dxa"/>
            <w:vAlign w:val="bottom"/>
            <w:gridSpan w:val="2"/>
          </w:tcPr>
          <w:p>
            <w:pPr>
              <w:jc w:val="right"/>
              <w:ind w:right="474"/>
              <w:spacing w:after="0"/>
              <w:rPr>
                <w:sz w:val="20"/>
                <w:szCs w:val="20"/>
                <w:color w:val="auto"/>
              </w:rPr>
            </w:pPr>
            <w:r>
              <w:rPr>
                <w:rFonts w:ascii="Arial" w:cs="Arial" w:eastAsia="Arial" w:hAnsi="Arial"/>
                <w:sz w:val="14"/>
                <w:szCs w:val="14"/>
                <w:i w:val="1"/>
                <w:iCs w:val="1"/>
                <w:color w:val="auto"/>
              </w:rPr>
              <w:t>(millions of dollars)</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443"/>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Long-term debt excluding finance lease obligations </w:t>
            </w:r>
            <w:r>
              <w:rPr>
                <w:rFonts w:ascii="Arial" w:cs="Arial" w:eastAsia="Arial" w:hAnsi="Arial"/>
                <w:sz w:val="14"/>
                <w:szCs w:val="14"/>
                <w:i w:val="1"/>
                <w:iCs w:val="1"/>
                <w:color w:val="auto"/>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6, 14</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1,617</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6,119</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3,391</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15,162</w:t>
            </w:r>
          </w:p>
        </w:tc>
        <w:tc>
          <w:tcPr>
            <w:tcW w:w="880" w:type="dxa"/>
            <w:vAlign w:val="bottom"/>
          </w:tcPr>
          <w:p>
            <w:pPr>
              <w:jc w:val="right"/>
              <w:spacing w:after="0"/>
              <w:rPr>
                <w:sz w:val="20"/>
                <w:szCs w:val="20"/>
                <w:color w:val="auto"/>
              </w:rPr>
            </w:pPr>
            <w:r>
              <w:rPr>
                <w:rFonts w:ascii="Arial" w:cs="Arial" w:eastAsia="Arial" w:hAnsi="Arial"/>
                <w:sz w:val="18"/>
                <w:szCs w:val="18"/>
                <w:color w:val="auto"/>
              </w:rPr>
              <w:t>26,289</w:t>
            </w:r>
          </w:p>
        </w:tc>
      </w:tr>
      <w:tr>
        <w:trPr>
          <w:trHeight w:val="216"/>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4"/>
                <w:szCs w:val="14"/>
                <w:i w:val="1"/>
                <w:iCs w:val="1"/>
                <w:color w:val="auto"/>
              </w:rPr>
              <w:t>(2)</w:t>
            </w:r>
          </w:p>
        </w:tc>
        <w:tc>
          <w:tcPr>
            <w:tcW w:w="11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1,001</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1,027</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806</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8,446</w:t>
            </w:r>
          </w:p>
        </w:tc>
        <w:tc>
          <w:tcPr>
            <w:tcW w:w="880" w:type="dxa"/>
            <w:vAlign w:val="bottom"/>
          </w:tcPr>
          <w:p>
            <w:pPr>
              <w:jc w:val="right"/>
              <w:spacing w:after="0"/>
              <w:rPr>
                <w:sz w:val="20"/>
                <w:szCs w:val="20"/>
                <w:color w:val="auto"/>
              </w:rPr>
            </w:pPr>
            <w:r>
              <w:rPr>
                <w:rFonts w:ascii="Arial" w:cs="Arial" w:eastAsia="Arial" w:hAnsi="Arial"/>
                <w:sz w:val="18"/>
                <w:szCs w:val="18"/>
                <w:color w:val="auto"/>
              </w:rPr>
              <w:t>11,280</w:t>
            </w:r>
          </w:p>
        </w:tc>
      </w:tr>
      <w:tr>
        <w:trPr>
          <w:trHeight w:val="216"/>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Pension and other postretirement obligations </w:t>
            </w:r>
            <w:r>
              <w:rPr>
                <w:rFonts w:ascii="Arial" w:cs="Arial" w:eastAsia="Arial" w:hAnsi="Arial"/>
                <w:sz w:val="14"/>
                <w:szCs w:val="14"/>
                <w:i w:val="1"/>
                <w:iCs w:val="1"/>
                <w:color w:val="auto"/>
              </w:rPr>
              <w:t>(3)</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2,332</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1,777</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1,735</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16,169</w:t>
            </w:r>
          </w:p>
        </w:tc>
        <w:tc>
          <w:tcPr>
            <w:tcW w:w="880" w:type="dxa"/>
            <w:vAlign w:val="bottom"/>
          </w:tcPr>
          <w:p>
            <w:pPr>
              <w:jc w:val="right"/>
              <w:spacing w:after="0"/>
              <w:rPr>
                <w:sz w:val="20"/>
                <w:szCs w:val="20"/>
                <w:color w:val="auto"/>
              </w:rPr>
            </w:pPr>
            <w:r>
              <w:rPr>
                <w:rFonts w:ascii="Arial" w:cs="Arial" w:eastAsia="Arial" w:hAnsi="Arial"/>
                <w:sz w:val="18"/>
                <w:szCs w:val="18"/>
                <w:color w:val="auto"/>
              </w:rPr>
              <w:t>22,013</w:t>
            </w:r>
          </w:p>
        </w:tc>
      </w:tr>
      <w:tr>
        <w:trPr>
          <w:trHeight w:val="216"/>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Lease commitments </w:t>
            </w:r>
            <w:r>
              <w:rPr>
                <w:rFonts w:ascii="Arial" w:cs="Arial" w:eastAsia="Arial" w:hAnsi="Arial"/>
                <w:sz w:val="14"/>
                <w:szCs w:val="14"/>
                <w:i w:val="1"/>
                <w:iCs w:val="1"/>
                <w:color w:val="auto"/>
              </w:rPr>
              <w:t>(4)</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Operating and finance leases - commenced</w:t>
            </w:r>
          </w:p>
        </w:tc>
        <w:tc>
          <w:tcPr>
            <w:tcW w:w="112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1,632</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2,468</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1,313</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2,188</w:t>
            </w:r>
          </w:p>
        </w:tc>
        <w:tc>
          <w:tcPr>
            <w:tcW w:w="880" w:type="dxa"/>
            <w:vAlign w:val="bottom"/>
          </w:tcPr>
          <w:p>
            <w:pPr>
              <w:jc w:val="right"/>
              <w:spacing w:after="0"/>
              <w:rPr>
                <w:sz w:val="20"/>
                <w:szCs w:val="20"/>
                <w:color w:val="auto"/>
              </w:rPr>
            </w:pPr>
            <w:r>
              <w:rPr>
                <w:rFonts w:ascii="Arial" w:cs="Arial" w:eastAsia="Arial" w:hAnsi="Arial"/>
                <w:sz w:val="18"/>
                <w:szCs w:val="18"/>
                <w:color w:val="auto"/>
              </w:rPr>
              <w:t>7,601</w:t>
            </w:r>
          </w:p>
        </w:tc>
      </w:tr>
      <w:tr>
        <w:trPr>
          <w:trHeight w:val="216"/>
        </w:trPr>
        <w:tc>
          <w:tcPr>
            <w:tcW w:w="5200" w:type="dxa"/>
            <w:vAlign w:val="bottom"/>
          </w:tcPr>
          <w:p>
            <w:pPr>
              <w:ind w:left="380"/>
              <w:spacing w:after="0"/>
              <w:rPr>
                <w:sz w:val="20"/>
                <w:szCs w:val="20"/>
                <w:color w:val="auto"/>
              </w:rPr>
            </w:pPr>
            <w:r>
              <w:rPr>
                <w:rFonts w:ascii="Arial" w:cs="Arial" w:eastAsia="Arial" w:hAnsi="Arial"/>
                <w:sz w:val="18"/>
                <w:szCs w:val="18"/>
                <w:color w:val="auto"/>
              </w:rPr>
              <w:t>Operating and finance leases - not yet commenced</w:t>
            </w:r>
          </w:p>
        </w:tc>
        <w:tc>
          <w:tcPr>
            <w:tcW w:w="112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327</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569</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1,046</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2,627</w:t>
            </w:r>
          </w:p>
        </w:tc>
        <w:tc>
          <w:tcPr>
            <w:tcW w:w="880" w:type="dxa"/>
            <w:vAlign w:val="bottom"/>
          </w:tcPr>
          <w:p>
            <w:pPr>
              <w:jc w:val="right"/>
              <w:spacing w:after="0"/>
              <w:rPr>
                <w:sz w:val="20"/>
                <w:szCs w:val="20"/>
                <w:color w:val="auto"/>
              </w:rPr>
            </w:pPr>
            <w:r>
              <w:rPr>
                <w:rFonts w:ascii="Arial" w:cs="Arial" w:eastAsia="Arial" w:hAnsi="Arial"/>
                <w:sz w:val="18"/>
                <w:szCs w:val="18"/>
                <w:color w:val="auto"/>
              </w:rPr>
              <w:t>4,569</w:t>
            </w:r>
          </w:p>
        </w:tc>
      </w:tr>
      <w:tr>
        <w:trPr>
          <w:trHeight w:val="216"/>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Take-or-pay and unconditional purchase obligations </w:t>
            </w:r>
            <w:r>
              <w:rPr>
                <w:rFonts w:ascii="Arial" w:cs="Arial" w:eastAsia="Arial" w:hAnsi="Arial"/>
                <w:sz w:val="14"/>
                <w:szCs w:val="14"/>
                <w:i w:val="1"/>
                <w:iCs w:val="1"/>
                <w:color w:val="auto"/>
              </w:rPr>
              <w:t>(5)</w:t>
            </w:r>
          </w:p>
        </w:tc>
        <w:tc>
          <w:tcPr>
            <w:tcW w:w="112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3,836</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7,093</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5,580</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17,148</w:t>
            </w:r>
          </w:p>
        </w:tc>
        <w:tc>
          <w:tcPr>
            <w:tcW w:w="880" w:type="dxa"/>
            <w:vAlign w:val="bottom"/>
          </w:tcPr>
          <w:p>
            <w:pPr>
              <w:jc w:val="right"/>
              <w:spacing w:after="0"/>
              <w:rPr>
                <w:sz w:val="20"/>
                <w:szCs w:val="20"/>
                <w:color w:val="auto"/>
              </w:rPr>
            </w:pPr>
            <w:r>
              <w:rPr>
                <w:rFonts w:ascii="Arial" w:cs="Arial" w:eastAsia="Arial" w:hAnsi="Arial"/>
                <w:sz w:val="18"/>
                <w:szCs w:val="18"/>
                <w:color w:val="auto"/>
              </w:rPr>
              <w:t>33,657</w:t>
            </w: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 xml:space="preserve">Firm capital commitments </w:t>
            </w:r>
            <w:r>
              <w:rPr>
                <w:rFonts w:ascii="Arial" w:cs="Arial" w:eastAsia="Arial" w:hAnsi="Arial"/>
                <w:sz w:val="14"/>
                <w:szCs w:val="14"/>
                <w:i w:val="1"/>
                <w:iCs w:val="1"/>
                <w:color w:val="auto"/>
              </w:rPr>
              <w:t>(6)</w:t>
            </w:r>
          </w:p>
        </w:tc>
        <w:tc>
          <w:tcPr>
            <w:tcW w:w="1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10,982</w:t>
            </w:r>
          </w:p>
        </w:tc>
        <w:tc>
          <w:tcPr>
            <w:tcW w:w="1100" w:type="dxa"/>
            <w:vAlign w:val="bottom"/>
          </w:tcPr>
          <w:p>
            <w:pPr>
              <w:jc w:val="right"/>
              <w:ind w:right="197"/>
              <w:spacing w:after="0"/>
              <w:rPr>
                <w:sz w:val="20"/>
                <w:szCs w:val="20"/>
                <w:color w:val="auto"/>
              </w:rPr>
            </w:pPr>
            <w:r>
              <w:rPr>
                <w:rFonts w:ascii="Arial" w:cs="Arial" w:eastAsia="Arial" w:hAnsi="Arial"/>
                <w:sz w:val="18"/>
                <w:szCs w:val="18"/>
                <w:color w:val="auto"/>
              </w:rPr>
              <w:t>5,278</w:t>
            </w:r>
          </w:p>
        </w:tc>
        <w:tc>
          <w:tcPr>
            <w:tcW w:w="1020" w:type="dxa"/>
            <w:vAlign w:val="bottom"/>
          </w:tcPr>
          <w:p>
            <w:pPr>
              <w:jc w:val="right"/>
              <w:ind w:right="154"/>
              <w:spacing w:after="0"/>
              <w:rPr>
                <w:sz w:val="20"/>
                <w:szCs w:val="20"/>
                <w:color w:val="auto"/>
              </w:rPr>
            </w:pPr>
            <w:r>
              <w:rPr>
                <w:rFonts w:ascii="Arial" w:cs="Arial" w:eastAsia="Arial" w:hAnsi="Arial"/>
                <w:sz w:val="18"/>
                <w:szCs w:val="18"/>
                <w:color w:val="auto"/>
              </w:rPr>
              <w:t>1,149</w:t>
            </w: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686</w:t>
            </w:r>
          </w:p>
        </w:tc>
        <w:tc>
          <w:tcPr>
            <w:tcW w:w="880" w:type="dxa"/>
            <w:vAlign w:val="bottom"/>
          </w:tcPr>
          <w:p>
            <w:pPr>
              <w:jc w:val="right"/>
              <w:spacing w:after="0"/>
              <w:rPr>
                <w:sz w:val="20"/>
                <w:szCs w:val="20"/>
                <w:color w:val="auto"/>
              </w:rPr>
            </w:pPr>
            <w:r>
              <w:rPr>
                <w:rFonts w:ascii="Arial" w:cs="Arial" w:eastAsia="Arial" w:hAnsi="Arial"/>
                <w:sz w:val="18"/>
                <w:szCs w:val="18"/>
                <w:color w:val="auto"/>
              </w:rPr>
              <w:t>18,095</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table excludes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Inclusion of such commitments would not be meaningful in assessing liquidity and cash flow, because these purchases will be offset in the same periods by cash received from the related sales transactions. The table also excludes unrecognized tax benefits totaling $8.8 billion as of December 31, 2019, because the Corporation is unable to make reasonably reliable estimates of the timing of cash settlements with the respective taxing authorities. Further details on the unrecognized tax benefits can be found in “Note 19: Income and Other Taxes”.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63" w:lineRule="exact"/>
        <w:rPr>
          <w:sz w:val="20"/>
          <w:szCs w:val="20"/>
          <w:color w:val="auto"/>
        </w:rPr>
      </w:pPr>
    </w:p>
    <w:p>
      <w:pPr>
        <w:ind w:left="180" w:hanging="172"/>
        <w:spacing w:after="0" w:line="277" w:lineRule="auto"/>
        <w:tabs>
          <w:tab w:leader="none" w:pos="546"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due in 2020 is included in Notes and loans payable of $20,578 million. The amounts due 2021 and beyond are included in Long-term debt of $26,342 million.</w:t>
      </w:r>
    </w:p>
    <w:p>
      <w:pPr>
        <w:spacing w:after="0" w:line="8" w:lineRule="exact"/>
        <w:rPr>
          <w:rFonts w:ascii="Arial" w:cs="Arial" w:eastAsia="Arial" w:hAnsi="Arial"/>
          <w:sz w:val="18"/>
          <w:szCs w:val="18"/>
          <w:i w:val="1"/>
          <w:iCs w:val="1"/>
          <w:color w:val="auto"/>
        </w:rPr>
      </w:pPr>
    </w:p>
    <w:p>
      <w:pPr>
        <w:ind w:left="540" w:hanging="532"/>
        <w:spacing w:after="0"/>
        <w:tabs>
          <w:tab w:leader="none" w:pos="5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Asset retirement obligations are primarily upstream asset removal costs at the completion of field life.</w:t>
      </w:r>
    </w:p>
    <w:p>
      <w:pPr>
        <w:spacing w:after="0" w:line="63" w:lineRule="exact"/>
        <w:rPr>
          <w:rFonts w:ascii="Arial" w:cs="Arial" w:eastAsia="Arial" w:hAnsi="Arial"/>
          <w:sz w:val="18"/>
          <w:szCs w:val="18"/>
          <w:i w:val="1"/>
          <w:iCs w:val="1"/>
          <w:color w:val="auto"/>
        </w:rPr>
      </w:pPr>
    </w:p>
    <w:p>
      <w:pPr>
        <w:jc w:val="both"/>
        <w:ind w:left="180" w:hanging="172"/>
        <w:spacing w:after="0" w:line="264" w:lineRule="auto"/>
        <w:tabs>
          <w:tab w:leader="none" w:pos="546"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by which the benefit obligations exceeded the fair value of fund assets for U.S. and non-U.S. pension and other postretirement plans at year-end. The payments by period include expected contributions to funded pension plans in 2020 and estimated benefit payments for unfunded plans in all years.</w:t>
      </w:r>
    </w:p>
    <w:p>
      <w:pPr>
        <w:spacing w:after="0" w:line="19" w:lineRule="exact"/>
        <w:rPr>
          <w:rFonts w:ascii="Arial" w:cs="Arial" w:eastAsia="Arial" w:hAnsi="Arial"/>
          <w:sz w:val="18"/>
          <w:szCs w:val="18"/>
          <w:i w:val="1"/>
          <w:iCs w:val="1"/>
          <w:color w:val="auto"/>
        </w:rPr>
      </w:pPr>
    </w:p>
    <w:p>
      <w:pPr>
        <w:ind w:left="540" w:hanging="532"/>
        <w:spacing w:after="0"/>
        <w:tabs>
          <w:tab w:leader="none" w:pos="5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Commitments for operating and finance leases cover drilling equipment, tankers and other assets.</w:t>
      </w:r>
    </w:p>
    <w:p>
      <w:pPr>
        <w:spacing w:after="0" w:line="63" w:lineRule="exact"/>
        <w:rPr>
          <w:rFonts w:ascii="Arial" w:cs="Arial" w:eastAsia="Arial" w:hAnsi="Arial"/>
          <w:sz w:val="18"/>
          <w:szCs w:val="18"/>
          <w:i w:val="1"/>
          <w:iCs w:val="1"/>
          <w:color w:val="auto"/>
        </w:rPr>
      </w:pPr>
    </w:p>
    <w:p>
      <w:pPr>
        <w:jc w:val="both"/>
        <w:ind w:left="180" w:hanging="172"/>
        <w:spacing w:after="0" w:line="286" w:lineRule="auto"/>
        <w:tabs>
          <w:tab w:leader="none" w:pos="546"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Take-or-pay obligations are noncancelable, long-term commitments for goods and services. Unconditional purchase obligations are those long-term commitments that are noncancelable or cancelable only under certain conditions, and that third parties have used to secure financing for the facilities that will provide the contracted goods or services. The obligations mainly pertain to pipeline, manufacturing supply and terminal agreements.</w:t>
      </w:r>
    </w:p>
    <w:p>
      <w:pPr>
        <w:spacing w:after="0" w:line="3" w:lineRule="exact"/>
        <w:rPr>
          <w:rFonts w:ascii="Arial" w:cs="Arial" w:eastAsia="Arial" w:hAnsi="Arial"/>
          <w:sz w:val="17"/>
          <w:szCs w:val="17"/>
          <w:i w:val="1"/>
          <w:iCs w:val="1"/>
          <w:color w:val="auto"/>
        </w:rPr>
      </w:pPr>
    </w:p>
    <w:p>
      <w:pPr>
        <w:jc w:val="both"/>
        <w:ind w:left="180" w:hanging="172"/>
        <w:spacing w:after="0" w:line="279" w:lineRule="auto"/>
        <w:tabs>
          <w:tab w:leader="none" w:pos="546"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Firm capital commitments represent legally binding payment obligations to third parties where agreements specifying all significant terms have been executed for the construction and purchase of fixed assets and other permanent investments. In certain cases where the Corporation executes contracts requiring commitments to a work scope, those commitments have been included to the extent that the amounts and timing of payments can be reliably estimated. Firm capital commitments, shown on an undiscounted basis, totaled $18.1 billion, including $8.7 billion in the U.S.</w:t>
      </w:r>
    </w:p>
    <w:p>
      <w:pPr>
        <w:spacing w:after="0" w:line="9"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i w:val="1"/>
          <w:iCs w:val="1"/>
          <w:color w:val="auto"/>
        </w:rPr>
        <w:t>Firm capital commitments for the non-U.S. Upstream of $6.9 billion were primarily associated with projects in Angola, Malaysia, Guyana, United Kingdom, Australia, United Arab Emirates, Canada and Brazil. The Corporation expects to fund the majority of these commitments with internally generated funds, supplemented by short-term and long-term debt as required.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 and certain of its consolidated subsidiaries were contingently liable at December 31, 2019, for guarantees relating to notes, loans and performance under contracts (Note 16). Where guarantees for environmental remediation and other similar matters do not include a stated cap, the amounts reflect management’s estimate of the maximum potential exposure. These guarantees are not reasonably likely to have a material effect on the Corporation’s financial condition, changes in financial condition, revenues or expenses, results of operations, liquidity, capital expenditures or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Strength</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2019, the Corporation’s unused short-term committed lines of credit totaled $7.9 billion (Note 6) and unused long-term committed lines of credit totaled $0.2 billion (Note 14). The table below shows the Corporation’s consolidated debt-to-capital ratios. The data demonstrates the Corporation’s creditworthiness.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9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Debt to capital (percent)</w:t>
            </w:r>
          </w:p>
        </w:tc>
        <w:tc>
          <w:tcPr>
            <w:tcW w:w="3960" w:type="dxa"/>
            <w:vAlign w:val="bottom"/>
          </w:tcPr>
          <w:p>
            <w:pPr>
              <w:jc w:val="right"/>
              <w:ind w:right="456"/>
              <w:spacing w:after="0" w:line="195" w:lineRule="exact"/>
              <w:rPr>
                <w:sz w:val="20"/>
                <w:szCs w:val="20"/>
                <w:color w:val="auto"/>
              </w:rPr>
            </w:pPr>
            <w:r>
              <w:rPr>
                <w:rFonts w:ascii="Arial" w:cs="Arial" w:eastAsia="Arial" w:hAnsi="Arial"/>
                <w:sz w:val="18"/>
                <w:szCs w:val="18"/>
                <w:color w:val="auto"/>
              </w:rPr>
              <w:t>19.1</w:t>
            </w:r>
          </w:p>
        </w:tc>
        <w:tc>
          <w:tcPr>
            <w:tcW w:w="1400" w:type="dxa"/>
            <w:vAlign w:val="bottom"/>
          </w:tcPr>
          <w:p>
            <w:pPr>
              <w:jc w:val="right"/>
              <w:ind w:right="456"/>
              <w:spacing w:after="0" w:line="195" w:lineRule="exact"/>
              <w:rPr>
                <w:sz w:val="20"/>
                <w:szCs w:val="20"/>
                <w:color w:val="auto"/>
              </w:rPr>
            </w:pPr>
            <w:r>
              <w:rPr>
                <w:rFonts w:ascii="Arial" w:cs="Arial" w:eastAsia="Arial" w:hAnsi="Arial"/>
                <w:sz w:val="18"/>
                <w:szCs w:val="18"/>
                <w:color w:val="auto"/>
              </w:rPr>
              <w:t>16.0</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debt to capital (percent)</w:t>
            </w:r>
          </w:p>
        </w:tc>
        <w:tc>
          <w:tcPr>
            <w:tcW w:w="3960" w:type="dxa"/>
            <w:vAlign w:val="bottom"/>
          </w:tcPr>
          <w:p>
            <w:pPr>
              <w:jc w:val="right"/>
              <w:ind w:right="456"/>
              <w:spacing w:after="0"/>
              <w:rPr>
                <w:sz w:val="20"/>
                <w:szCs w:val="20"/>
                <w:color w:val="auto"/>
              </w:rPr>
            </w:pPr>
            <w:r>
              <w:rPr>
                <w:rFonts w:ascii="Arial" w:cs="Arial" w:eastAsia="Arial" w:hAnsi="Arial"/>
                <w:sz w:val="18"/>
                <w:szCs w:val="18"/>
                <w:color w:val="auto"/>
              </w:rPr>
              <w:t>18.1</w:t>
            </w:r>
          </w:p>
        </w:tc>
        <w:tc>
          <w:tcPr>
            <w:tcW w:w="1400" w:type="dxa"/>
            <w:vAlign w:val="bottom"/>
          </w:tcPr>
          <w:p>
            <w:pPr>
              <w:jc w:val="right"/>
              <w:ind w:right="456"/>
              <w:spacing w:after="0"/>
              <w:rPr>
                <w:sz w:val="20"/>
                <w:szCs w:val="20"/>
                <w:color w:val="auto"/>
              </w:rPr>
            </w:pPr>
            <w:r>
              <w:rPr>
                <w:rFonts w:ascii="Arial" w:cs="Arial" w:eastAsia="Arial" w:hAnsi="Arial"/>
                <w:sz w:val="18"/>
                <w:szCs w:val="18"/>
                <w:color w:val="auto"/>
              </w:rPr>
              <w:t>14.9</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views the Corporation’s financial strength, as evidenced by the above financial ratios and other similar measures, to be a competitive advantage of strategic importance. The Corporation’s sound financial position gives it the opportunity to access the world’s capital markets in the full range of market conditions, and enables the Corporation to take on large, long-term capital commitments in the pursuit of maximizing shareholder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Other Contingencies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discussed in Note 16, a variety of claims have been made against ExxonMobil and certain of its consolidated subsidiaries in a number of pending lawsuits.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 There are no events or uncertainties beyond those already included in reported financial information that would indicate a material change in future operating results or financial condition. Refer to Note 16 for additional information on legal proceedings and other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EXPLORATION EXPENDITURES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Capital and exploration expenditures (Capex) represents the combined total of additions at cost to property, plant and equipment, and exploration expenses on a before-tax basis from the Consolidated Statement of Income. ExxonMobil’s Capex includes its share of similar costs for equity companies. Capex excludes assets acquired in nonmonetary exchanges, the value of ExxonMobil shares used to acquire assets, and depreciation on the cost of exploration support equipment and facilities recorded to property, plant and equipment when acquired. While ExxonMobil’s management is responsible for all investments and elements of net income, particular focus is placed on managing the controllable aspects of this group of expenditures.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U.S.</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Non-U.S.</w:t>
            </w: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U.S.</w:t>
            </w: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Non-U.S.</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0"/>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gridSpan w:val="2"/>
          </w:tcPr>
          <w:p>
            <w:pPr>
              <w:jc w:val="right"/>
              <w:ind w:right="573"/>
              <w:spacing w:after="0"/>
              <w:rPr>
                <w:sz w:val="20"/>
                <w:szCs w:val="20"/>
                <w:color w:val="auto"/>
              </w:rPr>
            </w:pPr>
            <w:r>
              <w:rPr>
                <w:rFonts w:ascii="Arial" w:cs="Arial" w:eastAsia="Arial" w:hAnsi="Arial"/>
                <w:sz w:val="14"/>
                <w:szCs w:val="14"/>
                <w:i w:val="1"/>
                <w:iCs w:val="1"/>
                <w:color w:val="auto"/>
              </w:rPr>
              <w:t>(millions of dollars)</w:t>
            </w: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43"/>
        </w:trPr>
        <w:tc>
          <w:tcPr>
            <w:tcW w:w="5080" w:type="dxa"/>
            <w:vAlign w:val="bottom"/>
          </w:tcPr>
          <w:p>
            <w:pPr>
              <w:spacing w:after="0"/>
              <w:rPr>
                <w:sz w:val="20"/>
                <w:szCs w:val="20"/>
                <w:color w:val="auto"/>
              </w:rPr>
            </w:pPr>
            <w:r>
              <w:rPr>
                <w:rFonts w:ascii="Arial" w:cs="Arial" w:eastAsia="Arial" w:hAnsi="Arial"/>
                <w:sz w:val="18"/>
                <w:szCs w:val="18"/>
                <w:color w:val="auto"/>
              </w:rPr>
              <w:t xml:space="preserve">Upstream </w:t>
            </w:r>
            <w:r>
              <w:rPr>
                <w:rFonts w:ascii="Arial" w:cs="Arial" w:eastAsia="Arial" w:hAnsi="Arial"/>
                <w:sz w:val="14"/>
                <w:szCs w:val="14"/>
                <w:i w:val="1"/>
                <w:iCs w:val="1"/>
                <w:color w:val="auto"/>
              </w:rPr>
              <w:t>(1)</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11,653</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11,832</w:t>
            </w:r>
          </w:p>
        </w:tc>
        <w:tc>
          <w:tcPr>
            <w:tcW w:w="1240" w:type="dxa"/>
            <w:vAlign w:val="bottom"/>
          </w:tcPr>
          <w:p>
            <w:pPr>
              <w:jc w:val="right"/>
              <w:ind w:right="375"/>
              <w:spacing w:after="0"/>
              <w:rPr>
                <w:sz w:val="20"/>
                <w:szCs w:val="20"/>
                <w:color w:val="auto"/>
              </w:rPr>
            </w:pPr>
            <w:r>
              <w:rPr>
                <w:rFonts w:ascii="Arial" w:cs="Arial" w:eastAsia="Arial" w:hAnsi="Arial"/>
                <w:sz w:val="18"/>
                <w:szCs w:val="18"/>
                <w:color w:val="auto"/>
              </w:rPr>
              <w:t>23,485</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7,670</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12,524</w:t>
            </w:r>
          </w:p>
        </w:tc>
        <w:tc>
          <w:tcPr>
            <w:tcW w:w="840" w:type="dxa"/>
            <w:vAlign w:val="bottom"/>
          </w:tcPr>
          <w:p>
            <w:pPr>
              <w:jc w:val="right"/>
              <w:spacing w:after="0"/>
              <w:rPr>
                <w:sz w:val="20"/>
                <w:szCs w:val="20"/>
                <w:color w:val="auto"/>
              </w:rPr>
            </w:pPr>
            <w:r>
              <w:rPr>
                <w:rFonts w:ascii="Arial" w:cs="Arial" w:eastAsia="Arial" w:hAnsi="Arial"/>
                <w:sz w:val="18"/>
                <w:szCs w:val="18"/>
                <w:color w:val="auto"/>
              </w:rPr>
              <w:t>20,194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Downstream</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2,353</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2,018</w:t>
            </w:r>
          </w:p>
        </w:tc>
        <w:tc>
          <w:tcPr>
            <w:tcW w:w="1240" w:type="dxa"/>
            <w:vAlign w:val="bottom"/>
          </w:tcPr>
          <w:p>
            <w:pPr>
              <w:jc w:val="right"/>
              <w:ind w:right="375"/>
              <w:spacing w:after="0"/>
              <w:rPr>
                <w:sz w:val="20"/>
                <w:szCs w:val="20"/>
                <w:color w:val="auto"/>
              </w:rPr>
            </w:pPr>
            <w:r>
              <w:rPr>
                <w:rFonts w:ascii="Arial" w:cs="Arial" w:eastAsia="Arial" w:hAnsi="Arial"/>
                <w:sz w:val="18"/>
                <w:szCs w:val="18"/>
                <w:color w:val="auto"/>
              </w:rPr>
              <w:t>4,371</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1,186</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2,243</w:t>
            </w:r>
          </w:p>
        </w:tc>
        <w:tc>
          <w:tcPr>
            <w:tcW w:w="840" w:type="dxa"/>
            <w:vAlign w:val="bottom"/>
          </w:tcPr>
          <w:p>
            <w:pPr>
              <w:jc w:val="right"/>
              <w:spacing w:after="0"/>
              <w:rPr>
                <w:sz w:val="20"/>
                <w:szCs w:val="20"/>
                <w:color w:val="auto"/>
              </w:rPr>
            </w:pPr>
            <w:r>
              <w:rPr>
                <w:rFonts w:ascii="Arial" w:cs="Arial" w:eastAsia="Arial" w:hAnsi="Arial"/>
                <w:sz w:val="18"/>
                <w:szCs w:val="18"/>
                <w:color w:val="auto"/>
              </w:rPr>
              <w:t>3,429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Chemical</w:t>
            </w:r>
          </w:p>
        </w:tc>
        <w:tc>
          <w:tcPr>
            <w:tcW w:w="900" w:type="dxa"/>
            <w:vAlign w:val="bottom"/>
          </w:tcPr>
          <w:p>
            <w:pPr>
              <w:jc w:val="right"/>
              <w:ind w:right="153"/>
              <w:spacing w:after="0"/>
              <w:rPr>
                <w:sz w:val="20"/>
                <w:szCs w:val="20"/>
                <w:color w:val="auto"/>
              </w:rPr>
            </w:pPr>
            <w:r>
              <w:rPr>
                <w:rFonts w:ascii="Arial" w:cs="Arial" w:eastAsia="Arial" w:hAnsi="Arial"/>
                <w:sz w:val="18"/>
                <w:szCs w:val="18"/>
                <w:color w:val="auto"/>
              </w:rPr>
              <w:t>2,547</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718</w:t>
            </w:r>
          </w:p>
        </w:tc>
        <w:tc>
          <w:tcPr>
            <w:tcW w:w="1240" w:type="dxa"/>
            <w:vAlign w:val="bottom"/>
          </w:tcPr>
          <w:p>
            <w:pPr>
              <w:jc w:val="right"/>
              <w:ind w:right="375"/>
              <w:spacing w:after="0"/>
              <w:rPr>
                <w:sz w:val="20"/>
                <w:szCs w:val="20"/>
                <w:color w:val="auto"/>
              </w:rPr>
            </w:pPr>
            <w:r>
              <w:rPr>
                <w:rFonts w:ascii="Arial" w:cs="Arial" w:eastAsia="Arial" w:hAnsi="Arial"/>
                <w:sz w:val="18"/>
                <w:szCs w:val="18"/>
                <w:color w:val="auto"/>
              </w:rPr>
              <w:t>3,265</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1,747</w:t>
            </w:r>
          </w:p>
        </w:tc>
        <w:tc>
          <w:tcPr>
            <w:tcW w:w="1100" w:type="dxa"/>
            <w:vAlign w:val="bottom"/>
          </w:tcPr>
          <w:p>
            <w:pPr>
              <w:jc w:val="right"/>
              <w:ind w:right="195"/>
              <w:spacing w:after="0"/>
              <w:rPr>
                <w:sz w:val="20"/>
                <w:szCs w:val="20"/>
                <w:color w:val="auto"/>
              </w:rPr>
            </w:pPr>
            <w:r>
              <w:rPr>
                <w:rFonts w:ascii="Arial" w:cs="Arial" w:eastAsia="Arial" w:hAnsi="Arial"/>
                <w:sz w:val="18"/>
                <w:szCs w:val="18"/>
                <w:color w:val="auto"/>
              </w:rPr>
              <w:t>488</w:t>
            </w: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27</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65</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5080" w:type="dxa"/>
            <w:vAlign w:val="bottom"/>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16,580</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14,568</w:t>
            </w: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31,148</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10,668</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15,255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Exploration expenses included.</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Capex in 2019 was $31.1 billion, as the Corporation continued to pursue opportunities to find and produce new supplies of oil and natural gas to meet global demand for energy. The Corporation anticipates an investment level of up to $33 billion in 2020. Actual spending could vary depending on the progress of individual projects and property acquisitions.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Upstream spending of $23.5 billion in 2019 was up 16 percent from 2018. Investments in 2019 included growth in the U.S. Permian Basin and key development projects in Guyana and Mozambique. Development projects typically take several years from the time of recording proved undeveloped reserves to the start of production and can exceed five years for large and complex projects. The percentage of proved developed reserves was 66 percent of total proved reserves at year-end 2019, and has been over 60 percent for the last ten years.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investments in the Downstream totaled $4.4 billion in 2019, an increase of $0.9 billion from 2018, reflecting global project spending. Chemical capital expenditures of $3.3 billion, increased $1 billion, representing investments in growth projects.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184"/>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tcPr>
          <w:p>
            <w:pPr>
              <w:jc w:val="right"/>
              <w:ind w:right="296"/>
              <w:spacing w:after="0"/>
              <w:rPr>
                <w:sz w:val="20"/>
                <w:szCs w:val="20"/>
                <w:color w:val="auto"/>
              </w:rPr>
            </w:pPr>
            <w:r>
              <w:rPr>
                <w:rFonts w:ascii="Arial" w:cs="Arial" w:eastAsia="Arial" w:hAnsi="Arial"/>
                <w:sz w:val="14"/>
                <w:szCs w:val="14"/>
                <w:i w:val="1"/>
                <w:iCs w:val="1"/>
                <w:color w:val="auto"/>
              </w:rPr>
              <w:t>(millions of dollars)</w:t>
            </w:r>
          </w:p>
        </w:tc>
        <w:tc>
          <w:tcPr>
            <w:tcW w:w="920" w:type="dxa"/>
            <w:vAlign w:val="bottom"/>
          </w:tcPr>
          <w:p>
            <w:pPr>
              <w:spacing w:after="0"/>
              <w:rPr>
                <w:sz w:val="16"/>
                <w:szCs w:val="16"/>
                <w:color w:val="auto"/>
              </w:rPr>
            </w:pPr>
          </w:p>
        </w:tc>
      </w:tr>
      <w:tr>
        <w:trPr>
          <w:trHeight w:val="443"/>
        </w:trPr>
        <w:tc>
          <w:tcPr>
            <w:tcW w:w="7680" w:type="dxa"/>
            <w:vAlign w:val="bottom"/>
          </w:tcPr>
          <w:p>
            <w:pPr>
              <w:spacing w:after="0"/>
              <w:rPr>
                <w:sz w:val="20"/>
                <w:szCs w:val="20"/>
                <w:color w:val="auto"/>
              </w:rPr>
            </w:pPr>
            <w:r>
              <w:rPr>
                <w:rFonts w:ascii="Arial" w:cs="Arial" w:eastAsia="Arial" w:hAnsi="Arial"/>
                <w:sz w:val="18"/>
                <w:szCs w:val="18"/>
                <w:color w:val="auto"/>
              </w:rPr>
              <w:t>Income taxes</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5,282</w:t>
            </w:r>
          </w:p>
        </w:tc>
        <w:tc>
          <w:tcPr>
            <w:tcW w:w="1780" w:type="dxa"/>
            <w:vAlign w:val="bottom"/>
          </w:tcPr>
          <w:p>
            <w:pPr>
              <w:jc w:val="right"/>
              <w:ind w:right="516"/>
              <w:spacing w:after="0"/>
              <w:rPr>
                <w:sz w:val="20"/>
                <w:szCs w:val="20"/>
                <w:color w:val="auto"/>
              </w:rPr>
            </w:pPr>
            <w:r>
              <w:rPr>
                <w:rFonts w:ascii="Arial" w:cs="Arial" w:eastAsia="Arial" w:hAnsi="Arial"/>
                <w:sz w:val="18"/>
                <w:szCs w:val="18"/>
                <w:color w:val="auto"/>
              </w:rPr>
              <w:t>9,532</w:t>
            </w:r>
          </w:p>
        </w:tc>
        <w:tc>
          <w:tcPr>
            <w:tcW w:w="92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i w:val="1"/>
                <w:iCs w:val="1"/>
                <w:color w:val="auto"/>
              </w:rPr>
              <w:t>Effective income tax rate</w:t>
            </w:r>
          </w:p>
        </w:tc>
        <w:tc>
          <w:tcPr>
            <w:tcW w:w="1040" w:type="dxa"/>
            <w:vAlign w:val="bottom"/>
          </w:tcPr>
          <w:p>
            <w:pPr>
              <w:jc w:val="right"/>
              <w:ind w:right="154"/>
              <w:spacing w:after="0"/>
              <w:rPr>
                <w:sz w:val="20"/>
                <w:szCs w:val="20"/>
                <w:color w:val="auto"/>
              </w:rPr>
            </w:pPr>
            <w:r>
              <w:rPr>
                <w:rFonts w:ascii="Arial" w:cs="Arial" w:eastAsia="Arial" w:hAnsi="Arial"/>
                <w:sz w:val="18"/>
                <w:szCs w:val="18"/>
                <w:i w:val="1"/>
                <w:iCs w:val="1"/>
                <w:color w:val="auto"/>
              </w:rPr>
              <w:t>34%</w:t>
            </w:r>
          </w:p>
        </w:tc>
        <w:tc>
          <w:tcPr>
            <w:tcW w:w="1780" w:type="dxa"/>
            <w:vAlign w:val="bottom"/>
          </w:tcPr>
          <w:p>
            <w:pPr>
              <w:jc w:val="right"/>
              <w:ind w:right="476"/>
              <w:spacing w:after="0"/>
              <w:rPr>
                <w:sz w:val="20"/>
                <w:szCs w:val="20"/>
                <w:color w:val="auto"/>
              </w:rPr>
            </w:pPr>
            <w:r>
              <w:rPr>
                <w:rFonts w:ascii="Arial" w:cs="Arial" w:eastAsia="Arial" w:hAnsi="Arial"/>
                <w:sz w:val="18"/>
                <w:szCs w:val="18"/>
                <w:i w:val="1"/>
                <w:iCs w:val="1"/>
                <w:color w:val="auto"/>
              </w:rPr>
              <w:t>37%</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5%</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Total other taxes and duties</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33,186</w:t>
            </w: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35,230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32,459</w:t>
            </w:r>
          </w:p>
        </w:tc>
      </w:tr>
      <w:tr>
        <w:trPr>
          <w:trHeight w:val="210"/>
        </w:trPr>
        <w:tc>
          <w:tcPr>
            <w:tcW w:w="7680" w:type="dxa"/>
            <w:vAlign w:val="bottom"/>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38,468</w:t>
            </w: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44,762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taxes on the Corporation’s income statement were $38.5 billion in 2019, a decrease of $6.3 billion from 2018. Income tax expense, both current and deferred, was $5.3 billion compared to $9.5 billion in 2018. The effective tax rate, which is calculated based on consolidated company income taxes and ExxonMobil’s share of equity company income taxes, was 34 percent compared to 37 percent in the prior year due primarily to the impact of the divestment of non-operated upstream assets in Norway. Total other taxes and duties of $33.2 billion in 2019 decreased $2.0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taxes on the Corporation’s income statement were $44.8 billion in 2018, an increase of $13.5 billion from 2017. Income tax expense, both current and deferred, was $9.5 billion compared to a credit of $1.2 billion in 2017. The effective tax rate, which is calculated based on consolidated company income taxes and ExxonMobil’s share of equity company income taxes, was 37 percent compared to 5 percent. The increase principally reflects the absence of the impact of U.S. tax reform in the prior year. Total other taxes and duties of $35.2 billion in 2018 increased $2.8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December 22, 2017, enactment of the U.S. Tax Cuts and Jobs Act, in accordance with Accounting Standard Codification Topic 740 (Income Taxes) and following the guidance outlined in the SEC Staff Accounting Bulletin No. 118, the Corporation included a $5,942 million credit in its 2017 results, representing a reasonable estimate of the income tax effects of the changes in tax law and tax rate. The Corporation’s results for 2018 include a $291 million tax credit, mainly in the Non-U.S. Upstream, reflecting an updated estimate of the impact of U.S. tax reform including clarifications provided in tax regulations issued by the U.S. Treasury. The Corporation completed its accounting for the enactment-date income tax effects of the U.S. Tax Cuts and Jobs Act in accordance with Accounting Standard Codification Topic 740 (Income Taxes) during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1120" w:type="dxa"/>
            <w:vAlign w:val="bottom"/>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r>
      <w:tr>
        <w:trPr>
          <w:trHeight w:val="26"/>
        </w:trPr>
        <w:tc>
          <w:tcPr>
            <w:tcW w:w="9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184"/>
        </w:trPr>
        <w:tc>
          <w:tcPr>
            <w:tcW w:w="9320" w:type="dxa"/>
            <w:vAlign w:val="bottom"/>
          </w:tcPr>
          <w:p>
            <w:pPr>
              <w:spacing w:after="0"/>
              <w:rPr>
                <w:sz w:val="16"/>
                <w:szCs w:val="16"/>
                <w:color w:val="auto"/>
              </w:rPr>
            </w:pPr>
          </w:p>
        </w:tc>
        <w:tc>
          <w:tcPr>
            <w:tcW w:w="2100" w:type="dxa"/>
            <w:vAlign w:val="bottom"/>
            <w:gridSpan w:val="2"/>
          </w:tcPr>
          <w:p>
            <w:pPr>
              <w:jc w:val="right"/>
              <w:ind w:right="394"/>
              <w:spacing w:after="0"/>
              <w:rPr>
                <w:sz w:val="20"/>
                <w:szCs w:val="20"/>
                <w:color w:val="auto"/>
              </w:rPr>
            </w:pPr>
            <w:r>
              <w:rPr>
                <w:rFonts w:ascii="Arial" w:cs="Arial" w:eastAsia="Arial" w:hAnsi="Arial"/>
                <w:sz w:val="14"/>
                <w:szCs w:val="14"/>
                <w:i w:val="1"/>
                <w:iCs w:val="1"/>
                <w:color w:val="auto"/>
              </w:rPr>
              <w:t>(millions of dollars)</w:t>
            </w:r>
          </w:p>
        </w:tc>
      </w:tr>
      <w:tr>
        <w:trPr>
          <w:trHeight w:val="443"/>
        </w:trPr>
        <w:tc>
          <w:tcPr>
            <w:tcW w:w="9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jc w:val="right"/>
              <w:ind w:right="397"/>
              <w:spacing w:after="0"/>
              <w:rPr>
                <w:sz w:val="20"/>
                <w:szCs w:val="20"/>
                <w:color w:val="auto"/>
              </w:rPr>
            </w:pPr>
            <w:r>
              <w:rPr>
                <w:rFonts w:ascii="Arial" w:cs="Arial" w:eastAsia="Arial" w:hAnsi="Arial"/>
                <w:sz w:val="18"/>
                <w:szCs w:val="18"/>
                <w:color w:val="auto"/>
              </w:rPr>
              <w:t>1,276</w:t>
            </w:r>
          </w:p>
        </w:tc>
        <w:tc>
          <w:tcPr>
            <w:tcW w:w="98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Other expenditures</w:t>
            </w: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3,969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r>
      <w:tr>
        <w:trPr>
          <w:trHeight w:val="210"/>
        </w:trPr>
        <w:tc>
          <w:tcPr>
            <w:tcW w:w="9320" w:type="dxa"/>
            <w:vAlign w:val="bottom"/>
          </w:tcPr>
          <w:p>
            <w:pPr>
              <w:ind w:left="3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8"/>
                <w:szCs w:val="18"/>
                <w:color w:val="auto"/>
              </w:rPr>
              <w:t>5,245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2019 worldwide environmental expenditures for all such preventative and remediation steps, including ExxonMobil’s share of equity company expenditures, were $5.2 billion, of which $4.0 billion were included in expenses with the remainder in capital expenditures. The total cost for such activities is expected to increase to approximately $5.9 billion in 2020 and 2021. Capital expenditures are expected to account for approximately 35 percent of the total.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2019 for environmental liabilities were $290 million ($330 million in 2018) and the balance sheet reflects liabilities of $835 million as of December 31, 2019, and $875 million as of December 31, 2018.</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MARKET RISKS, INFLATION AND OTHER UNCERTAINTIES</w:t>
            </w: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48"/>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Worldwide Average Realizations </w:t>
            </w:r>
            <w:r>
              <w:rPr>
                <w:rFonts w:ascii="Arial" w:cs="Arial" w:eastAsia="Arial" w:hAnsi="Arial"/>
                <w:sz w:val="14"/>
                <w:szCs w:val="14"/>
                <w:i w:val="1"/>
                <w:iCs w:val="1"/>
                <w:color w:val="auto"/>
              </w:rPr>
              <w:t>(1)</w:t>
            </w:r>
          </w:p>
        </w:tc>
        <w:tc>
          <w:tcPr>
            <w:tcW w:w="24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r>
      <w:tr>
        <w:trPr>
          <w:trHeight w:val="411"/>
        </w:trPr>
        <w:tc>
          <w:tcPr>
            <w:tcW w:w="6680" w:type="dxa"/>
            <w:vAlign w:val="bottom"/>
          </w:tcPr>
          <w:p>
            <w:pPr>
              <w:spacing w:after="0"/>
              <w:rPr>
                <w:sz w:val="20"/>
                <w:szCs w:val="20"/>
                <w:color w:val="auto"/>
              </w:rPr>
            </w:pPr>
            <w:r>
              <w:rPr>
                <w:rFonts w:ascii="Arial" w:cs="Arial" w:eastAsia="Arial" w:hAnsi="Arial"/>
                <w:sz w:val="18"/>
                <w:szCs w:val="18"/>
                <w:color w:val="auto"/>
              </w:rPr>
              <w:t>Crude oil and NGL ($ per barrel)</w:t>
            </w:r>
          </w:p>
        </w:tc>
        <w:tc>
          <w:tcPr>
            <w:tcW w:w="2440" w:type="dxa"/>
            <w:vAlign w:val="bottom"/>
          </w:tcPr>
          <w:p>
            <w:pPr>
              <w:jc w:val="right"/>
              <w:ind w:right="416"/>
              <w:spacing w:after="0"/>
              <w:rPr>
                <w:sz w:val="20"/>
                <w:szCs w:val="20"/>
                <w:color w:val="auto"/>
              </w:rPr>
            </w:pPr>
            <w:r>
              <w:rPr>
                <w:rFonts w:ascii="Arial" w:cs="Arial" w:eastAsia="Arial" w:hAnsi="Arial"/>
                <w:sz w:val="18"/>
                <w:szCs w:val="18"/>
                <w:color w:val="auto"/>
              </w:rPr>
              <w:t>56.32</w:t>
            </w:r>
          </w:p>
        </w:tc>
        <w:tc>
          <w:tcPr>
            <w:tcW w:w="1400" w:type="dxa"/>
            <w:vAlign w:val="bottom"/>
          </w:tcPr>
          <w:p>
            <w:pPr>
              <w:jc w:val="right"/>
              <w:ind w:right="416"/>
              <w:spacing w:after="0"/>
              <w:rPr>
                <w:sz w:val="20"/>
                <w:szCs w:val="20"/>
                <w:color w:val="auto"/>
              </w:rPr>
            </w:pPr>
            <w:r>
              <w:rPr>
                <w:rFonts w:ascii="Arial" w:cs="Arial" w:eastAsia="Arial" w:hAnsi="Arial"/>
                <w:sz w:val="18"/>
                <w:szCs w:val="18"/>
                <w:color w:val="auto"/>
              </w:rPr>
              <w:t>62.79</w:t>
            </w:r>
          </w:p>
        </w:tc>
        <w:tc>
          <w:tcPr>
            <w:tcW w:w="900" w:type="dxa"/>
            <w:vAlign w:val="bottom"/>
          </w:tcPr>
          <w:p>
            <w:pPr>
              <w:jc w:val="right"/>
              <w:spacing w:after="0"/>
              <w:rPr>
                <w:sz w:val="20"/>
                <w:szCs w:val="20"/>
                <w:color w:val="auto"/>
              </w:rPr>
            </w:pPr>
            <w:r>
              <w:rPr>
                <w:rFonts w:ascii="Arial" w:cs="Arial" w:eastAsia="Arial" w:hAnsi="Arial"/>
                <w:sz w:val="18"/>
                <w:szCs w:val="18"/>
                <w:color w:val="auto"/>
              </w:rPr>
              <w:t>48.91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Natural gas ($ per thousand cubic feet)</w:t>
            </w:r>
          </w:p>
        </w:tc>
        <w:tc>
          <w:tcPr>
            <w:tcW w:w="2440" w:type="dxa"/>
            <w:vAlign w:val="bottom"/>
          </w:tcPr>
          <w:p>
            <w:pPr>
              <w:jc w:val="right"/>
              <w:ind w:right="416"/>
              <w:spacing w:after="0"/>
              <w:rPr>
                <w:sz w:val="20"/>
                <w:szCs w:val="20"/>
                <w:color w:val="auto"/>
              </w:rPr>
            </w:pPr>
            <w:r>
              <w:rPr>
                <w:rFonts w:ascii="Arial" w:cs="Arial" w:eastAsia="Arial" w:hAnsi="Arial"/>
                <w:sz w:val="18"/>
                <w:szCs w:val="18"/>
                <w:color w:val="auto"/>
              </w:rPr>
              <w:t>3.05</w:t>
            </w:r>
          </w:p>
        </w:tc>
        <w:tc>
          <w:tcPr>
            <w:tcW w:w="1400" w:type="dxa"/>
            <w:vAlign w:val="bottom"/>
          </w:tcPr>
          <w:p>
            <w:pPr>
              <w:jc w:val="right"/>
              <w:ind w:right="416"/>
              <w:spacing w:after="0"/>
              <w:rPr>
                <w:sz w:val="20"/>
                <w:szCs w:val="20"/>
                <w:color w:val="auto"/>
              </w:rPr>
            </w:pPr>
            <w:r>
              <w:rPr>
                <w:rFonts w:ascii="Arial" w:cs="Arial" w:eastAsia="Arial" w:hAnsi="Arial"/>
                <w:sz w:val="18"/>
                <w:szCs w:val="18"/>
                <w:color w:val="auto"/>
              </w:rPr>
              <w:t>3.87</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Consolidated subsidiaries.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Crude oil, natural gas, petroleum product and chemical prices have fluctuated in response to changing market forces. The impacts of these price fluctuations on earnings from Upstream, Downstream and Chemical operations have varied. In the Upstream, a $1 per barrel change in the weighted-average realized price of oil would have approximately a $475 million annual after-tax effect on Upstream consolidated plus equity company earnings, excluding the impact of derivatives. Similarly, a $0.10 per thousand cubic feet change in the worldwide average gas realization would have approximately a $175 million annual after-tax effect on Upstream consolidated plus equity company earnings, excluding the impact of derivatives. For any given period, the extent of actual benefit or detriment will be dependent on the price movements of individual types of crude oil, results of trading activities,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very competitive downstream and chemical environments,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as a competitive advantage.</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segment results are not dependent on the ability to sell and/or purchase products to/from other segments. Instead, where such sales take place, they are the result of efficiencies and competitive advantages of integrated refinery/chemical complexes. Additionally, intersegment sales are at market-based prices. The products bought and sold between segments can also be acquired in worldwide markets that have substantial liquidity, capacity and transportation capabilities. Refer to Note 18 for additional information on intersegment revenue.</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price levels of crude oil and natural gas may rise or fall significantly over the short to medium term due to global economic conditions, political events, decisions by OPEC and other major government resource owners and other factors, industry economics over the long term will continue to be driven by market supply and demand. Accordingly, the Corporation evaluates the viability of its major investments over a range of prices.</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has an active asset management program in which underperforming assets are either improved to acceptable levels or considered for divestment. The asset management program includes a disciplined, regular review to ensure that all assets are contributing to the Corporation’s strategic objectives resulting in an efficient capital base.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Corporation’s size, strong capital structure, geographic diversity and the complementary nature of the Upstream, Downstream and Chemical businesses reduce the Corporation’s enterprise-wide risk from changes in commodity prices, currency rates and interest rates. In addition, the Corporation uses commodity-based contracts, including derivatives, to manage commodity price risk and for trading purposes. The Corporation’s commodity derivatives are not accounted for under hedge accounting. At times, the Corporation also enters into currency and interest rate derivatives, none of which are material to the Corporation’s financial position as of December 31, 2019 and 2018, or results of operations for the years ended 2019, 2018 and 2017. Credit risk associated with the Corporation’s derivative position is mitigated by several factors, including the use of derivative clearing exchanges and the quality of and financial limits placed on derivative counterparties. No material market or credit risks to the Corporation’s financial position, results of operations or liquidity exist as a result of the derivatives described in Note 13. The Corporation maintains a system of controls that includes the authorization, reporting and monitoring of derivative activity.</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cash flow or fair value. The Corporation has access to significant capacity of long-term and short-term liquidity. Internally generated funds are generally expected to cover financial requirements, supplemented by long-term and short-term debt as required. Commercial paper is used to balance short-term liquidity requirements. Some joint-venture partners are dependent on the credit markets, and their funding ability may impact the development pace of joint-venture projects.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conducts business in many foreign currencies and is subject to exchange rate risk on cash flows related to sales, expenses, financing and investment transactions. Fluctuations in exchange rates are often offsetting and the impacts on ExxonMobil’s geographically and functionally diverse operations are varied. The Corporation makes limited use of currency exchange contracts to mitigate the impact of changes in currency values, and exposures related to the Corporation’s use of these contracts are not material.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Other Uncertainties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general rate of inflation in many major countries of operation has remained moderate over the past few years, and the associated impact on non-energy costs has generally been mitigated by cost reductions from efficiency and productivity improvements. Prices for services and materials continue to evolve in response to constant changes in commodity markets and industry activities, impacting operating and capital costs. The Corporation monitors market trends and works to minimize costs in all commodity price environments through its economies of scale in global procurement and its efficient project management practices.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Effective January 1, 2020, the Corporation adopted the Financial Accounting Standards Board’s update,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as amended. The standard requires a valuation allowance for credit losses be recognized for certain financial assets that reflects the current expected credit loss over the asset’s contractual life. The valuation allowance considers the risk of loss, even if remote, and considers past events, current conditions and expectations of the future. The standard is not expected to have a material impact on the Corporation’s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Corporation’s accounting and financial reporting fairly reflect its integrated business model involving exploration for, and production of, crude oil and natural gas and manufacture, trade, transport and sale of crude oil, natural gas, petroleum products, petrochemicals and a wide variety of specialty products.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Corporation’s accounting policies are summarized in Note 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Reserves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estimation of proved reserves is an ongoing process based on rigorous technical evaluations, commercial and market assessments and detailed analysis of well information such as flow rates and reservoir pressure declines, development and production costs, among other factors. The estimation of proved reserves is controlled by the Corporation through long-standing approval guidelines. Reserve changes are made within a well-established, disciplined process driven by senior level geoscience and engineering professionals, assisted by the Global Reserves and Resources Group which has significant technical experience, culminating in reviews with and approval by senior management. Notably, the Corporation does not use specific quantitative reserve targets to determine compensation. Key features of the reserve estimation process are covered in Disclosure of Reserves in Item 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Oil and natural gas reserves include both proved and unproved reserves.</w:t>
      </w:r>
    </w:p>
    <w:p>
      <w:pPr>
        <w:spacing w:after="0" w:line="117" w:lineRule="exact"/>
        <w:rPr>
          <w:sz w:val="20"/>
          <w:szCs w:val="20"/>
          <w:color w:val="auto"/>
        </w:rPr>
      </w:pPr>
    </w:p>
    <w:p>
      <w:pPr>
        <w:jc w:val="both"/>
        <w:ind w:left="660" w:firstLine="54"/>
        <w:spacing w:after="0" w:line="259" w:lineRule="auto"/>
        <w:rPr>
          <w:sz w:val="20"/>
          <w:szCs w:val="20"/>
          <w:color w:val="auto"/>
        </w:rPr>
      </w:pPr>
      <w:r>
        <w:rPr>
          <w:rFonts w:ascii="Arial" w:cs="Arial" w:eastAsia="Arial" w:hAnsi="Arial"/>
          <w:sz w:val="18"/>
          <w:szCs w:val="18"/>
          <w:color w:val="auto"/>
        </w:rPr>
        <w:t>Proved oil and natural gas reserves are determined in accordance with Securities and Exchange Commission (SEC) requirements. Proved reserves are those quantities of oil and natural gas which, by analysis of geoscience and engineering data, can be estimated with reasonable certainty to be economically producible under existing economic and operating conditions and government regulations. Proved reserves are determined using the average of first-of-month oil and natural gas prices during the reporting year.</w:t>
      </w:r>
    </w:p>
    <w:p>
      <w:pPr>
        <w:spacing w:after="0" w:line="79" w:lineRule="exact"/>
        <w:rPr>
          <w:sz w:val="20"/>
          <w:szCs w:val="20"/>
          <w:color w:val="auto"/>
        </w:rPr>
      </w:pPr>
    </w:p>
    <w:p>
      <w:pPr>
        <w:jc w:val="both"/>
        <w:ind w:left="660" w:firstLine="81"/>
        <w:spacing w:after="0" w:line="276" w:lineRule="auto"/>
        <w:rPr>
          <w:sz w:val="20"/>
          <w:szCs w:val="20"/>
          <w:color w:val="auto"/>
        </w:rPr>
      </w:pPr>
      <w:r>
        <w:rPr>
          <w:rFonts w:ascii="Arial" w:cs="Arial" w:eastAsia="Arial" w:hAnsi="Arial"/>
          <w:sz w:val="17"/>
          <w:szCs w:val="17"/>
          <w:color w:val="auto"/>
        </w:rPr>
        <w:t>Proved reserves can be further subdivided into developed and undeveloped reserves. Proved developed reserves include amounts which are expected to be recovered through existing wells with existing equipment and operating methods. Proved undeveloped reserves include amounts expected to be recovered from new wells on undrilled proved acreage or from existing wells where a relatively major expenditure is required for completion. Proved undeveloped reserves are recognized only if a development plan has been adopted indicating that the reserves are scheduled to be drilled within five years, unless specific circumstances support a longer period of time.</w:t>
      </w:r>
    </w:p>
    <w:p>
      <w:pPr>
        <w:spacing w:after="0" w:line="64" w:lineRule="exact"/>
        <w:rPr>
          <w:sz w:val="20"/>
          <w:szCs w:val="20"/>
          <w:color w:val="auto"/>
        </w:rPr>
      </w:pPr>
    </w:p>
    <w:p>
      <w:pPr>
        <w:jc w:val="both"/>
        <w:ind w:left="660" w:firstLine="68"/>
        <w:spacing w:after="0" w:line="257" w:lineRule="auto"/>
        <w:rPr>
          <w:sz w:val="20"/>
          <w:szCs w:val="20"/>
          <w:color w:val="auto"/>
        </w:rPr>
      </w:pPr>
      <w:r>
        <w:rPr>
          <w:rFonts w:ascii="Arial" w:cs="Arial" w:eastAsia="Arial" w:hAnsi="Arial"/>
          <w:sz w:val="18"/>
          <w:szCs w:val="18"/>
          <w:color w:val="auto"/>
        </w:rPr>
        <w:t>The percentage of proved developed reserves was 66 percent of total proved reserves at year-end 2019 (including both consolidated and equity company reserves), a decrease from 68 percent in 2018, and has been over 60 percent for the last ten years. Although the Corporation is reasonably certain that proved reserves will be produced, the timing and amount recovered can be affected by a number of factors including completion of development projects, reservoir performance, regulatory approvals, government policy, consumer preferences and significant changes in long-term oil and natural gas prices.</w:t>
      </w:r>
    </w:p>
    <w:p>
      <w:pPr>
        <w:spacing w:after="0" w:line="80" w:lineRule="exact"/>
        <w:rPr>
          <w:sz w:val="20"/>
          <w:szCs w:val="20"/>
          <w:color w:val="auto"/>
        </w:rPr>
      </w:pPr>
    </w:p>
    <w:p>
      <w:pPr>
        <w:jc w:val="both"/>
        <w:ind w:left="660" w:firstLine="54"/>
        <w:spacing w:after="0" w:line="277" w:lineRule="auto"/>
        <w:rPr>
          <w:sz w:val="20"/>
          <w:szCs w:val="20"/>
          <w:color w:val="auto"/>
        </w:rPr>
      </w:pPr>
      <w:r>
        <w:rPr>
          <w:rFonts w:ascii="Arial" w:cs="Arial" w:eastAsia="Arial" w:hAnsi="Arial"/>
          <w:sz w:val="18"/>
          <w:szCs w:val="18"/>
          <w:color w:val="auto"/>
        </w:rPr>
        <w:t>Unproved reserves are quantities of oil and natural gas with less than reasonable certainty of recoverability and include probable reserves. Probable reserves are reserves that, together with proved reserves, are as likely as not to be recovered.</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in previously estimated volumes of proved reserves for existing fields can occur due to the evaluation or re-evaluation of (1) already available geologic, reservoir or production data, (2) new geologic, reservoir or production data or (3) changes in the average of first-of-month oil and natural gas prices and / or costs that are used in the estimation of reserves. Revisions can also result from significant changes in development strategy or production equipment and facility capacity.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Unit-of-Production Depreciation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Oil and natural gas reserve quantities are used as the basis to calculate unit-of-production depreciation rates for most upstream assets. Depreciation is calculated by taking the ratio of asset cost to total proved reserves or proved developed reserves applied to actual production. The volumes produced and asset cost are known, while proved reserves are based on estimates that are subject to some variability.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the unit-of-production method does not result in an equitable allocation of cost over the economic life of an upstream asset, an alternative method is used. The straight-line method may be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tests assets or groups of assets for recoverability on an ongoing basis whenever events or changes in circumstances indicate that the carrying amounts may not be recoverable. Among the events or changes in circumstances which could indicate that the carrying value of an asset or asset group may not be recoverable are the following:</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significant decrease in the market price of a long-lived asset;</w:t>
      </w:r>
    </w:p>
    <w:p>
      <w:pPr>
        <w:spacing w:after="0" w:line="36" w:lineRule="exact"/>
        <w:rPr>
          <w:sz w:val="20"/>
          <w:szCs w:val="20"/>
          <w:color w:val="auto"/>
        </w:rPr>
      </w:pPr>
    </w:p>
    <w:p>
      <w:pPr>
        <w:ind w:left="660" w:right="20" w:firstLine="54"/>
        <w:spacing w:after="0" w:line="266" w:lineRule="auto"/>
        <w:rPr>
          <w:sz w:val="20"/>
          <w:szCs w:val="20"/>
          <w:color w:val="auto"/>
        </w:rPr>
      </w:pPr>
      <w:r>
        <w:rPr>
          <w:rFonts w:ascii="Arial" w:cs="Arial" w:eastAsia="Arial" w:hAnsi="Arial"/>
          <w:sz w:val="18"/>
          <w:szCs w:val="18"/>
          <w:color w:val="auto"/>
        </w:rPr>
        <w:t>a significant adverse change in the extent or manner in which an asset is being used or in its physical condition including a significant decrease in current and projected reserve volumes;</w:t>
      </w:r>
    </w:p>
    <w:p>
      <w:pPr>
        <w:ind w:left="660" w:right="20" w:firstLine="54"/>
        <w:spacing w:after="0" w:line="266" w:lineRule="auto"/>
        <w:rPr>
          <w:sz w:val="20"/>
          <w:szCs w:val="20"/>
          <w:color w:val="auto"/>
        </w:rPr>
      </w:pPr>
      <w:r>
        <w:rPr>
          <w:rFonts w:ascii="Arial" w:cs="Arial" w:eastAsia="Arial" w:hAnsi="Arial"/>
          <w:sz w:val="18"/>
          <w:szCs w:val="18"/>
          <w:color w:val="auto"/>
        </w:rPr>
        <w:t>a significant adverse change in legal factors or in the business climate that could affect the value, including an adverse action or assessment by a regulator;</w:t>
      </w:r>
    </w:p>
    <w:p>
      <w:pPr>
        <w:ind w:left="720"/>
        <w:spacing w:after="0"/>
        <w:rPr>
          <w:sz w:val="20"/>
          <w:szCs w:val="20"/>
          <w:color w:val="auto"/>
        </w:rPr>
      </w:pPr>
      <w:r>
        <w:rPr>
          <w:rFonts w:ascii="Arial" w:cs="Arial" w:eastAsia="Arial" w:hAnsi="Arial"/>
          <w:sz w:val="18"/>
          <w:szCs w:val="18"/>
          <w:color w:val="auto"/>
        </w:rPr>
        <w:t>an accumulation of project costs significantly in excess of the amount originally expected;</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current-period operating loss combined with a history and forecast of operating or cash flow losses; and</w:t>
      </w:r>
    </w:p>
    <w:p>
      <w:pPr>
        <w:spacing w:after="0" w:line="36" w:lineRule="exact"/>
        <w:rPr>
          <w:sz w:val="20"/>
          <w:szCs w:val="20"/>
          <w:color w:val="auto"/>
        </w:rPr>
      </w:pPr>
    </w:p>
    <w:p>
      <w:pPr>
        <w:ind w:left="660" w:firstLine="54"/>
        <w:spacing w:after="0" w:line="277" w:lineRule="auto"/>
        <w:rPr>
          <w:sz w:val="20"/>
          <w:szCs w:val="20"/>
          <w:color w:val="auto"/>
        </w:rPr>
      </w:pPr>
      <w:r>
        <w:rPr>
          <w:rFonts w:ascii="Arial" w:cs="Arial" w:eastAsia="Arial" w:hAnsi="Arial"/>
          <w:sz w:val="18"/>
          <w:szCs w:val="18"/>
          <w:color w:val="auto"/>
        </w:rPr>
        <w:t>a current expectation that, more likely than not, a long-lived asset will be sold or otherwise disposed of significantly before the end of its previously estimated useful life.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 valuation analyses, profitability reviews and other periodic control processes assist the Corporation in assessing whether events or changes in circumstances indicate the carrying amounts of any of its assets may not be recoverable.</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and levels of prosperity. Because the lifespans of the vast majority of the Corporation’s major assets are measured in decades, the value of these assets is predominantly based on long-term views of future commodity prices, and development and production costs. During the lifespan of these major assets, the Corporation expects that oil and gas prices will experience significant volatility, and consequently these assets will experience periods of higher earnings and periods of lower earnings, or even losses.</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assessing whether the events or changes in circumstances indicate the carrying value of an asset may not be recoverable, the Corporation considers recent periods of operating losses in the context of its longer-term view of prices. While near-term prices are subject to wide fluctuations, longer-term price views are more stable and meaningful for purposes of assessing future cash flows.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the industry experiences a prolonged and deep reduction in commodity prices, the market supply and demand conditions may result in changes to the Corporation’s long-term price or margin assumptions it uses for its capital investment decisions. To the extent those changes result in a significant reduction to its long-term oil price, natural gas price or margin ranges, the Corporation may consider that situation, in conjunction with other events or changes in circumstances such as a history of operating losses, an indicator of potential impairment for certain assets.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Upstream, the standardized measure of discounted cash flows included in the Supplemental Information on Oil and Gas Exploration and Production Activities is required to use prices based on the average of first-of-month prices. These prices represent discrete points in time and could be higher or lower than the Corporation’s long-term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Corporation has a robust process to monitor for indicators of potential impairment across its asset groups throughout the year. This process is aligned with the requirements of ASC 360 and relies in part on the Corporation’s planning and budgeting cycle. 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Corporation’s assumptions which are developed in the annual planning and budgeting process,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w:t>
      </w:r>
    </w:p>
    <w:p>
      <w:pPr>
        <w:spacing w:after="0" w:line="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asset group is impaired if its estimated undiscounted cash flows are less than the asset’s carrying value. Impairments are measured by the amount by which the carrying value exceeds fair value. Fair value is based on market prices if an active market exists for the asset group, or discounted cash flows using a discount rate commensurate with the risk. Significant unproved properties are assessed for impairment individually, and valuation allowances against the capitalized costs are recorded based on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Corporation’s 2019 results include after-tax charges of $0.1 billion to reduce the carrying value of assets to fair value. The assessment of fair value requires the use of Level 3 inputs and assumptions that are based upon the views of a likely market participant. The principal parameters used to establish fair value include estimates of both proved and unproved reserves, future commodity prices which were consistent with the average of third-party industry experts and government agencies, drilling and development costs, discount rates which are reflective of the characteristics of the asset group, and comparable market transactions.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Factors which could put further assets at risk of impairment in the future include reductions in the Corporation’s long-term price outlooks, changes in the allocation of capital, and operating cost increases which exceed the pace of efficiencies or the pace of oil and natural gas price increases. However, due to the inherent difficulty in predicting future commodity prices, and the relationship between industry prices and costs, it is not practicable to reasonably estimate the existence or range of any potential future impairment charges related to the Corporation’s long-lived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are disclosed in Note 9 to the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Exploratory Well Costs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Exploratory well costs not meeting these criteria are charged to expense. The facts and circumstances that support continued capitalization of suspended wells at year-end are disclosed in Note 10 to the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include the accounts of subsidiaries the Corporation controls. They also include the Corporation’s share of the undivided interest in certain upstream assets, liabilities, revenues and expenses. Amounts representing the Corporation’s interest in entities that it does not control, but over which it exercises significant influence, are accounted for using the equity method of accounting.</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Investments in companies that are partially owned by the Corporation are integral to the Corporation’s operations. In some cases they serve to balance worldwide risks, and in others they provide the only available means of entry into a particular market or area of interest. The other parties, who also have an equity interest in these companies, are either independent third parties or host governments that share in the business results according to their ownership. The Corporation does not invest in these companies in order to remove liabilities from its balance sheet. In fact, the Corporation has long been on record supporting an alternative accounting method that would require each investor to consolidate its share of all assets and liabilities in these partially-owned companies rather than only its interest in net equity. This method of accounting for investments in partially-owned companies is not permitted by U.S. GAAP except where the investments are in the direct ownership of a share of upstream assets and liabilities. However, for purposes of calculating return on average capital employed, which is not covered by U.S. GAAP standards, the Corporation includes its share of debt of these partially-owned companies in the determination of average capital employed.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and its affiliates sponsor nearly 90 defined benefit (pension) plans in over 40 countries. The Pension and Other Postretirement Benefits footnote (Note 17) provides details on pension obligations, fund assets and pension expense.</w:t>
      </w:r>
    </w:p>
    <w:p>
      <w:pPr>
        <w:spacing w:after="0" w:line="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Some of these plans (primarily non-U.S.) provide pension benefits that are paid directly by their sponsoring affiliates out of corporate cash flow rather than a separate pension fund because applicable tax rules and regulatory practices do not encourage advance funding. Book reserves are established for these plans.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funded plans, including those in the U.S.,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2019 was 5.3 percent. The 10-year and 20-year actual returns on U.S. pension plan assets were 9 percent and 6 percent, respectively. The Corporation establishes the long-term expected rate of return by developing a forward-looking, long-term return assumption for each pension fund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 A worldwide reduction of 0.5 percent in the long-term rate of return on assets would increase annual pension expense by approximately $180 million before tax.</w:t>
      </w:r>
    </w:p>
    <w:p>
      <w:pPr>
        <w:spacing w:after="0" w:line="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variety of claims have been made against the Corporation and certain of its consolidated subsidiaries in a number of pending lawsuits. Management has regular litigation reviews, including updates from corporate and outside counsel, to assess the need for accounting recognition or disclosure of these contingencies. The status of significant claims is summarized in Note 16.</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accrues an undiscounted liability for those contingencies where the incurrence of a loss is probable, and the amount can be reasonably estimated. These amounts are not reduced by amounts that may be recovered under insurance or claims against third parties, but undiscounted receivables from insurers or other third parties may be accrued separately. The Corporation revises such accruals in light of new information. For contingencies where an unfavorable outcome is reasonably possible and which are significant, the Corporation discloses the nature of the contingency and, where feasible, an estimate of the possible loss. For purposes of our litigation contingency disclosures, “significant” includes material matters as well as other items which management believes should be disclosed.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judgment is required related to contingent liabilities and the outcome of litigation because both are difficult to predict. However, the Corporation has been successful in defending litigation in the past. Payments have not had a material adverse effect on operations or financial condition. In the Corporation’s experience, large claims often do not result in large awards. Large awards are often reversed or substantially reduced as a result of appeal or settlement.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Contingencies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is subject to income taxation in many jurisdictions around the world. Significant management judgment is required in the accounting for income tax contingencies and tax disputes because the outcomes are often difficult to predict.</w:t>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benefits of 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A reserve is established for the difference between a position taken or expected to be taken in an income tax return and the amount recognized in the financial statements. The Corporation’s unrecognized tax benefits and a description of open tax years are summarized in Note 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method of translating the foreign currency financial statements of the Corporation’s international subsidiaries into U.S. dollars is prescribed by U.S. GAAP. Under these principles, it is necessary to select the functional currency of these subsidiaries. The functional currency is the currency of the primary economic environment in which the subsidiary operates. Management selects the functional currency after evaluating this economic environment.</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considered by management when determining the functional currency for a subsidiary include the currency used for cash flows related to individual assets and liabilities; the responsiveness of sales prices to changes in exchange rates; the history of inflation in the country; whether sales are into local markets or exported; the currency used to acquire raw materials, labor, services and supplies; sources of financing; and significance of intercompany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2019.</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2019,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1414780" cy="4972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4780" cy="49720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443230</wp:posOffset>
            </wp:positionV>
            <wp:extent cx="1235075" cy="403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5075" cy="40322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306070</wp:posOffset>
            </wp:positionV>
            <wp:extent cx="1775460" cy="5918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75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Darren W. Woods</w:t>
            </w:r>
          </w:p>
        </w:tc>
        <w:tc>
          <w:tcPr>
            <w:tcW w:w="3860" w:type="dxa"/>
            <w:vAlign w:val="bottom"/>
          </w:tcPr>
          <w:p>
            <w:pPr>
              <w:ind w:left="1020"/>
              <w:spacing w:after="0"/>
              <w:rPr>
                <w:sz w:val="20"/>
                <w:szCs w:val="20"/>
                <w:color w:val="auto"/>
              </w:rPr>
            </w:pPr>
            <w:r>
              <w:rPr>
                <w:rFonts w:ascii="Arial" w:cs="Arial" w:eastAsia="Arial" w:hAnsi="Arial"/>
                <w:sz w:val="18"/>
                <w:szCs w:val="18"/>
                <w:color w:val="auto"/>
              </w:rPr>
              <w:t>Andrew P. Swiger</w:t>
            </w:r>
          </w:p>
        </w:tc>
        <w:tc>
          <w:tcPr>
            <w:tcW w:w="4800" w:type="dxa"/>
            <w:vAlign w:val="bottom"/>
          </w:tcPr>
          <w:p>
            <w:pPr>
              <w:ind w:left="820"/>
              <w:spacing w:after="0"/>
              <w:rPr>
                <w:sz w:val="20"/>
                <w:szCs w:val="20"/>
                <w:color w:val="auto"/>
              </w:rPr>
            </w:pPr>
            <w:r>
              <w:rPr>
                <w:rFonts w:ascii="Arial" w:cs="Arial" w:eastAsia="Arial" w:hAnsi="Arial"/>
                <w:sz w:val="18"/>
                <w:szCs w:val="18"/>
                <w:color w:val="auto"/>
              </w:rPr>
              <w:t>David S. Rosenthal</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860" w:type="dxa"/>
            <w:vAlign w:val="bottom"/>
          </w:tcPr>
          <w:p>
            <w:pPr>
              <w:ind w:left="1020"/>
              <w:spacing w:after="0"/>
              <w:rPr>
                <w:sz w:val="20"/>
                <w:szCs w:val="20"/>
                <w:color w:val="auto"/>
              </w:rPr>
            </w:pPr>
            <w:r>
              <w:rPr>
                <w:rFonts w:ascii="Arial" w:cs="Arial" w:eastAsia="Arial" w:hAnsi="Arial"/>
                <w:sz w:val="18"/>
                <w:szCs w:val="18"/>
                <w:color w:val="auto"/>
              </w:rPr>
              <w:t>Senior Vice President</w:t>
            </w:r>
          </w:p>
        </w:tc>
        <w:tc>
          <w:tcPr>
            <w:tcW w:w="4800" w:type="dxa"/>
            <w:vAlign w:val="bottom"/>
          </w:tcPr>
          <w:p>
            <w:pPr>
              <w:ind w:left="82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2760" w:type="dxa"/>
            <w:vAlign w:val="bottom"/>
          </w:tcPr>
          <w:p>
            <w:pPr>
              <w:spacing w:after="0"/>
              <w:rPr>
                <w:sz w:val="20"/>
                <w:szCs w:val="20"/>
                <w:color w:val="auto"/>
              </w:rPr>
            </w:pPr>
          </w:p>
        </w:tc>
        <w:tc>
          <w:tcPr>
            <w:tcW w:w="3860" w:type="dxa"/>
            <w:vAlign w:val="bottom"/>
          </w:tcPr>
          <w:p>
            <w:pPr>
              <w:ind w:left="1020"/>
              <w:spacing w:after="0"/>
              <w:rPr>
                <w:sz w:val="20"/>
                <w:szCs w:val="20"/>
                <w:color w:val="auto"/>
              </w:rPr>
            </w:pPr>
            <w:r>
              <w:rPr>
                <w:rFonts w:ascii="Arial" w:cs="Arial" w:eastAsia="Arial" w:hAnsi="Arial"/>
                <w:sz w:val="18"/>
                <w:szCs w:val="18"/>
                <w:color w:val="auto"/>
              </w:rPr>
              <w:t>(Principal Financial Officer)</w:t>
            </w:r>
          </w:p>
        </w:tc>
        <w:tc>
          <w:tcPr>
            <w:tcW w:w="4800" w:type="dxa"/>
            <w:vAlign w:val="bottom"/>
          </w:tcPr>
          <w:p>
            <w:pPr>
              <w:ind w:left="820"/>
              <w:spacing w:after="0"/>
              <w:rPr>
                <w:sz w:val="20"/>
                <w:szCs w:val="20"/>
                <w:color w:val="auto"/>
              </w:rPr>
            </w:pPr>
            <w:r>
              <w:rPr>
                <w:rFonts w:ascii="Arial" w:cs="Arial" w:eastAsia="Arial" w:hAnsi="Arial"/>
                <w:sz w:val="18"/>
                <w:szCs w:val="18"/>
                <w:color w:val="auto"/>
              </w:rPr>
              <w:t>(Principal Accounting Officer)</w:t>
            </w:r>
          </w:p>
        </w:tc>
      </w:tr>
      <w:tr>
        <w:trPr>
          <w:trHeight w:val="689"/>
        </w:trPr>
        <w:tc>
          <w:tcPr>
            <w:tcW w:w="2760" w:type="dxa"/>
            <w:vAlign w:val="bottom"/>
          </w:tcPr>
          <w:p>
            <w:pPr>
              <w:spacing w:after="0"/>
              <w:rPr>
                <w:sz w:val="24"/>
                <w:szCs w:val="24"/>
                <w:color w:val="auto"/>
              </w:rPr>
            </w:pPr>
          </w:p>
        </w:tc>
        <w:tc>
          <w:tcPr>
            <w:tcW w:w="3860" w:type="dxa"/>
            <w:vAlign w:val="bottom"/>
          </w:tcPr>
          <w:p>
            <w:pPr>
              <w:jc w:val="right"/>
              <w:ind w:right="730"/>
              <w:spacing w:after="0"/>
              <w:rPr>
                <w:sz w:val="20"/>
                <w:szCs w:val="20"/>
                <w:color w:val="auto"/>
              </w:rPr>
            </w:pPr>
            <w:r>
              <w:rPr>
                <w:rFonts w:ascii="Arial" w:cs="Arial" w:eastAsia="Arial" w:hAnsi="Arial"/>
                <w:sz w:val="18"/>
                <w:szCs w:val="18"/>
                <w:color w:val="auto"/>
              </w:rPr>
              <w:t>63</w:t>
            </w:r>
          </w:p>
        </w:tc>
        <w:tc>
          <w:tcPr>
            <w:tcW w:w="4800" w:type="dxa"/>
            <w:vAlign w:val="bottom"/>
          </w:tcPr>
          <w:p>
            <w:pPr>
              <w:spacing w:after="0"/>
              <w:rPr>
                <w:sz w:val="24"/>
                <w:szCs w:val="24"/>
                <w:color w:val="auto"/>
              </w:rPr>
            </w:pPr>
          </w:p>
        </w:tc>
      </w:tr>
      <w:tr>
        <w:trPr>
          <w:trHeight w:val="196"/>
        </w:trPr>
        <w:tc>
          <w:tcPr>
            <w:tcW w:w="2760" w:type="dxa"/>
            <w:vAlign w:val="bottom"/>
            <w:tcBorders>
              <w:bottom w:val="single" w:sz="8" w:color="9A9A9A"/>
            </w:tcBorders>
          </w:tcPr>
          <w:p>
            <w:pPr>
              <w:spacing w:after="0"/>
              <w:rPr>
                <w:sz w:val="17"/>
                <w:szCs w:val="17"/>
                <w:color w:val="auto"/>
              </w:rPr>
            </w:pPr>
          </w:p>
        </w:tc>
        <w:tc>
          <w:tcPr>
            <w:tcW w:w="3860" w:type="dxa"/>
            <w:vAlign w:val="bottom"/>
            <w:tcBorders>
              <w:bottom w:val="single" w:sz="8" w:color="9A9A9A"/>
            </w:tcBorders>
          </w:tcPr>
          <w:p>
            <w:pPr>
              <w:spacing w:after="0"/>
              <w:rPr>
                <w:sz w:val="17"/>
                <w:szCs w:val="17"/>
                <w:color w:val="auto"/>
              </w:rPr>
            </w:pPr>
          </w:p>
        </w:tc>
        <w:tc>
          <w:tcPr>
            <w:tcW w:w="48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54380" cy="574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438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Exxon Mobil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 of Exxon Mobil Corporation and its subsidiaries (the “Corporation”) as of December 31, 2019 and 2018, and the related consolidated statements of income, comprehensive income, changes in equity and cash flows for each of the three years in the period ended December 31, 2019, including the related notes (collectively referred to as the “consolidated financial statements”). We also have audited the Corporation's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Corporation as of December 31, 2019 and 2018, and the results of its operations and its cash flows for each of the three years in the period ended December 31, 2019 in conformity with accounting principles generally accepted in the United States of America. Also in our opinion, the Corporation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Proved Oil and Natural Gas Reserves on Upstream Property, Plant and Equipment, Net</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Notes 1, 9 and 18 to the consolidated financial statements, the Corporation’s consolidated upstream property, plant and equipment (PP&amp;E) balance, net was $197 billion as of December 31, 2019, and the related depreciation, depletion and amortization (DD&amp;A) expense for the year ended December 31, 2019 was $15 billion. Management uses the successful efforts method to account for its exploration and production activities. Costs incurred to purchase, lease, or otherwise acquire a property (whether unproved or proved) are capitalized when incurred. As disclosed by management, proved oil and natural gas reserve quantities are used as the basis to calculate unit-of-production depreciation rates for most upstream assets. The estimation of proved oil and natural gas reserves is an ongoing process based on technical evaluations, commercial and market assessments, and detailed analysis of well information such as flow rates and reservoir pressure declines, development and production costs, among other factors. Reserve changes are made within a well-established, disciplined process driven by senior level geoscience and engineering professionals, assisted by the Global Reserves and Resources Group (together “management’s specialists”).</w:t>
      </w:r>
    </w:p>
    <w:p>
      <w:pPr>
        <w:spacing w:after="0" w:line="6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consideration for our determination that performing procedures relating to the impact of proved oil and natural gas reserves on upstream PP&amp;E, net is a critical audit matter is that there was significant judgment by management, including the use of management’s specialists, when developing the estimates of proved oil and natural gas reserves. This in turn led to a high degree of auditor judgment, subjectivity, and effort in performing procedures and evaluating evidence obtained related to the significant assumptions used by management, including development costs and production volumes.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oil and natural gas reserves and the calculation of DD&amp;A expense. These procedures also included, among others (i) testing the completeness, accuracy, and relevance of underlying data used in developing management’s estimates, (ii) evaluating the methods and significant assumptions used by management in developing these estimates, including development costs and production volumes, and (iii) testing the unit-of-production rates used to calculate DD&amp;A expense. Evaluating the significant assumptions relating to the estimates of proved oil and natural gas reserves also involved obtaining evidence to support the reasonableness of the assumptions, including whether the assumptions used were reasonable considering the past performance of the Company, and whether they were consistent with evidence obtained in other areas of the audit. The work of management’s specialists was used in performing the procedures to evaluate the reasonableness of these estimates of proved oil and natural gas reserves. As a basis for using this work, the specialists’ qualifications and objectivity were understood, as well as the methods and assumptions used by the specialists. The procedures performed also included tests of data used by management’s specialists, and an evaluation of the specialists’ findings.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14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Note</w:t>
            </w: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214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Reference</w:t>
            </w:r>
          </w:p>
        </w:tc>
        <w:tc>
          <w:tcPr>
            <w:tcW w:w="1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214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Number</w:t>
            </w: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jc w:val="right"/>
              <w:ind w:right="712"/>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6"/>
        </w:trPr>
        <w:tc>
          <w:tcPr>
            <w:tcW w:w="5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jc w:val="right"/>
              <w:ind w:right="272"/>
              <w:spacing w:after="0"/>
              <w:rPr>
                <w:sz w:val="20"/>
                <w:szCs w:val="20"/>
                <w:color w:val="auto"/>
              </w:rPr>
            </w:pPr>
            <w:r>
              <w:rPr>
                <w:rFonts w:ascii="Arial" w:cs="Arial" w:eastAsia="Arial" w:hAnsi="Arial"/>
                <w:sz w:val="14"/>
                <w:szCs w:val="14"/>
                <w:i w:val="1"/>
                <w:iCs w:val="1"/>
                <w:color w:val="auto"/>
              </w:rPr>
              <w:t>(millions of dollars)</w:t>
            </w:r>
          </w:p>
        </w:tc>
        <w:tc>
          <w:tcPr>
            <w:tcW w:w="1040" w:type="dxa"/>
            <w:vAlign w:val="bottom"/>
          </w:tcPr>
          <w:p>
            <w:pPr>
              <w:spacing w:after="0"/>
              <w:rPr>
                <w:sz w:val="16"/>
                <w:szCs w:val="16"/>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Revenues and other income</w:t>
            </w: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Sales and other operating revenue</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255,583</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279,332</w:t>
            </w:r>
          </w:p>
        </w:tc>
        <w:tc>
          <w:tcPr>
            <w:tcW w:w="1040" w:type="dxa"/>
            <w:vAlign w:val="bottom"/>
          </w:tcPr>
          <w:p>
            <w:pPr>
              <w:jc w:val="right"/>
              <w:spacing w:after="0"/>
              <w:rPr>
                <w:sz w:val="20"/>
                <w:szCs w:val="20"/>
                <w:color w:val="auto"/>
              </w:rPr>
            </w:pPr>
            <w:r>
              <w:rPr>
                <w:rFonts w:ascii="Arial" w:cs="Arial" w:eastAsia="Arial" w:hAnsi="Arial"/>
                <w:sz w:val="18"/>
                <w:szCs w:val="18"/>
                <w:color w:val="auto"/>
              </w:rPr>
              <w:t>237,162</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Income from equity affiliates</w:t>
            </w:r>
          </w:p>
        </w:tc>
        <w:tc>
          <w:tcPr>
            <w:tcW w:w="2140" w:type="dxa"/>
            <w:vAlign w:val="bottom"/>
          </w:tcPr>
          <w:p>
            <w:pPr>
              <w:jc w:val="center"/>
              <w:ind w:left="148"/>
              <w:spacing w:after="0"/>
              <w:rPr>
                <w:sz w:val="20"/>
                <w:szCs w:val="20"/>
                <w:color w:val="auto"/>
              </w:rPr>
            </w:pPr>
            <w:r>
              <w:rPr>
                <w:rFonts w:ascii="Arial" w:cs="Arial" w:eastAsia="Arial" w:hAnsi="Arial"/>
                <w:sz w:val="14"/>
                <w:szCs w:val="14"/>
                <w:color w:val="auto"/>
              </w:rPr>
              <w:t>7</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5,441</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7,355</w:t>
            </w:r>
          </w:p>
        </w:tc>
        <w:tc>
          <w:tcPr>
            <w:tcW w:w="1040" w:type="dxa"/>
            <w:vAlign w:val="bottom"/>
          </w:tcPr>
          <w:p>
            <w:pPr>
              <w:jc w:val="right"/>
              <w:spacing w:after="0"/>
              <w:rPr>
                <w:sz w:val="20"/>
                <w:szCs w:val="20"/>
                <w:color w:val="auto"/>
              </w:rPr>
            </w:pPr>
            <w:r>
              <w:rPr>
                <w:rFonts w:ascii="Arial" w:cs="Arial" w:eastAsia="Arial" w:hAnsi="Arial"/>
                <w:sz w:val="18"/>
                <w:szCs w:val="18"/>
                <w:color w:val="auto"/>
              </w:rPr>
              <w:t>5,380</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140" w:type="dxa"/>
            <w:vAlign w:val="bottom"/>
          </w:tcPr>
          <w:p>
            <w:pPr>
              <w:spacing w:after="0"/>
              <w:rPr>
                <w:sz w:val="20"/>
                <w:szCs w:val="20"/>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3,914</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3,525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r>
      <w:tr>
        <w:trPr>
          <w:trHeight w:val="210"/>
        </w:trPr>
        <w:tc>
          <w:tcPr>
            <w:tcW w:w="5300" w:type="dxa"/>
            <w:vAlign w:val="bottom"/>
          </w:tcPr>
          <w:p>
            <w:pPr>
              <w:ind w:left="720"/>
              <w:spacing w:after="0"/>
              <w:rPr>
                <w:sz w:val="20"/>
                <w:szCs w:val="20"/>
                <w:color w:val="auto"/>
              </w:rPr>
            </w:pPr>
            <w:r>
              <w:rPr>
                <w:rFonts w:ascii="Arial" w:cs="Arial" w:eastAsia="Arial" w:hAnsi="Arial"/>
                <w:sz w:val="18"/>
                <w:szCs w:val="18"/>
                <w:color w:val="auto"/>
              </w:rPr>
              <w:t>Total revenues and other income</w:t>
            </w:r>
          </w:p>
        </w:tc>
        <w:tc>
          <w:tcPr>
            <w:tcW w:w="2140" w:type="dxa"/>
            <w:vAlign w:val="bottom"/>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264,938</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290,212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244,363</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Costs and other deductions</w:t>
            </w: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Crude oil and product purchases</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143,801</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156,172</w:t>
            </w:r>
          </w:p>
        </w:tc>
        <w:tc>
          <w:tcPr>
            <w:tcW w:w="1040" w:type="dxa"/>
            <w:vAlign w:val="bottom"/>
          </w:tcPr>
          <w:p>
            <w:pPr>
              <w:jc w:val="right"/>
              <w:spacing w:after="0"/>
              <w:rPr>
                <w:sz w:val="20"/>
                <w:szCs w:val="20"/>
                <w:color w:val="auto"/>
              </w:rPr>
            </w:pPr>
            <w:r>
              <w:rPr>
                <w:rFonts w:ascii="Arial" w:cs="Arial" w:eastAsia="Arial" w:hAnsi="Arial"/>
                <w:sz w:val="18"/>
                <w:szCs w:val="18"/>
                <w:color w:val="auto"/>
              </w:rPr>
              <w:t>128,217</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Production and manufacturing expenses</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36,826</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36,682</w:t>
            </w:r>
          </w:p>
        </w:tc>
        <w:tc>
          <w:tcPr>
            <w:tcW w:w="1040" w:type="dxa"/>
            <w:vAlign w:val="bottom"/>
          </w:tcPr>
          <w:p>
            <w:pPr>
              <w:jc w:val="right"/>
              <w:spacing w:after="0"/>
              <w:rPr>
                <w:sz w:val="20"/>
                <w:szCs w:val="20"/>
                <w:color w:val="auto"/>
              </w:rPr>
            </w:pPr>
            <w:r>
              <w:rPr>
                <w:rFonts w:ascii="Arial" w:cs="Arial" w:eastAsia="Arial" w:hAnsi="Arial"/>
                <w:sz w:val="18"/>
                <w:szCs w:val="18"/>
                <w:color w:val="auto"/>
              </w:rPr>
              <w:t>32,690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11,398</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11,480</w:t>
            </w:r>
          </w:p>
        </w:tc>
        <w:tc>
          <w:tcPr>
            <w:tcW w:w="1040" w:type="dxa"/>
            <w:vAlign w:val="bottom"/>
          </w:tcPr>
          <w:p>
            <w:pPr>
              <w:jc w:val="right"/>
              <w:spacing w:after="0"/>
              <w:rPr>
                <w:sz w:val="20"/>
                <w:szCs w:val="20"/>
                <w:color w:val="auto"/>
              </w:rPr>
            </w:pPr>
            <w:r>
              <w:rPr>
                <w:rFonts w:ascii="Arial" w:cs="Arial" w:eastAsia="Arial" w:hAnsi="Arial"/>
                <w:sz w:val="18"/>
                <w:szCs w:val="18"/>
                <w:color w:val="auto"/>
              </w:rPr>
              <w:t>10,649</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Depreciation and depletion</w:t>
            </w:r>
          </w:p>
        </w:tc>
        <w:tc>
          <w:tcPr>
            <w:tcW w:w="2140" w:type="dxa"/>
            <w:vAlign w:val="bottom"/>
          </w:tcPr>
          <w:p>
            <w:pPr>
              <w:jc w:val="center"/>
              <w:ind w:left="148"/>
              <w:spacing w:after="0"/>
              <w:rPr>
                <w:sz w:val="20"/>
                <w:szCs w:val="20"/>
                <w:color w:val="auto"/>
              </w:rPr>
            </w:pPr>
            <w:r>
              <w:rPr>
                <w:rFonts w:ascii="Arial" w:cs="Arial" w:eastAsia="Arial" w:hAnsi="Arial"/>
                <w:sz w:val="14"/>
                <w:szCs w:val="14"/>
                <w:color w:val="auto"/>
              </w:rPr>
              <w:t>9</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18,998</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18,745</w:t>
            </w:r>
          </w:p>
        </w:tc>
        <w:tc>
          <w:tcPr>
            <w:tcW w:w="1040" w:type="dxa"/>
            <w:vAlign w:val="bottom"/>
          </w:tcPr>
          <w:p>
            <w:pPr>
              <w:jc w:val="right"/>
              <w:spacing w:after="0"/>
              <w:rPr>
                <w:sz w:val="20"/>
                <w:szCs w:val="20"/>
                <w:color w:val="auto"/>
              </w:rPr>
            </w:pPr>
            <w:r>
              <w:rPr>
                <w:rFonts w:ascii="Arial" w:cs="Arial" w:eastAsia="Arial" w:hAnsi="Arial"/>
                <w:sz w:val="18"/>
                <w:szCs w:val="18"/>
                <w:color w:val="auto"/>
              </w:rPr>
              <w:t>19,893</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Exploration expenses, including dry holes</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1,269</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1,466</w:t>
            </w: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Non-service pension and postretirement benefit expense</w:t>
            </w:r>
          </w:p>
        </w:tc>
        <w:tc>
          <w:tcPr>
            <w:tcW w:w="2140" w:type="dxa"/>
            <w:vAlign w:val="bottom"/>
          </w:tcPr>
          <w:p>
            <w:pPr>
              <w:jc w:val="center"/>
              <w:ind w:left="168"/>
              <w:spacing w:after="0"/>
              <w:rPr>
                <w:sz w:val="20"/>
                <w:szCs w:val="20"/>
                <w:color w:val="auto"/>
              </w:rPr>
            </w:pPr>
            <w:r>
              <w:rPr>
                <w:rFonts w:ascii="Arial" w:cs="Arial" w:eastAsia="Arial" w:hAnsi="Arial"/>
                <w:sz w:val="14"/>
                <w:szCs w:val="14"/>
                <w:color w:val="auto"/>
                <w:w w:val="89"/>
              </w:rPr>
              <w:t>17</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1,235</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1,285</w:t>
            </w:r>
          </w:p>
        </w:tc>
        <w:tc>
          <w:tcPr>
            <w:tcW w:w="104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830</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766</w:t>
            </w:r>
          </w:p>
        </w:tc>
        <w:tc>
          <w:tcPr>
            <w:tcW w:w="104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Other taxes and duties</w:t>
            </w:r>
          </w:p>
        </w:tc>
        <w:tc>
          <w:tcPr>
            <w:tcW w:w="2140" w:type="dxa"/>
            <w:vAlign w:val="bottom"/>
          </w:tcPr>
          <w:p>
            <w:pPr>
              <w:jc w:val="center"/>
              <w:ind w:left="168"/>
              <w:spacing w:after="0"/>
              <w:rPr>
                <w:sz w:val="20"/>
                <w:szCs w:val="20"/>
                <w:color w:val="auto"/>
              </w:rPr>
            </w:pPr>
            <w:r>
              <w:rPr>
                <w:rFonts w:ascii="Arial" w:cs="Arial" w:eastAsia="Arial" w:hAnsi="Arial"/>
                <w:sz w:val="14"/>
                <w:szCs w:val="14"/>
                <w:color w:val="auto"/>
                <w:w w:val="89"/>
              </w:rPr>
              <w:t>19</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30,525</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32,663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w:t>
            </w:r>
          </w:p>
        </w:tc>
      </w:tr>
      <w:tr>
        <w:trPr>
          <w:trHeight w:val="210"/>
        </w:trPr>
        <w:tc>
          <w:tcPr>
            <w:tcW w:w="5300" w:type="dxa"/>
            <w:vAlign w:val="bottom"/>
          </w:tcPr>
          <w:p>
            <w:pPr>
              <w:ind w:left="720"/>
              <w:spacing w:after="0"/>
              <w:rPr>
                <w:sz w:val="20"/>
                <w:szCs w:val="20"/>
                <w:color w:val="auto"/>
              </w:rPr>
            </w:pPr>
            <w:r>
              <w:rPr>
                <w:rFonts w:ascii="Arial" w:cs="Arial" w:eastAsia="Arial" w:hAnsi="Arial"/>
                <w:sz w:val="18"/>
                <w:szCs w:val="18"/>
                <w:color w:val="auto"/>
              </w:rPr>
              <w:t>Total costs and other deductions</w:t>
            </w:r>
          </w:p>
        </w:tc>
        <w:tc>
          <w:tcPr>
            <w:tcW w:w="2140" w:type="dxa"/>
            <w:vAlign w:val="bottom"/>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244,882</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259,259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225,689</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Income before income taxes</w:t>
            </w:r>
          </w:p>
        </w:tc>
        <w:tc>
          <w:tcPr>
            <w:tcW w:w="2140" w:type="dxa"/>
            <w:vAlign w:val="bottom"/>
          </w:tcPr>
          <w:p>
            <w:pPr>
              <w:spacing w:after="0"/>
              <w:rPr>
                <w:sz w:val="16"/>
                <w:szCs w:val="16"/>
                <w:color w:val="auto"/>
              </w:rPr>
            </w:pPr>
          </w:p>
        </w:tc>
        <w:tc>
          <w:tcPr>
            <w:tcW w:w="120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20,056</w:t>
            </w:r>
          </w:p>
        </w:tc>
        <w:tc>
          <w:tcPr>
            <w:tcW w:w="1740" w:type="dxa"/>
            <w:vAlign w:val="bottom"/>
          </w:tcPr>
          <w:p>
            <w:pPr>
              <w:jc w:val="right"/>
              <w:ind w:right="392"/>
              <w:spacing w:after="0" w:line="195" w:lineRule="exact"/>
              <w:rPr>
                <w:sz w:val="20"/>
                <w:szCs w:val="20"/>
                <w:color w:val="auto"/>
              </w:rPr>
            </w:pPr>
            <w:r>
              <w:rPr>
                <w:rFonts w:ascii="Arial" w:cs="Arial" w:eastAsia="Arial" w:hAnsi="Arial"/>
                <w:sz w:val="18"/>
                <w:szCs w:val="18"/>
                <w:color w:val="auto"/>
              </w:rPr>
              <w:t>30,953</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18,674</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140" w:type="dxa"/>
            <w:vAlign w:val="bottom"/>
          </w:tcPr>
          <w:p>
            <w:pPr>
              <w:jc w:val="center"/>
              <w:ind w:left="168"/>
              <w:spacing w:after="0"/>
              <w:rPr>
                <w:sz w:val="20"/>
                <w:szCs w:val="20"/>
                <w:color w:val="auto"/>
              </w:rPr>
            </w:pPr>
            <w:r>
              <w:rPr>
                <w:rFonts w:ascii="Arial" w:cs="Arial" w:eastAsia="Arial" w:hAnsi="Arial"/>
                <w:sz w:val="14"/>
                <w:szCs w:val="14"/>
                <w:color w:val="auto"/>
                <w:w w:val="89"/>
              </w:rPr>
              <w:t>19</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5,282</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9,532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Net income including noncontrolling interests</w:t>
            </w:r>
          </w:p>
        </w:tc>
        <w:tc>
          <w:tcPr>
            <w:tcW w:w="2140" w:type="dxa"/>
            <w:vAlign w:val="bottom"/>
          </w:tcPr>
          <w:p>
            <w:pPr>
              <w:spacing w:after="0"/>
              <w:rPr>
                <w:sz w:val="16"/>
                <w:szCs w:val="16"/>
                <w:color w:val="auto"/>
              </w:rPr>
            </w:pPr>
          </w:p>
        </w:tc>
        <w:tc>
          <w:tcPr>
            <w:tcW w:w="120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14,774</w:t>
            </w:r>
          </w:p>
        </w:tc>
        <w:tc>
          <w:tcPr>
            <w:tcW w:w="1740" w:type="dxa"/>
            <w:vAlign w:val="bottom"/>
          </w:tcPr>
          <w:p>
            <w:pPr>
              <w:jc w:val="right"/>
              <w:ind w:right="392"/>
              <w:spacing w:after="0" w:line="195" w:lineRule="exact"/>
              <w:rPr>
                <w:sz w:val="20"/>
                <w:szCs w:val="20"/>
                <w:color w:val="auto"/>
              </w:rPr>
            </w:pPr>
            <w:r>
              <w:rPr>
                <w:rFonts w:ascii="Arial" w:cs="Arial" w:eastAsia="Arial" w:hAnsi="Arial"/>
                <w:sz w:val="18"/>
                <w:szCs w:val="18"/>
                <w:color w:val="auto"/>
              </w:rPr>
              <w:t>21,421</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19,848</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140" w:type="dxa"/>
            <w:vAlign w:val="bottom"/>
          </w:tcPr>
          <w:p>
            <w:pPr>
              <w:spacing w:after="0"/>
              <w:rPr>
                <w:sz w:val="20"/>
                <w:szCs w:val="20"/>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434</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581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Net income attributable to ExxonMobil</w:t>
            </w:r>
          </w:p>
        </w:tc>
        <w:tc>
          <w:tcPr>
            <w:tcW w:w="2140" w:type="dxa"/>
            <w:vAlign w:val="bottom"/>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14,340</w:t>
            </w: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20,840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19,710</w:t>
            </w:r>
          </w:p>
        </w:tc>
      </w:tr>
      <w:tr>
        <w:trPr>
          <w:trHeight w:val="426"/>
        </w:trPr>
        <w:tc>
          <w:tcPr>
            <w:tcW w:w="5300" w:type="dxa"/>
            <w:vAlign w:val="bottom"/>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8"/>
                <w:szCs w:val="18"/>
                <w:i w:val="1"/>
                <w:iCs w:val="1"/>
                <w:color w:val="auto"/>
              </w:rPr>
              <w:t>(dollars)</w:t>
            </w:r>
          </w:p>
        </w:tc>
        <w:tc>
          <w:tcPr>
            <w:tcW w:w="2140" w:type="dxa"/>
            <w:vAlign w:val="bottom"/>
          </w:tcPr>
          <w:p>
            <w:pPr>
              <w:jc w:val="center"/>
              <w:ind w:left="168"/>
              <w:spacing w:after="0"/>
              <w:rPr>
                <w:sz w:val="20"/>
                <w:szCs w:val="20"/>
                <w:color w:val="auto"/>
              </w:rPr>
            </w:pPr>
            <w:r>
              <w:rPr>
                <w:rFonts w:ascii="Arial" w:cs="Arial" w:eastAsia="Arial" w:hAnsi="Arial"/>
                <w:sz w:val="14"/>
                <w:szCs w:val="14"/>
                <w:color w:val="auto"/>
                <w:w w:val="89"/>
              </w:rPr>
              <w:t>12</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3.36</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4.88</w:t>
            </w: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 xml:space="preserve">Earnings per common share - assuming dilution </w:t>
            </w:r>
            <w:r>
              <w:rPr>
                <w:rFonts w:ascii="Arial" w:cs="Arial" w:eastAsia="Arial" w:hAnsi="Arial"/>
                <w:sz w:val="18"/>
                <w:szCs w:val="18"/>
                <w:i w:val="1"/>
                <w:iCs w:val="1"/>
                <w:color w:val="auto"/>
              </w:rPr>
              <w:t>(dollars)</w:t>
            </w:r>
          </w:p>
        </w:tc>
        <w:tc>
          <w:tcPr>
            <w:tcW w:w="2140" w:type="dxa"/>
            <w:vAlign w:val="bottom"/>
          </w:tcPr>
          <w:p>
            <w:pPr>
              <w:jc w:val="center"/>
              <w:ind w:left="168"/>
              <w:spacing w:after="0"/>
              <w:rPr>
                <w:sz w:val="20"/>
                <w:szCs w:val="20"/>
                <w:color w:val="auto"/>
              </w:rPr>
            </w:pPr>
            <w:r>
              <w:rPr>
                <w:rFonts w:ascii="Arial" w:cs="Arial" w:eastAsia="Arial" w:hAnsi="Arial"/>
                <w:sz w:val="14"/>
                <w:szCs w:val="14"/>
                <w:color w:val="auto"/>
                <w:w w:val="89"/>
              </w:rPr>
              <w:t>12</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3.36</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4.88</w:t>
            </w: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2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720" w:type="dxa"/>
            <w:vAlign w:val="bottom"/>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6"/>
        </w:trPr>
        <w:tc>
          <w:tcPr>
            <w:tcW w:w="7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jc w:val="right"/>
              <w:ind w:right="273"/>
              <w:spacing w:after="0"/>
              <w:rPr>
                <w:sz w:val="20"/>
                <w:szCs w:val="20"/>
                <w:color w:val="auto"/>
              </w:rPr>
            </w:pPr>
            <w:r>
              <w:rPr>
                <w:rFonts w:ascii="Arial" w:cs="Arial" w:eastAsia="Arial" w:hAnsi="Arial"/>
                <w:sz w:val="14"/>
                <w:szCs w:val="14"/>
                <w:i w:val="1"/>
                <w:iCs w:val="1"/>
                <w:color w:val="auto"/>
              </w:rPr>
              <w:t>(millions of dollars)</w:t>
            </w:r>
          </w:p>
        </w:tc>
        <w:tc>
          <w:tcPr>
            <w:tcW w:w="1040" w:type="dxa"/>
            <w:vAlign w:val="bottom"/>
          </w:tcPr>
          <w:p>
            <w:pPr>
              <w:spacing w:after="0"/>
              <w:rPr>
                <w:sz w:val="16"/>
                <w:szCs w:val="16"/>
                <w:color w:val="auto"/>
              </w:rPr>
            </w:pPr>
          </w:p>
        </w:tc>
      </w:tr>
      <w:tr>
        <w:trPr>
          <w:trHeight w:val="443"/>
        </w:trPr>
        <w:tc>
          <w:tcPr>
            <w:tcW w:w="744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14,774</w:t>
            </w:r>
          </w:p>
        </w:tc>
        <w:tc>
          <w:tcPr>
            <w:tcW w:w="1720" w:type="dxa"/>
            <w:vAlign w:val="bottom"/>
          </w:tcPr>
          <w:p>
            <w:pPr>
              <w:jc w:val="right"/>
              <w:ind w:right="393"/>
              <w:spacing w:after="0"/>
              <w:rPr>
                <w:sz w:val="20"/>
                <w:szCs w:val="20"/>
                <w:color w:val="auto"/>
              </w:rPr>
            </w:pPr>
            <w:r>
              <w:rPr>
                <w:rFonts w:ascii="Arial" w:cs="Arial" w:eastAsia="Arial" w:hAnsi="Arial"/>
                <w:sz w:val="18"/>
                <w:szCs w:val="18"/>
                <w:color w:val="auto"/>
              </w:rPr>
              <w:t>21,421</w:t>
            </w:r>
          </w:p>
        </w:tc>
        <w:tc>
          <w:tcPr>
            <w:tcW w:w="1040" w:type="dxa"/>
            <w:vAlign w:val="bottom"/>
          </w:tcPr>
          <w:p>
            <w:pPr>
              <w:jc w:val="right"/>
              <w:spacing w:after="0"/>
              <w:rPr>
                <w:sz w:val="20"/>
                <w:szCs w:val="20"/>
                <w:color w:val="auto"/>
              </w:rPr>
            </w:pPr>
            <w:r>
              <w:rPr>
                <w:rFonts w:ascii="Arial" w:cs="Arial" w:eastAsia="Arial" w:hAnsi="Arial"/>
                <w:sz w:val="18"/>
                <w:szCs w:val="18"/>
                <w:color w:val="auto"/>
              </w:rPr>
              <w:t>19,848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translation adjustment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1,735</w:t>
            </w:r>
          </w:p>
        </w:tc>
        <w:tc>
          <w:tcPr>
            <w:tcW w:w="1720" w:type="dxa"/>
            <w:vAlign w:val="bottom"/>
          </w:tcPr>
          <w:p>
            <w:pPr>
              <w:jc w:val="right"/>
              <w:ind w:right="353"/>
              <w:spacing w:after="0"/>
              <w:rPr>
                <w:sz w:val="20"/>
                <w:szCs w:val="20"/>
                <w:color w:val="auto"/>
              </w:rPr>
            </w:pPr>
            <w:r>
              <w:rPr>
                <w:rFonts w:ascii="Arial" w:cs="Arial" w:eastAsia="Arial" w:hAnsi="Arial"/>
                <w:sz w:val="18"/>
                <w:szCs w:val="18"/>
                <w:color w:val="auto"/>
              </w:rPr>
              <w:t>(5,077)</w:t>
            </w:r>
          </w:p>
        </w:tc>
        <w:tc>
          <w:tcPr>
            <w:tcW w:w="1040" w:type="dxa"/>
            <w:vAlign w:val="bottom"/>
          </w:tcPr>
          <w:p>
            <w:pPr>
              <w:jc w:val="right"/>
              <w:spacing w:after="0"/>
              <w:rPr>
                <w:sz w:val="20"/>
                <w:szCs w:val="20"/>
                <w:color w:val="auto"/>
              </w:rPr>
            </w:pPr>
            <w:r>
              <w:rPr>
                <w:rFonts w:ascii="Arial" w:cs="Arial" w:eastAsia="Arial" w:hAnsi="Arial"/>
                <w:sz w:val="18"/>
                <w:szCs w:val="18"/>
                <w:color w:val="auto"/>
              </w:rPr>
              <w:t>5,352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Adjustment for foreign exchange translation (gain)/loss</w:t>
            </w: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included in net income</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93"/>
              <w:spacing w:after="0"/>
              <w:rPr>
                <w:sz w:val="20"/>
                <w:szCs w:val="20"/>
                <w:color w:val="auto"/>
              </w:rPr>
            </w:pPr>
            <w:r>
              <w:rPr>
                <w:rFonts w:ascii="Arial" w:cs="Arial" w:eastAsia="Arial" w:hAnsi="Arial"/>
                <w:sz w:val="18"/>
                <w:szCs w:val="18"/>
                <w:color w:val="auto"/>
              </w:rPr>
              <w:t>196</w:t>
            </w: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Postretirement benefits reserves adjustment (excluding amortization)</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(2,092)</w:t>
            </w:r>
          </w:p>
        </w:tc>
        <w:tc>
          <w:tcPr>
            <w:tcW w:w="1720" w:type="dxa"/>
            <w:vAlign w:val="bottom"/>
          </w:tcPr>
          <w:p>
            <w:pPr>
              <w:jc w:val="right"/>
              <w:ind w:right="393"/>
              <w:spacing w:after="0"/>
              <w:rPr>
                <w:sz w:val="20"/>
                <w:szCs w:val="20"/>
                <w:color w:val="auto"/>
              </w:rPr>
            </w:pPr>
            <w:r>
              <w:rPr>
                <w:rFonts w:ascii="Arial" w:cs="Arial" w:eastAsia="Arial" w:hAnsi="Arial"/>
                <w:sz w:val="18"/>
                <w:szCs w:val="18"/>
                <w:color w:val="auto"/>
              </w:rPr>
              <w:t>280</w:t>
            </w: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and settlement of postretirement benefits reserves</w:t>
            </w: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440" w:type="dxa"/>
            <w:vAlign w:val="bottom"/>
          </w:tcPr>
          <w:p>
            <w:pPr>
              <w:ind w:left="720"/>
              <w:spacing w:after="0"/>
              <w:rPr>
                <w:sz w:val="20"/>
                <w:szCs w:val="20"/>
                <w:color w:val="auto"/>
              </w:rPr>
            </w:pPr>
            <w:r>
              <w:rPr>
                <w:rFonts w:ascii="Arial" w:cs="Arial" w:eastAsia="Arial" w:hAnsi="Arial"/>
                <w:sz w:val="18"/>
                <w:szCs w:val="18"/>
                <w:color w:val="auto"/>
              </w:rPr>
              <w:t>adjustment included in net periodic benefit costs</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582</w:t>
            </w: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931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r>
        <w:trPr>
          <w:trHeight w:val="210"/>
        </w:trPr>
        <w:tc>
          <w:tcPr>
            <w:tcW w:w="7440" w:type="dxa"/>
            <w:vAlign w:val="bottom"/>
          </w:tcPr>
          <w:p>
            <w:pPr>
              <w:ind w:left="720"/>
              <w:spacing w:after="0"/>
              <w:rPr>
                <w:sz w:val="20"/>
                <w:szCs w:val="20"/>
                <w:color w:val="auto"/>
              </w:rPr>
            </w:pPr>
            <w:r>
              <w:rPr>
                <w:rFonts w:ascii="Arial" w:cs="Arial" w:eastAsia="Arial" w:hAnsi="Arial"/>
                <w:sz w:val="18"/>
                <w:szCs w:val="18"/>
                <w:color w:val="auto"/>
              </w:rPr>
              <w:t>Total other comprehensive income</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225</w:t>
            </w:r>
          </w:p>
        </w:tc>
        <w:tc>
          <w:tcPr>
            <w:tcW w:w="17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(3,670)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w:t>
            </w:r>
          </w:p>
        </w:tc>
      </w:tr>
      <w:tr>
        <w:trPr>
          <w:trHeight w:val="195"/>
        </w:trPr>
        <w:tc>
          <w:tcPr>
            <w:tcW w:w="7440" w:type="dxa"/>
            <w:vAlign w:val="bottom"/>
          </w:tcPr>
          <w:p>
            <w:pPr>
              <w:spacing w:after="0" w:line="195" w:lineRule="exact"/>
              <w:rPr>
                <w:sz w:val="20"/>
                <w:szCs w:val="20"/>
                <w:color w:val="auto"/>
              </w:rPr>
            </w:pPr>
            <w:r>
              <w:rPr>
                <w:rFonts w:ascii="Arial" w:cs="Arial" w:eastAsia="Arial" w:hAnsi="Arial"/>
                <w:sz w:val="18"/>
                <w:szCs w:val="18"/>
                <w:color w:val="auto"/>
              </w:rPr>
              <w:t>Comprehensive income including noncontrolling interests</w:t>
            </w:r>
          </w:p>
        </w:tc>
        <w:tc>
          <w:tcPr>
            <w:tcW w:w="1220" w:type="dxa"/>
            <w:vAlign w:val="bottom"/>
          </w:tcPr>
          <w:p>
            <w:pPr>
              <w:jc w:val="right"/>
              <w:ind w:right="152"/>
              <w:spacing w:after="0" w:line="195" w:lineRule="exact"/>
              <w:rPr>
                <w:sz w:val="20"/>
                <w:szCs w:val="20"/>
                <w:color w:val="auto"/>
              </w:rPr>
            </w:pPr>
            <w:r>
              <w:rPr>
                <w:rFonts w:ascii="Arial" w:cs="Arial" w:eastAsia="Arial" w:hAnsi="Arial"/>
                <w:sz w:val="18"/>
                <w:szCs w:val="18"/>
                <w:color w:val="auto"/>
              </w:rPr>
              <w:t>14,999</w:t>
            </w:r>
          </w:p>
        </w:tc>
        <w:tc>
          <w:tcPr>
            <w:tcW w:w="1720" w:type="dxa"/>
            <w:vAlign w:val="bottom"/>
          </w:tcPr>
          <w:p>
            <w:pPr>
              <w:jc w:val="right"/>
              <w:ind w:right="393"/>
              <w:spacing w:after="0" w:line="195" w:lineRule="exact"/>
              <w:rPr>
                <w:sz w:val="20"/>
                <w:szCs w:val="20"/>
                <w:color w:val="auto"/>
              </w:rPr>
            </w:pPr>
            <w:r>
              <w:rPr>
                <w:rFonts w:ascii="Arial" w:cs="Arial" w:eastAsia="Arial" w:hAnsi="Arial"/>
                <w:sz w:val="18"/>
                <w:szCs w:val="18"/>
                <w:color w:val="auto"/>
              </w:rPr>
              <w:t>17,751</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26,380</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Comprehensive income attributable to noncontrolling interests</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588</w:t>
            </w: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174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Comprehensive income attributable to ExxonMobil</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14,411</w:t>
            </w:r>
          </w:p>
        </w:tc>
        <w:tc>
          <w:tcPr>
            <w:tcW w:w="17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17,577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CONSOLIDATED BALANCE SHEET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242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Note</w:t>
            </w: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6"/>
        </w:trPr>
        <w:tc>
          <w:tcPr>
            <w:tcW w:w="6500" w:type="dxa"/>
            <w:vAlign w:val="bottom"/>
          </w:tcPr>
          <w:p>
            <w:pPr>
              <w:spacing w:after="0"/>
              <w:rPr>
                <w:sz w:val="21"/>
                <w:szCs w:val="21"/>
                <w:color w:val="auto"/>
              </w:rPr>
            </w:pPr>
          </w:p>
        </w:tc>
        <w:tc>
          <w:tcPr>
            <w:tcW w:w="2420" w:type="dxa"/>
            <w:vAlign w:val="bottom"/>
          </w:tcPr>
          <w:p>
            <w:pPr>
              <w:jc w:val="center"/>
              <w:ind w:left="428"/>
              <w:spacing w:after="0"/>
              <w:rPr>
                <w:sz w:val="20"/>
                <w:szCs w:val="20"/>
                <w:color w:val="auto"/>
              </w:rPr>
            </w:pPr>
            <w:r>
              <w:rPr>
                <w:rFonts w:ascii="Arial" w:cs="Arial" w:eastAsia="Arial" w:hAnsi="Arial"/>
                <w:sz w:val="14"/>
                <w:szCs w:val="14"/>
                <w:b w:val="1"/>
                <w:bCs w:val="1"/>
                <w:color w:val="auto"/>
                <w:w w:val="88"/>
              </w:rPr>
              <w:t>Reference</w:t>
            </w:r>
          </w:p>
        </w:tc>
        <w:tc>
          <w:tcPr>
            <w:tcW w:w="1400" w:type="dxa"/>
            <w:vAlign w:val="bottom"/>
          </w:tcPr>
          <w:p>
            <w:pPr>
              <w:jc w:val="right"/>
              <w:ind w:right="572"/>
              <w:spacing w:after="0"/>
              <w:rPr>
                <w:sz w:val="20"/>
                <w:szCs w:val="20"/>
                <w:color w:val="auto"/>
              </w:rPr>
            </w:pPr>
            <w:r>
              <w:rPr>
                <w:rFonts w:ascii="Arial" w:cs="Arial" w:eastAsia="Arial" w:hAnsi="Arial"/>
                <w:sz w:val="14"/>
                <w:szCs w:val="14"/>
                <w:b w:val="1"/>
                <w:bCs w:val="1"/>
                <w:color w:val="auto"/>
              </w:rPr>
              <w:t>Dec. 31</w:t>
            </w: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Dec. 31</w:t>
            </w:r>
          </w:p>
        </w:tc>
      </w:tr>
      <w:tr>
        <w:trPr>
          <w:trHeight w:val="212"/>
        </w:trPr>
        <w:tc>
          <w:tcPr>
            <w:tcW w:w="6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184"/>
        </w:trPr>
        <w:tc>
          <w:tcPr>
            <w:tcW w:w="6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500" w:type="dxa"/>
            <w:vAlign w:val="bottom"/>
            <w:gridSpan w:val="2"/>
          </w:tcPr>
          <w:p>
            <w:pPr>
              <w:jc w:val="right"/>
              <w:ind w:right="591"/>
              <w:spacing w:after="0"/>
              <w:rPr>
                <w:sz w:val="20"/>
                <w:szCs w:val="20"/>
                <w:color w:val="auto"/>
              </w:rPr>
            </w:pPr>
            <w:r>
              <w:rPr>
                <w:rFonts w:ascii="Arial" w:cs="Arial" w:eastAsia="Arial" w:hAnsi="Arial"/>
                <w:sz w:val="14"/>
                <w:szCs w:val="14"/>
                <w:i w:val="1"/>
                <w:iCs w:val="1"/>
                <w:color w:val="auto"/>
              </w:rPr>
              <w:t>(millions of dollars)</w:t>
            </w: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Assets</w:t>
            </w:r>
          </w:p>
        </w:tc>
        <w:tc>
          <w:tcPr>
            <w:tcW w:w="2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242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3,089</w:t>
            </w:r>
          </w:p>
        </w:tc>
        <w:tc>
          <w:tcPr>
            <w:tcW w:w="110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Notes and accounts receivable, less estimated doubtful amounts</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6</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26,966</w:t>
            </w:r>
          </w:p>
        </w:tc>
        <w:tc>
          <w:tcPr>
            <w:tcW w:w="1100" w:type="dxa"/>
            <w:vAlign w:val="bottom"/>
          </w:tcPr>
          <w:p>
            <w:pPr>
              <w:jc w:val="right"/>
              <w:spacing w:after="0"/>
              <w:rPr>
                <w:sz w:val="20"/>
                <w:szCs w:val="20"/>
                <w:color w:val="auto"/>
              </w:rPr>
            </w:pPr>
            <w:r>
              <w:rPr>
                <w:rFonts w:ascii="Arial" w:cs="Arial" w:eastAsia="Arial" w:hAnsi="Arial"/>
                <w:sz w:val="18"/>
                <w:szCs w:val="18"/>
                <w:color w:val="auto"/>
              </w:rPr>
              <w:t>24,701</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00" w:type="dxa"/>
            <w:vAlign w:val="bottom"/>
          </w:tcPr>
          <w:p>
            <w:pPr>
              <w:ind w:left="1060"/>
              <w:spacing w:after="0"/>
              <w:rPr>
                <w:sz w:val="20"/>
                <w:szCs w:val="20"/>
                <w:color w:val="auto"/>
              </w:rPr>
            </w:pPr>
            <w:r>
              <w:rPr>
                <w:rFonts w:ascii="Arial" w:cs="Arial" w:eastAsia="Arial" w:hAnsi="Arial"/>
                <w:sz w:val="18"/>
                <w:szCs w:val="18"/>
                <w:color w:val="auto"/>
              </w:rPr>
              <w:t>Crude oil, products and merchandise</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3</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14,010</w:t>
            </w:r>
          </w:p>
        </w:tc>
        <w:tc>
          <w:tcPr>
            <w:tcW w:w="1100" w:type="dxa"/>
            <w:vAlign w:val="bottom"/>
          </w:tcPr>
          <w:p>
            <w:pPr>
              <w:jc w:val="right"/>
              <w:spacing w:after="0"/>
              <w:rPr>
                <w:sz w:val="20"/>
                <w:szCs w:val="20"/>
                <w:color w:val="auto"/>
              </w:rPr>
            </w:pPr>
            <w:r>
              <w:rPr>
                <w:rFonts w:ascii="Arial" w:cs="Arial" w:eastAsia="Arial" w:hAnsi="Arial"/>
                <w:sz w:val="18"/>
                <w:szCs w:val="18"/>
                <w:color w:val="auto"/>
              </w:rPr>
              <w:t>14,803</w:t>
            </w:r>
          </w:p>
        </w:tc>
      </w:tr>
      <w:tr>
        <w:trPr>
          <w:trHeight w:val="216"/>
        </w:trPr>
        <w:tc>
          <w:tcPr>
            <w:tcW w:w="6500" w:type="dxa"/>
            <w:vAlign w:val="bottom"/>
          </w:tcPr>
          <w:p>
            <w:pPr>
              <w:ind w:left="1060"/>
              <w:spacing w:after="0"/>
              <w:rPr>
                <w:sz w:val="20"/>
                <w:szCs w:val="20"/>
                <w:color w:val="auto"/>
              </w:rPr>
            </w:pPr>
            <w:r>
              <w:rPr>
                <w:rFonts w:ascii="Arial" w:cs="Arial" w:eastAsia="Arial" w:hAnsi="Arial"/>
                <w:sz w:val="18"/>
                <w:szCs w:val="18"/>
                <w:color w:val="auto"/>
              </w:rPr>
              <w:t>Materials and supplies</w:t>
            </w:r>
          </w:p>
        </w:tc>
        <w:tc>
          <w:tcPr>
            <w:tcW w:w="242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4,518</w:t>
            </w:r>
          </w:p>
        </w:tc>
        <w:tc>
          <w:tcPr>
            <w:tcW w:w="1100" w:type="dxa"/>
            <w:vAlign w:val="bottom"/>
          </w:tcPr>
          <w:p>
            <w:pPr>
              <w:jc w:val="right"/>
              <w:spacing w:after="0"/>
              <w:rPr>
                <w:sz w:val="20"/>
                <w:szCs w:val="20"/>
                <w:color w:val="auto"/>
              </w:rPr>
            </w:pPr>
            <w:r>
              <w:rPr>
                <w:rFonts w:ascii="Arial" w:cs="Arial" w:eastAsia="Arial" w:hAnsi="Arial"/>
                <w:sz w:val="18"/>
                <w:szCs w:val="18"/>
                <w:color w:val="auto"/>
              </w:rPr>
              <w:t>4,155</w:t>
            </w:r>
          </w:p>
        </w:tc>
      </w:tr>
      <w:tr>
        <w:trPr>
          <w:trHeight w:val="230"/>
        </w:trPr>
        <w:tc>
          <w:tcPr>
            <w:tcW w:w="650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1,469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195"/>
        </w:trPr>
        <w:tc>
          <w:tcPr>
            <w:tcW w:w="6500" w:type="dxa"/>
            <w:vAlign w:val="bottom"/>
          </w:tcPr>
          <w:p>
            <w:pPr>
              <w:ind w:left="1060"/>
              <w:spacing w:after="0" w:line="195" w:lineRule="exact"/>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6"/>
                <w:szCs w:val="16"/>
                <w:color w:val="auto"/>
              </w:rPr>
            </w:pPr>
          </w:p>
        </w:tc>
        <w:tc>
          <w:tcPr>
            <w:tcW w:w="1400" w:type="dxa"/>
            <w:vAlign w:val="bottom"/>
          </w:tcPr>
          <w:p>
            <w:pPr>
              <w:jc w:val="right"/>
              <w:ind w:right="332"/>
              <w:spacing w:after="0" w:line="195" w:lineRule="exact"/>
              <w:rPr>
                <w:sz w:val="20"/>
                <w:szCs w:val="20"/>
                <w:color w:val="auto"/>
              </w:rPr>
            </w:pPr>
            <w:r>
              <w:rPr>
                <w:rFonts w:ascii="Arial" w:cs="Arial" w:eastAsia="Arial" w:hAnsi="Arial"/>
                <w:sz w:val="18"/>
                <w:szCs w:val="18"/>
                <w:color w:val="auto"/>
              </w:rPr>
              <w:t>50,052</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47,973</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Investments, advances and long-term receivables</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8</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43,164</w:t>
            </w:r>
          </w:p>
        </w:tc>
        <w:tc>
          <w:tcPr>
            <w:tcW w:w="1100" w:type="dxa"/>
            <w:vAlign w:val="bottom"/>
          </w:tcPr>
          <w:p>
            <w:pPr>
              <w:jc w:val="right"/>
              <w:spacing w:after="0"/>
              <w:rPr>
                <w:sz w:val="20"/>
                <w:szCs w:val="20"/>
                <w:color w:val="auto"/>
              </w:rPr>
            </w:pPr>
            <w:r>
              <w:rPr>
                <w:rFonts w:ascii="Arial" w:cs="Arial" w:eastAsia="Arial" w:hAnsi="Arial"/>
                <w:sz w:val="18"/>
                <w:szCs w:val="18"/>
                <w:color w:val="auto"/>
              </w:rPr>
              <w:t>40,790</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Property, plant and equipment, at cost, less accumulated depreciation</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and depletion</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253,018</w:t>
            </w:r>
          </w:p>
        </w:tc>
        <w:tc>
          <w:tcPr>
            <w:tcW w:w="1100" w:type="dxa"/>
            <w:vAlign w:val="bottom"/>
          </w:tcPr>
          <w:p>
            <w:pPr>
              <w:jc w:val="right"/>
              <w:spacing w:after="0"/>
              <w:rPr>
                <w:sz w:val="20"/>
                <w:szCs w:val="20"/>
                <w:color w:val="auto"/>
              </w:rPr>
            </w:pPr>
            <w:r>
              <w:rPr>
                <w:rFonts w:ascii="Arial" w:cs="Arial" w:eastAsia="Arial" w:hAnsi="Arial"/>
                <w:sz w:val="18"/>
                <w:szCs w:val="18"/>
                <w:color w:val="auto"/>
              </w:rPr>
              <w:t>247,101</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Other assets, including intangibles, net</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16,363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10,332</w:t>
            </w:r>
          </w:p>
        </w:tc>
      </w:tr>
      <w:tr>
        <w:trPr>
          <w:trHeight w:val="210"/>
        </w:trPr>
        <w:tc>
          <w:tcPr>
            <w:tcW w:w="650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8"/>
                <w:szCs w:val="18"/>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362,597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346,196</w:t>
            </w:r>
          </w:p>
        </w:tc>
      </w:tr>
      <w:tr>
        <w:trPr>
          <w:trHeight w:val="411"/>
        </w:trPr>
        <w:tc>
          <w:tcPr>
            <w:tcW w:w="6500" w:type="dxa"/>
            <w:vAlign w:val="bottom"/>
          </w:tcPr>
          <w:p>
            <w:pPr>
              <w:spacing w:after="0"/>
              <w:rPr>
                <w:sz w:val="20"/>
                <w:szCs w:val="20"/>
                <w:color w:val="auto"/>
              </w:rPr>
            </w:pPr>
            <w:r>
              <w:rPr>
                <w:rFonts w:ascii="Arial" w:cs="Arial" w:eastAsia="Arial" w:hAnsi="Arial"/>
                <w:sz w:val="18"/>
                <w:szCs w:val="18"/>
                <w:color w:val="auto"/>
              </w:rPr>
              <w:t>Liabilities</w:t>
            </w: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Notes and loans payable</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6</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20,578</w:t>
            </w:r>
          </w:p>
        </w:tc>
        <w:tc>
          <w:tcPr>
            <w:tcW w:w="1100" w:type="dxa"/>
            <w:vAlign w:val="bottom"/>
          </w:tcPr>
          <w:p>
            <w:pPr>
              <w:jc w:val="right"/>
              <w:spacing w:after="0"/>
              <w:rPr>
                <w:sz w:val="20"/>
                <w:szCs w:val="20"/>
                <w:color w:val="auto"/>
              </w:rPr>
            </w:pPr>
            <w:r>
              <w:rPr>
                <w:rFonts w:ascii="Arial" w:cs="Arial" w:eastAsia="Arial" w:hAnsi="Arial"/>
                <w:sz w:val="18"/>
                <w:szCs w:val="18"/>
                <w:color w:val="auto"/>
              </w:rPr>
              <w:t>17,258</w:t>
            </w: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2420" w:type="dxa"/>
            <w:vAlign w:val="bottom"/>
          </w:tcPr>
          <w:p>
            <w:pPr>
              <w:jc w:val="center"/>
              <w:ind w:left="428"/>
              <w:spacing w:after="0"/>
              <w:rPr>
                <w:sz w:val="20"/>
                <w:szCs w:val="20"/>
                <w:color w:val="auto"/>
              </w:rPr>
            </w:pPr>
            <w:r>
              <w:rPr>
                <w:rFonts w:ascii="Arial" w:cs="Arial" w:eastAsia="Arial" w:hAnsi="Arial"/>
                <w:sz w:val="14"/>
                <w:szCs w:val="14"/>
                <w:color w:val="auto"/>
              </w:rPr>
              <w:t>6</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41,831</w:t>
            </w:r>
          </w:p>
        </w:tc>
        <w:tc>
          <w:tcPr>
            <w:tcW w:w="1100" w:type="dxa"/>
            <w:vAlign w:val="bottom"/>
          </w:tcPr>
          <w:p>
            <w:pPr>
              <w:jc w:val="right"/>
              <w:spacing w:after="0"/>
              <w:rPr>
                <w:sz w:val="20"/>
                <w:szCs w:val="20"/>
                <w:color w:val="auto"/>
              </w:rPr>
            </w:pPr>
            <w:r>
              <w:rPr>
                <w:rFonts w:ascii="Arial" w:cs="Arial" w:eastAsia="Arial" w:hAnsi="Arial"/>
                <w:sz w:val="18"/>
                <w:szCs w:val="18"/>
                <w:color w:val="auto"/>
              </w:rPr>
              <w:t>37,268</w:t>
            </w:r>
          </w:p>
        </w:tc>
      </w:tr>
      <w:tr>
        <w:trPr>
          <w:trHeight w:val="230"/>
        </w:trPr>
        <w:tc>
          <w:tcPr>
            <w:tcW w:w="650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1,580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r>
      <w:tr>
        <w:trPr>
          <w:trHeight w:val="195"/>
        </w:trPr>
        <w:tc>
          <w:tcPr>
            <w:tcW w:w="6500" w:type="dxa"/>
            <w:vAlign w:val="bottom"/>
          </w:tcPr>
          <w:p>
            <w:pPr>
              <w:ind w:left="1060"/>
              <w:spacing w:after="0" w:line="195" w:lineRule="exact"/>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6"/>
                <w:szCs w:val="16"/>
                <w:color w:val="auto"/>
              </w:rPr>
            </w:pPr>
          </w:p>
        </w:tc>
        <w:tc>
          <w:tcPr>
            <w:tcW w:w="1400" w:type="dxa"/>
            <w:vAlign w:val="bottom"/>
          </w:tcPr>
          <w:p>
            <w:pPr>
              <w:jc w:val="right"/>
              <w:ind w:right="332"/>
              <w:spacing w:after="0" w:line="195" w:lineRule="exact"/>
              <w:rPr>
                <w:sz w:val="20"/>
                <w:szCs w:val="20"/>
                <w:color w:val="auto"/>
              </w:rPr>
            </w:pPr>
            <w:r>
              <w:rPr>
                <w:rFonts w:ascii="Arial" w:cs="Arial" w:eastAsia="Arial" w:hAnsi="Arial"/>
                <w:sz w:val="18"/>
                <w:szCs w:val="18"/>
                <w:color w:val="auto"/>
              </w:rPr>
              <w:t>63,989</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57,138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2420" w:type="dxa"/>
            <w:vAlign w:val="bottom"/>
          </w:tcPr>
          <w:p>
            <w:pPr>
              <w:jc w:val="center"/>
              <w:ind w:left="448"/>
              <w:spacing w:after="0"/>
              <w:rPr>
                <w:sz w:val="20"/>
                <w:szCs w:val="20"/>
                <w:color w:val="auto"/>
              </w:rPr>
            </w:pPr>
            <w:r>
              <w:rPr>
                <w:rFonts w:ascii="Arial" w:cs="Arial" w:eastAsia="Arial" w:hAnsi="Arial"/>
                <w:sz w:val="14"/>
                <w:szCs w:val="14"/>
                <w:color w:val="auto"/>
                <w:w w:val="89"/>
              </w:rPr>
              <w:t>14</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26,342</w:t>
            </w:r>
          </w:p>
        </w:tc>
        <w:tc>
          <w:tcPr>
            <w:tcW w:w="1100" w:type="dxa"/>
            <w:vAlign w:val="bottom"/>
          </w:tcPr>
          <w:p>
            <w:pPr>
              <w:jc w:val="right"/>
              <w:spacing w:after="0"/>
              <w:rPr>
                <w:sz w:val="20"/>
                <w:szCs w:val="20"/>
                <w:color w:val="auto"/>
              </w:rPr>
            </w:pPr>
            <w:r>
              <w:rPr>
                <w:rFonts w:ascii="Arial" w:cs="Arial" w:eastAsia="Arial" w:hAnsi="Arial"/>
                <w:sz w:val="18"/>
                <w:szCs w:val="18"/>
                <w:color w:val="auto"/>
              </w:rPr>
              <w:t>20,538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Postretirement benefits reserves</w:t>
            </w:r>
          </w:p>
        </w:tc>
        <w:tc>
          <w:tcPr>
            <w:tcW w:w="2420" w:type="dxa"/>
            <w:vAlign w:val="bottom"/>
          </w:tcPr>
          <w:p>
            <w:pPr>
              <w:jc w:val="center"/>
              <w:ind w:left="448"/>
              <w:spacing w:after="0"/>
              <w:rPr>
                <w:sz w:val="20"/>
                <w:szCs w:val="20"/>
                <w:color w:val="auto"/>
              </w:rPr>
            </w:pPr>
            <w:r>
              <w:rPr>
                <w:rFonts w:ascii="Arial" w:cs="Arial" w:eastAsia="Arial" w:hAnsi="Arial"/>
                <w:sz w:val="14"/>
                <w:szCs w:val="14"/>
                <w:color w:val="auto"/>
                <w:w w:val="89"/>
              </w:rPr>
              <w:t>17</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22,304</w:t>
            </w:r>
          </w:p>
        </w:tc>
        <w:tc>
          <w:tcPr>
            <w:tcW w:w="1100" w:type="dxa"/>
            <w:vAlign w:val="bottom"/>
          </w:tcPr>
          <w:p>
            <w:pPr>
              <w:jc w:val="right"/>
              <w:spacing w:after="0"/>
              <w:rPr>
                <w:sz w:val="20"/>
                <w:szCs w:val="20"/>
                <w:color w:val="auto"/>
              </w:rPr>
            </w:pPr>
            <w:r>
              <w:rPr>
                <w:rFonts w:ascii="Arial" w:cs="Arial" w:eastAsia="Arial" w:hAnsi="Arial"/>
                <w:sz w:val="18"/>
                <w:szCs w:val="18"/>
                <w:color w:val="auto"/>
              </w:rPr>
              <w:t>20,272</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Deferred income tax liabilities</w:t>
            </w:r>
          </w:p>
        </w:tc>
        <w:tc>
          <w:tcPr>
            <w:tcW w:w="2420" w:type="dxa"/>
            <w:vAlign w:val="bottom"/>
          </w:tcPr>
          <w:p>
            <w:pPr>
              <w:jc w:val="center"/>
              <w:ind w:left="448"/>
              <w:spacing w:after="0"/>
              <w:rPr>
                <w:sz w:val="20"/>
                <w:szCs w:val="20"/>
                <w:color w:val="auto"/>
              </w:rPr>
            </w:pPr>
            <w:r>
              <w:rPr>
                <w:rFonts w:ascii="Arial" w:cs="Arial" w:eastAsia="Arial" w:hAnsi="Arial"/>
                <w:sz w:val="14"/>
                <w:szCs w:val="14"/>
                <w:color w:val="auto"/>
                <w:w w:val="89"/>
              </w:rPr>
              <w:t>19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25,620</w:t>
            </w:r>
          </w:p>
        </w:tc>
        <w:tc>
          <w:tcPr>
            <w:tcW w:w="1100" w:type="dxa"/>
            <w:vAlign w:val="bottom"/>
          </w:tcPr>
          <w:p>
            <w:pPr>
              <w:jc w:val="right"/>
              <w:spacing w:after="0"/>
              <w:rPr>
                <w:sz w:val="20"/>
                <w:szCs w:val="20"/>
                <w:color w:val="auto"/>
              </w:rPr>
            </w:pPr>
            <w:r>
              <w:rPr>
                <w:rFonts w:ascii="Arial" w:cs="Arial" w:eastAsia="Arial" w:hAnsi="Arial"/>
                <w:sz w:val="18"/>
                <w:szCs w:val="18"/>
                <w:color w:val="auto"/>
              </w:rPr>
              <w:t>27,244</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Long-term obligations to equity companies</w:t>
            </w:r>
          </w:p>
        </w:tc>
        <w:tc>
          <w:tcPr>
            <w:tcW w:w="242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3,988</w:t>
            </w:r>
          </w:p>
        </w:tc>
        <w:tc>
          <w:tcPr>
            <w:tcW w:w="1100" w:type="dxa"/>
            <w:vAlign w:val="bottom"/>
          </w:tcPr>
          <w:p>
            <w:pPr>
              <w:jc w:val="right"/>
              <w:spacing w:after="0"/>
              <w:rPr>
                <w:sz w:val="20"/>
                <w:szCs w:val="20"/>
                <w:color w:val="auto"/>
              </w:rPr>
            </w:pPr>
            <w:r>
              <w:rPr>
                <w:rFonts w:ascii="Arial" w:cs="Arial" w:eastAsia="Arial" w:hAnsi="Arial"/>
                <w:sz w:val="18"/>
                <w:szCs w:val="18"/>
                <w:color w:val="auto"/>
              </w:rPr>
              <w:t>4,382</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Other long-term obligations</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21,416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18,094</w:t>
            </w:r>
          </w:p>
        </w:tc>
      </w:tr>
      <w:tr>
        <w:trPr>
          <w:trHeight w:val="210"/>
        </w:trPr>
        <w:tc>
          <w:tcPr>
            <w:tcW w:w="650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2420" w:type="dxa"/>
            <w:vAlign w:val="bottom"/>
          </w:tcPr>
          <w:p>
            <w:pPr>
              <w:spacing w:after="0"/>
              <w:rPr>
                <w:sz w:val="18"/>
                <w:szCs w:val="18"/>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163,659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147,668</w:t>
            </w:r>
          </w:p>
        </w:tc>
      </w:tr>
      <w:tr>
        <w:trPr>
          <w:trHeight w:val="426"/>
        </w:trPr>
        <w:tc>
          <w:tcPr>
            <w:tcW w:w="65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20" w:type="dxa"/>
            <w:vAlign w:val="bottom"/>
          </w:tcPr>
          <w:p>
            <w:pPr>
              <w:jc w:val="center"/>
              <w:ind w:left="448"/>
              <w:spacing w:after="0"/>
              <w:rPr>
                <w:sz w:val="20"/>
                <w:szCs w:val="20"/>
                <w:color w:val="auto"/>
              </w:rPr>
            </w:pPr>
            <w:r>
              <w:rPr>
                <w:rFonts w:ascii="Arial" w:cs="Arial" w:eastAsia="Arial" w:hAnsi="Arial"/>
                <w:sz w:val="14"/>
                <w:szCs w:val="14"/>
                <w:color w:val="auto"/>
                <w:w w:val="89"/>
              </w:rPr>
              <w:t>16</w:t>
            </w:r>
          </w:p>
        </w:tc>
        <w:tc>
          <w:tcPr>
            <w:tcW w:w="1400" w:type="dxa"/>
            <w:vAlign w:val="bottom"/>
          </w:tcPr>
          <w:p>
            <w:pPr>
              <w:jc w:val="right"/>
              <w:ind w:right="292"/>
              <w:spacing w:after="0"/>
              <w:rPr>
                <w:sz w:val="20"/>
                <w:szCs w:val="20"/>
                <w:color w:val="auto"/>
              </w:rPr>
            </w:pPr>
            <w:r>
              <w:rPr>
                <w:rFonts w:ascii="Arial" w:cs="Arial" w:eastAsia="Arial" w:hAnsi="Arial"/>
                <w:sz w:val="18"/>
                <w:szCs w:val="18"/>
                <w:color w:val="FFFFFF"/>
              </w:rPr>
              <w:t>-</w:t>
            </w:r>
          </w:p>
        </w:tc>
        <w:tc>
          <w:tcPr>
            <w:tcW w:w="1100" w:type="dxa"/>
            <w:vAlign w:val="bottom"/>
          </w:tcPr>
          <w:p>
            <w:pPr>
              <w:jc w:val="right"/>
              <w:spacing w:after="0"/>
              <w:rPr>
                <w:sz w:val="20"/>
                <w:szCs w:val="20"/>
                <w:color w:val="auto"/>
              </w:rPr>
            </w:pPr>
            <w:r>
              <w:rPr>
                <w:rFonts w:ascii="Arial" w:cs="Arial" w:eastAsia="Arial" w:hAnsi="Arial"/>
                <w:sz w:val="18"/>
                <w:szCs w:val="18"/>
                <w:color w:val="FFFFFF"/>
              </w:rPr>
              <w:t>-</w:t>
            </w:r>
          </w:p>
        </w:tc>
      </w:tr>
      <w:tr>
        <w:trPr>
          <w:trHeight w:val="418"/>
        </w:trPr>
        <w:tc>
          <w:tcPr>
            <w:tcW w:w="6500" w:type="dxa"/>
            <w:vAlign w:val="bottom"/>
          </w:tcPr>
          <w:p>
            <w:pPr>
              <w:spacing w:after="0"/>
              <w:rPr>
                <w:sz w:val="20"/>
                <w:szCs w:val="20"/>
                <w:color w:val="auto"/>
              </w:rPr>
            </w:pPr>
            <w:r>
              <w:rPr>
                <w:rFonts w:ascii="Arial" w:cs="Arial" w:eastAsia="Arial" w:hAnsi="Arial"/>
                <w:sz w:val="18"/>
                <w:szCs w:val="18"/>
                <w:color w:val="auto"/>
              </w:rPr>
              <w:t>Equity</w:t>
            </w: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Common stock without par value</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500" w:type="dxa"/>
            <w:vAlign w:val="bottom"/>
          </w:tcPr>
          <w:p>
            <w:pPr>
              <w:ind w:left="720"/>
              <w:spacing w:after="0"/>
              <w:rPr>
                <w:sz w:val="20"/>
                <w:szCs w:val="20"/>
                <w:color w:val="auto"/>
              </w:rPr>
            </w:pPr>
            <w:r>
              <w:rPr>
                <w:rFonts w:ascii="Arial" w:cs="Arial" w:eastAsia="Arial" w:hAnsi="Arial"/>
                <w:sz w:val="18"/>
                <w:szCs w:val="18"/>
                <w:color w:val="auto"/>
              </w:rPr>
              <w:t>(9,000 million shares authorized, 8,019 million shares issued)</w:t>
            </w:r>
          </w:p>
        </w:tc>
        <w:tc>
          <w:tcPr>
            <w:tcW w:w="242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15,637</w:t>
            </w:r>
          </w:p>
        </w:tc>
        <w:tc>
          <w:tcPr>
            <w:tcW w:w="1100" w:type="dxa"/>
            <w:vAlign w:val="bottom"/>
          </w:tcPr>
          <w:p>
            <w:pPr>
              <w:jc w:val="right"/>
              <w:spacing w:after="0"/>
              <w:rPr>
                <w:sz w:val="20"/>
                <w:szCs w:val="20"/>
                <w:color w:val="auto"/>
              </w:rPr>
            </w:pPr>
            <w:r>
              <w:rPr>
                <w:rFonts w:ascii="Arial" w:cs="Arial" w:eastAsia="Arial" w:hAnsi="Arial"/>
                <w:sz w:val="18"/>
                <w:szCs w:val="18"/>
                <w:color w:val="auto"/>
              </w:rPr>
              <w:t>15,258</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Earnings reinvested</w:t>
            </w:r>
          </w:p>
        </w:tc>
        <w:tc>
          <w:tcPr>
            <w:tcW w:w="2420" w:type="dxa"/>
            <w:vAlign w:val="bottom"/>
          </w:tcPr>
          <w:p>
            <w:pPr>
              <w:spacing w:after="0"/>
              <w:rPr>
                <w:sz w:val="18"/>
                <w:szCs w:val="18"/>
                <w:color w:val="auto"/>
              </w:rPr>
            </w:pP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421,341</w:t>
            </w:r>
          </w:p>
        </w:tc>
        <w:tc>
          <w:tcPr>
            <w:tcW w:w="1100" w:type="dxa"/>
            <w:vAlign w:val="bottom"/>
          </w:tcPr>
          <w:p>
            <w:pPr>
              <w:jc w:val="right"/>
              <w:spacing w:after="0"/>
              <w:rPr>
                <w:sz w:val="20"/>
                <w:szCs w:val="20"/>
                <w:color w:val="auto"/>
              </w:rPr>
            </w:pPr>
            <w:r>
              <w:rPr>
                <w:rFonts w:ascii="Arial" w:cs="Arial" w:eastAsia="Arial" w:hAnsi="Arial"/>
                <w:sz w:val="18"/>
                <w:szCs w:val="18"/>
                <w:color w:val="auto"/>
              </w:rPr>
              <w:t>421,653</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420" w:type="dxa"/>
            <w:vAlign w:val="bottom"/>
          </w:tcPr>
          <w:p>
            <w:pPr>
              <w:spacing w:after="0"/>
              <w:rPr>
                <w:sz w:val="18"/>
                <w:szCs w:val="18"/>
                <w:color w:val="auto"/>
              </w:rPr>
            </w:pP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(19,493)</w:t>
            </w:r>
          </w:p>
        </w:tc>
        <w:tc>
          <w:tcPr>
            <w:tcW w:w="1100" w:type="dxa"/>
            <w:vAlign w:val="bottom"/>
          </w:tcPr>
          <w:p>
            <w:pPr>
              <w:jc w:val="right"/>
              <w:spacing w:after="0"/>
              <w:rPr>
                <w:sz w:val="20"/>
                <w:szCs w:val="20"/>
                <w:color w:val="auto"/>
              </w:rPr>
            </w:pPr>
            <w:r>
              <w:rPr>
                <w:rFonts w:ascii="Arial" w:cs="Arial" w:eastAsia="Arial" w:hAnsi="Arial"/>
                <w:sz w:val="18"/>
                <w:szCs w:val="18"/>
                <w:color w:val="auto"/>
              </w:rPr>
              <w:t>(19,564)</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Common stock held in treasury</w:t>
            </w:r>
          </w:p>
        </w:tc>
        <w:tc>
          <w:tcPr>
            <w:tcW w:w="2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500" w:type="dxa"/>
            <w:vAlign w:val="bottom"/>
          </w:tcPr>
          <w:p>
            <w:pPr>
              <w:ind w:left="720"/>
              <w:spacing w:after="0"/>
              <w:rPr>
                <w:sz w:val="20"/>
                <w:szCs w:val="20"/>
                <w:color w:val="auto"/>
              </w:rPr>
            </w:pPr>
            <w:r>
              <w:rPr>
                <w:rFonts w:ascii="Arial" w:cs="Arial" w:eastAsia="Arial" w:hAnsi="Arial"/>
                <w:sz w:val="18"/>
                <w:szCs w:val="18"/>
                <w:color w:val="auto"/>
              </w:rPr>
              <w:t>(3,785 million shares in 2019 and 3,782 million shares in 2018)</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(225,835)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(225,553)</w:t>
            </w:r>
          </w:p>
        </w:tc>
      </w:tr>
      <w:tr>
        <w:trPr>
          <w:trHeight w:val="195"/>
        </w:trPr>
        <w:tc>
          <w:tcPr>
            <w:tcW w:w="6500" w:type="dxa"/>
            <w:vAlign w:val="bottom"/>
          </w:tcPr>
          <w:p>
            <w:pPr>
              <w:ind w:left="1060"/>
              <w:spacing w:after="0" w:line="195" w:lineRule="exact"/>
              <w:rPr>
                <w:sz w:val="20"/>
                <w:szCs w:val="20"/>
                <w:color w:val="auto"/>
              </w:rPr>
            </w:pPr>
            <w:r>
              <w:rPr>
                <w:rFonts w:ascii="Arial" w:cs="Arial" w:eastAsia="Arial" w:hAnsi="Arial"/>
                <w:sz w:val="18"/>
                <w:szCs w:val="18"/>
                <w:color w:val="auto"/>
              </w:rPr>
              <w:t>ExxonMobil share of equity</w:t>
            </w:r>
          </w:p>
        </w:tc>
        <w:tc>
          <w:tcPr>
            <w:tcW w:w="2420" w:type="dxa"/>
            <w:vAlign w:val="bottom"/>
          </w:tcPr>
          <w:p>
            <w:pPr>
              <w:spacing w:after="0"/>
              <w:rPr>
                <w:sz w:val="16"/>
                <w:szCs w:val="16"/>
                <w:color w:val="auto"/>
              </w:rPr>
            </w:pPr>
          </w:p>
        </w:tc>
        <w:tc>
          <w:tcPr>
            <w:tcW w:w="1400" w:type="dxa"/>
            <w:vAlign w:val="bottom"/>
          </w:tcPr>
          <w:p>
            <w:pPr>
              <w:jc w:val="right"/>
              <w:ind w:right="332"/>
              <w:spacing w:after="0" w:line="195" w:lineRule="exact"/>
              <w:rPr>
                <w:sz w:val="20"/>
                <w:szCs w:val="20"/>
                <w:color w:val="auto"/>
              </w:rPr>
            </w:pPr>
            <w:r>
              <w:rPr>
                <w:rFonts w:ascii="Arial" w:cs="Arial" w:eastAsia="Arial" w:hAnsi="Arial"/>
                <w:sz w:val="18"/>
                <w:szCs w:val="18"/>
                <w:color w:val="auto"/>
              </w:rPr>
              <w:t>191,650</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191,794</w:t>
            </w: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420" w:type="dxa"/>
            <w:vAlign w:val="bottom"/>
          </w:tcPr>
          <w:p>
            <w:pPr>
              <w:spacing w:after="0"/>
              <w:rPr>
                <w:sz w:val="20"/>
                <w:szCs w:val="20"/>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7,288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r>
      <w:tr>
        <w:trPr>
          <w:trHeight w:val="210"/>
        </w:trPr>
        <w:tc>
          <w:tcPr>
            <w:tcW w:w="6500" w:type="dxa"/>
            <w:vAlign w:val="bottom"/>
          </w:tcPr>
          <w:p>
            <w:pPr>
              <w:ind w:left="1060"/>
              <w:spacing w:after="0"/>
              <w:rPr>
                <w:sz w:val="20"/>
                <w:szCs w:val="20"/>
                <w:color w:val="auto"/>
              </w:rPr>
            </w:pPr>
            <w:r>
              <w:rPr>
                <w:rFonts w:ascii="Arial" w:cs="Arial" w:eastAsia="Arial" w:hAnsi="Arial"/>
                <w:sz w:val="18"/>
                <w:szCs w:val="18"/>
                <w:color w:val="auto"/>
              </w:rPr>
              <w:t>Total equity</w:t>
            </w:r>
          </w:p>
        </w:tc>
        <w:tc>
          <w:tcPr>
            <w:tcW w:w="2420" w:type="dxa"/>
            <w:vAlign w:val="bottom"/>
          </w:tcPr>
          <w:p>
            <w:pPr>
              <w:spacing w:after="0"/>
              <w:rPr>
                <w:sz w:val="18"/>
                <w:szCs w:val="18"/>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198,938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198,528</w:t>
            </w:r>
          </w:p>
        </w:tc>
      </w:tr>
      <w:tr>
        <w:trPr>
          <w:trHeight w:val="210"/>
        </w:trPr>
        <w:tc>
          <w:tcPr>
            <w:tcW w:w="6500" w:type="dxa"/>
            <w:vAlign w:val="bottom"/>
          </w:tcPr>
          <w:p>
            <w:pPr>
              <w:ind w:left="1060"/>
              <w:spacing w:after="0"/>
              <w:rPr>
                <w:sz w:val="20"/>
                <w:szCs w:val="20"/>
                <w:color w:val="auto"/>
              </w:rPr>
            </w:pPr>
            <w:r>
              <w:rPr>
                <w:rFonts w:ascii="Arial" w:cs="Arial" w:eastAsia="Arial" w:hAnsi="Arial"/>
                <w:sz w:val="18"/>
                <w:szCs w:val="18"/>
                <w:color w:val="auto"/>
              </w:rPr>
              <w:t>Total liabilities and equity</w:t>
            </w:r>
          </w:p>
        </w:tc>
        <w:tc>
          <w:tcPr>
            <w:tcW w:w="2420" w:type="dxa"/>
            <w:vAlign w:val="bottom"/>
          </w:tcPr>
          <w:p>
            <w:pPr>
              <w:spacing w:after="0"/>
              <w:rPr>
                <w:sz w:val="18"/>
                <w:szCs w:val="18"/>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362,597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346,196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72" w:lineRule="exact"/>
        <w:rPr>
          <w:sz w:val="20"/>
          <w:szCs w:val="20"/>
          <w:color w:val="auto"/>
        </w:rPr>
      </w:pPr>
    </w:p>
    <w:tbl>
      <w:tblPr>
        <w:tblLayout w:type="fixed"/>
        <w:tblInd w:w="6300" w:type="dxa"/>
        <w:tblCellMar>
          <w:top w:w="0" w:type="dxa"/>
          <w:left w:w="0" w:type="dxa"/>
          <w:bottom w:w="0" w:type="dxa"/>
          <w:right w:w="0" w:type="dxa"/>
        </w:tblCellMar>
      </w:tblPr>
      <w:tr>
        <w:trPr>
          <w:trHeight w:val="186"/>
        </w:trPr>
        <w:tc>
          <w:tcPr>
            <w:tcW w:w="1120" w:type="dxa"/>
            <w:vAlign w:val="bottom"/>
          </w:tcPr>
          <w:p>
            <w:pPr>
              <w:jc w:val="center"/>
              <w:ind w:right="448"/>
              <w:spacing w:after="0"/>
              <w:rPr>
                <w:sz w:val="20"/>
                <w:szCs w:val="20"/>
                <w:color w:val="auto"/>
              </w:rPr>
            </w:pPr>
            <w:r>
              <w:rPr>
                <w:rFonts w:ascii="Arial" w:cs="Arial" w:eastAsia="Arial" w:hAnsi="Arial"/>
                <w:sz w:val="14"/>
                <w:szCs w:val="14"/>
                <w:b w:val="1"/>
                <w:bCs w:val="1"/>
                <w:color w:val="auto"/>
                <w:w w:val="89"/>
              </w:rPr>
              <w:t>Note</w:t>
            </w: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120" w:type="dxa"/>
            <w:vAlign w:val="bottom"/>
          </w:tcPr>
          <w:p>
            <w:pPr>
              <w:jc w:val="center"/>
              <w:ind w:right="448"/>
              <w:spacing w:after="0"/>
              <w:rPr>
                <w:sz w:val="20"/>
                <w:szCs w:val="20"/>
                <w:color w:val="auto"/>
              </w:rPr>
            </w:pPr>
            <w:r>
              <w:rPr>
                <w:rFonts w:ascii="Arial" w:cs="Arial" w:eastAsia="Arial" w:hAnsi="Arial"/>
                <w:sz w:val="14"/>
                <w:szCs w:val="14"/>
                <w:b w:val="1"/>
                <w:bCs w:val="1"/>
                <w:color w:val="auto"/>
                <w:w w:val="88"/>
              </w:rPr>
              <w:t>Reference</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20" w:type="dxa"/>
            <w:vAlign w:val="bottom"/>
          </w:tcPr>
          <w:p>
            <w:pPr>
              <w:jc w:val="center"/>
              <w:ind w:right="448"/>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4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920"/>
        <w:spacing w:after="0"/>
        <w:rPr>
          <w:sz w:val="20"/>
          <w:szCs w:val="20"/>
          <w:color w:val="auto"/>
        </w:rPr>
      </w:pPr>
      <w:r>
        <w:rPr>
          <w:rFonts w:ascii="Arial" w:cs="Arial" w:eastAsia="Arial" w:hAnsi="Arial"/>
          <w:sz w:val="14"/>
          <w:szCs w:val="14"/>
          <w:i w:val="1"/>
          <w:iCs w:val="1"/>
          <w:color w:val="auto"/>
        </w:rPr>
        <w:t>(millions of dollars)</w:t>
      </w:r>
    </w:p>
    <w:p>
      <w:pPr>
        <w:sectPr>
          <w:pgSz w:w="11900" w:h="16838" w:orient="portrait"/>
          <w:cols w:equalWidth="0" w:num="1">
            <w:col w:w="11420"/>
          </w:cols>
          <w:pgMar w:left="240" w:top="337"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3" w:lineRule="exact"/>
        <w:rPr>
          <w:sz w:val="20"/>
          <w:szCs w:val="20"/>
          <w:color w:val="auto"/>
        </w:rPr>
      </w:pPr>
    </w:p>
    <w:p>
      <w:pPr>
        <w:ind w:left="360" w:right="2180"/>
        <w:spacing w:after="0" w:line="299" w:lineRule="auto"/>
        <w:rPr>
          <w:sz w:val="20"/>
          <w:szCs w:val="20"/>
          <w:color w:val="auto"/>
        </w:rPr>
      </w:pPr>
      <w:r>
        <w:rPr>
          <w:rFonts w:ascii="Arial" w:cs="Arial" w:eastAsia="Arial" w:hAnsi="Arial"/>
          <w:sz w:val="16"/>
          <w:szCs w:val="16"/>
          <w:color w:val="auto"/>
        </w:rPr>
        <w:t>Net income including noncontrolling interests Adjustments for noncash transactions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and depletion</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income tax charges/(credits)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Postretirement benefits expense</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excess of/(less than) net payments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long-term obligation provisions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excess of/(less than) payments</w:t>
      </w:r>
    </w:p>
    <w:p>
      <w:pPr>
        <w:spacing w:after="0" w:line="23" w:lineRule="exact"/>
        <w:rPr>
          <w:sz w:val="20"/>
          <w:szCs w:val="20"/>
          <w:color w:val="auto"/>
        </w:rPr>
      </w:pPr>
    </w:p>
    <w:p>
      <w:pPr>
        <w:ind w:left="720" w:right="1160" w:hanging="350"/>
        <w:spacing w:after="0" w:line="266" w:lineRule="auto"/>
        <w:rPr>
          <w:sz w:val="20"/>
          <w:szCs w:val="20"/>
          <w:color w:val="auto"/>
        </w:rPr>
      </w:pPr>
      <w:r>
        <w:rPr>
          <w:rFonts w:ascii="Arial" w:cs="Arial" w:eastAsia="Arial" w:hAnsi="Arial"/>
          <w:sz w:val="18"/>
          <w:szCs w:val="18"/>
          <w:color w:val="auto"/>
        </w:rPr>
        <w:t>Dividends received greater than/(less than) equity in current earnings of equity companies</w:t>
      </w:r>
    </w:p>
    <w:p>
      <w:pPr>
        <w:ind w:left="360"/>
        <w:spacing w:after="0"/>
        <w:rPr>
          <w:sz w:val="20"/>
          <w:szCs w:val="20"/>
          <w:color w:val="auto"/>
        </w:rPr>
      </w:pPr>
      <w:r>
        <w:rPr>
          <w:rFonts w:ascii="Arial" w:cs="Arial" w:eastAsia="Arial" w:hAnsi="Arial"/>
          <w:sz w:val="16"/>
          <w:szCs w:val="16"/>
          <w:color w:val="auto"/>
        </w:rPr>
        <w:t>Changes in operational working capital, excluding cash and debt</w:t>
      </w:r>
    </w:p>
    <w:p>
      <w:pPr>
        <w:spacing w:after="0" w:line="32" w:lineRule="exact"/>
        <w:rPr>
          <w:sz w:val="20"/>
          <w:szCs w:val="20"/>
          <w:color w:val="auto"/>
        </w:rPr>
      </w:pPr>
    </w:p>
    <w:p>
      <w:pPr>
        <w:ind w:left="720"/>
        <w:spacing w:after="0"/>
        <w:tabs>
          <w:tab w:leader="none" w:pos="2640" w:val="left"/>
        </w:tabs>
        <w:rPr>
          <w:sz w:val="20"/>
          <w:szCs w:val="20"/>
          <w:color w:val="auto"/>
        </w:rPr>
      </w:pPr>
      <w:r>
        <w:rPr>
          <w:rFonts w:ascii="Arial" w:cs="Arial" w:eastAsia="Arial" w:hAnsi="Arial"/>
          <w:sz w:val="16"/>
          <w:szCs w:val="16"/>
          <w:color w:val="auto"/>
        </w:rPr>
        <w:t>Reduction/(increase)</w:t>
      </w:r>
      <w:r>
        <w:rPr>
          <w:sz w:val="20"/>
          <w:szCs w:val="20"/>
          <w:color w:val="auto"/>
        </w:rPr>
        <w:tab/>
      </w:r>
      <w:r>
        <w:rPr>
          <w:rFonts w:ascii="Arial" w:cs="Arial" w:eastAsia="Arial" w:hAnsi="Arial"/>
          <w:sz w:val="16"/>
          <w:szCs w:val="16"/>
          <w:color w:val="auto"/>
        </w:rPr>
        <w:t>- Notes and accounts receivable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Inventories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Other current assets</w:t>
      </w:r>
    </w:p>
    <w:p>
      <w:pPr>
        <w:spacing w:after="0" w:line="9" w:lineRule="exact"/>
        <w:rPr>
          <w:sz w:val="20"/>
          <w:szCs w:val="20"/>
          <w:color w:val="auto"/>
        </w:rPr>
      </w:pPr>
    </w:p>
    <w:p>
      <w:pPr>
        <w:ind w:left="720"/>
        <w:spacing w:after="0"/>
        <w:tabs>
          <w:tab w:leader="none" w:pos="2640" w:val="left"/>
        </w:tabs>
        <w:rPr>
          <w:sz w:val="20"/>
          <w:szCs w:val="20"/>
          <w:color w:val="auto"/>
        </w:rPr>
      </w:pPr>
      <w:r>
        <w:rPr>
          <w:rFonts w:ascii="Arial" w:cs="Arial" w:eastAsia="Arial" w:hAnsi="Arial"/>
          <w:sz w:val="17"/>
          <w:szCs w:val="17"/>
          <w:color w:val="auto"/>
        </w:rPr>
        <w:t>Increase/(reduction)</w:t>
      </w:r>
      <w:r>
        <w:rPr>
          <w:sz w:val="20"/>
          <w:szCs w:val="20"/>
          <w:color w:val="auto"/>
        </w:rPr>
        <w:tab/>
      </w:r>
      <w:r>
        <w:rPr>
          <w:rFonts w:ascii="Arial" w:cs="Arial" w:eastAsia="Arial" w:hAnsi="Arial"/>
          <w:sz w:val="17"/>
          <w:szCs w:val="17"/>
          <w:color w:val="auto"/>
        </w:rPr>
        <w:t>- Accounts and other payables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(gain) on asset sales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other items - net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cash provided by operating activities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to property, plant and equipment</w:t>
      </w:r>
    </w:p>
    <w:p>
      <w:pPr>
        <w:spacing w:after="0" w:line="9" w:lineRule="exact"/>
        <w:rPr>
          <w:sz w:val="20"/>
          <w:szCs w:val="20"/>
          <w:color w:val="auto"/>
        </w:rPr>
      </w:pPr>
    </w:p>
    <w:p>
      <w:pPr>
        <w:ind w:left="720" w:right="1060" w:hanging="350"/>
        <w:spacing w:after="0" w:line="290" w:lineRule="auto"/>
        <w:rPr>
          <w:sz w:val="20"/>
          <w:szCs w:val="20"/>
          <w:color w:val="auto"/>
        </w:rPr>
      </w:pPr>
      <w:r>
        <w:rPr>
          <w:rFonts w:ascii="Arial" w:cs="Arial" w:eastAsia="Arial" w:hAnsi="Arial"/>
          <w:sz w:val="16"/>
          <w:szCs w:val="16"/>
          <w:color w:val="auto"/>
        </w:rPr>
        <w:t>Proceeds associated with sales of subsidiaries, property, plant and equipment, and sales and returns of investments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Additional investments and advances</w:t>
      </w:r>
    </w:p>
    <w:p>
      <w:pPr>
        <w:spacing w:after="0" w:line="23" w:lineRule="exact"/>
        <w:rPr>
          <w:sz w:val="20"/>
          <w:szCs w:val="20"/>
          <w:color w:val="auto"/>
        </w:rPr>
      </w:pPr>
    </w:p>
    <w:p>
      <w:pPr>
        <w:ind w:left="720" w:right="1300" w:hanging="350"/>
        <w:spacing w:after="0" w:line="292" w:lineRule="auto"/>
        <w:rPr>
          <w:sz w:val="20"/>
          <w:szCs w:val="20"/>
          <w:color w:val="auto"/>
        </w:rPr>
      </w:pPr>
      <w:r>
        <w:rPr>
          <w:rFonts w:ascii="Arial" w:cs="Arial" w:eastAsia="Arial" w:hAnsi="Arial"/>
          <w:sz w:val="18"/>
          <w:szCs w:val="18"/>
          <w:color w:val="auto"/>
        </w:rPr>
        <w:t>Other investing activities including collection of advances Net cash used in investing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to long-term debt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in long-term debt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to short-term debt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in short-term debt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Additions/(reductions) in commercial paper, and debt with</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three months or less maturity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dividends to ExxonMobil shareholders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dividends to noncontrolling interests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noncontrolling interests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Common stock acquired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cash used in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Effects of exchange rate changes on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000" w:type="dxa"/>
            <w:vAlign w:val="bottom"/>
          </w:tcPr>
          <w:p>
            <w:pPr>
              <w:spacing w:after="0"/>
              <w:rPr>
                <w:sz w:val="21"/>
                <w:szCs w:val="21"/>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14,774</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21,421</w:t>
            </w:r>
          </w:p>
        </w:tc>
        <w:tc>
          <w:tcPr>
            <w:tcW w:w="980" w:type="dxa"/>
            <w:vAlign w:val="bottom"/>
          </w:tcPr>
          <w:p>
            <w:pPr>
              <w:jc w:val="right"/>
              <w:spacing w:after="0"/>
              <w:rPr>
                <w:sz w:val="20"/>
                <w:szCs w:val="20"/>
                <w:color w:val="auto"/>
              </w:rPr>
            </w:pPr>
            <w:r>
              <w:rPr>
                <w:rFonts w:ascii="Arial" w:cs="Arial" w:eastAsia="Arial" w:hAnsi="Arial"/>
                <w:sz w:val="18"/>
                <w:szCs w:val="18"/>
                <w:color w:val="auto"/>
              </w:rPr>
              <w:t>19,848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1"/>
        </w:trPr>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9</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18,998</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18,745</w:t>
            </w:r>
          </w:p>
        </w:tc>
        <w:tc>
          <w:tcPr>
            <w:tcW w:w="980" w:type="dxa"/>
            <w:vAlign w:val="bottom"/>
          </w:tcPr>
          <w:p>
            <w:pPr>
              <w:jc w:val="right"/>
              <w:spacing w:after="0"/>
              <w:rPr>
                <w:sz w:val="20"/>
                <w:szCs w:val="20"/>
                <w:color w:val="auto"/>
              </w:rPr>
            </w:pPr>
            <w:r>
              <w:rPr>
                <w:rFonts w:ascii="Arial" w:cs="Arial" w:eastAsia="Arial" w:hAnsi="Arial"/>
                <w:sz w:val="18"/>
                <w:szCs w:val="18"/>
                <w:color w:val="auto"/>
              </w:rPr>
              <w:t>19,893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100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(944)</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(8,577)</w:t>
            </w:r>
          </w:p>
        </w:tc>
        <w:tc>
          <w:tcPr>
            <w:tcW w:w="20" w:type="dxa"/>
            <w:vAlign w:val="bottom"/>
          </w:tcPr>
          <w:p>
            <w:pPr>
              <w:spacing w:after="0"/>
              <w:rPr>
                <w:sz w:val="21"/>
                <w:szCs w:val="21"/>
                <w:color w:val="auto"/>
              </w:rPr>
            </w:pPr>
          </w:p>
        </w:tc>
      </w:tr>
      <w:tr>
        <w:trPr>
          <w:trHeight w:val="459"/>
        </w:trPr>
        <w:tc>
          <w:tcPr>
            <w:tcW w:w="100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1,070</w:t>
            </w:r>
          </w:p>
        </w:tc>
        <w:tc>
          <w:tcPr>
            <w:tcW w:w="980" w:type="dxa"/>
            <w:vAlign w:val="bottom"/>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(3,038)</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(936)</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(1,684)</w:t>
            </w: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(2,640)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(545)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(3,954)</w:t>
            </w: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72</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(3,107)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(234)</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10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3,725</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2,321</w:t>
            </w:r>
          </w:p>
        </w:tc>
        <w:tc>
          <w:tcPr>
            <w:tcW w:w="980" w:type="dxa"/>
            <w:vAlign w:val="bottom"/>
          </w:tcPr>
          <w:p>
            <w:pPr>
              <w:jc w:val="right"/>
              <w:spacing w:after="0"/>
              <w:rPr>
                <w:sz w:val="20"/>
                <w:szCs w:val="20"/>
                <w:color w:val="auto"/>
              </w:rPr>
            </w:pPr>
            <w:r>
              <w:rPr>
                <w:rFonts w:ascii="Arial" w:cs="Arial" w:eastAsia="Arial" w:hAnsi="Arial"/>
                <w:sz w:val="18"/>
                <w:szCs w:val="18"/>
                <w:color w:val="auto"/>
              </w:rPr>
              <w:t>5,104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5</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(1,710)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(1,993)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1,540</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(61)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0"/>
                <w:szCs w:val="20"/>
                <w:color w:val="auto"/>
              </w:rPr>
            </w:pPr>
          </w:p>
        </w:tc>
      </w:tr>
      <w:tr>
        <w:trPr>
          <w:trHeight w:val="210"/>
        </w:trPr>
        <w:tc>
          <w:tcPr>
            <w:tcW w:w="1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29,716</w:t>
            </w:r>
          </w:p>
        </w:tc>
        <w:tc>
          <w:tcPr>
            <w:tcW w:w="14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36,014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55"/>
        </w:trPr>
        <w:tc>
          <w:tcPr>
            <w:tcW w:w="10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(24,361)</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(19,574)</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(15,402)</w:t>
            </w:r>
          </w:p>
        </w:tc>
      </w:tr>
      <w:tr>
        <w:trPr>
          <w:trHeight w:val="445"/>
        </w:trPr>
        <w:tc>
          <w:tcPr>
            <w:tcW w:w="100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3,692</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4,123</w:t>
            </w:r>
          </w:p>
        </w:tc>
        <w:tc>
          <w:tcPr>
            <w:tcW w:w="980" w:type="dxa"/>
            <w:vAlign w:val="bottom"/>
          </w:tcPr>
          <w:p>
            <w:pPr>
              <w:jc w:val="right"/>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(3,905)</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(1,981)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(5,507)</w:t>
            </w:r>
          </w:p>
        </w:tc>
        <w:tc>
          <w:tcPr>
            <w:tcW w:w="20" w:type="dxa"/>
            <w:vAlign w:val="bottom"/>
          </w:tcPr>
          <w:p>
            <w:pPr>
              <w:spacing w:after="0"/>
              <w:rPr>
                <w:sz w:val="18"/>
                <w:szCs w:val="18"/>
                <w:color w:val="auto"/>
              </w:rPr>
            </w:pPr>
          </w:p>
        </w:tc>
      </w:tr>
      <w:tr>
        <w:trPr>
          <w:trHeight w:val="244"/>
        </w:trPr>
        <w:tc>
          <w:tcPr>
            <w:tcW w:w="1000" w:type="dxa"/>
            <w:vAlign w:val="bottom"/>
          </w:tcPr>
          <w:p>
            <w:pPr>
              <w:spacing w:after="0"/>
              <w:rPr>
                <w:sz w:val="21"/>
                <w:szCs w:val="21"/>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1,490</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1000" w:type="dxa"/>
            <w:vAlign w:val="bottom"/>
          </w:tcPr>
          <w:p>
            <w:pPr>
              <w:spacing w:after="0"/>
              <w:rPr>
                <w:sz w:val="18"/>
                <w:szCs w:val="18"/>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(23,084)</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(16,446)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(15,730)</w:t>
            </w:r>
          </w:p>
        </w:tc>
        <w:tc>
          <w:tcPr>
            <w:tcW w:w="40" w:type="dxa"/>
            <w:vAlign w:val="bottom"/>
            <w:gridSpan w:val="2"/>
          </w:tcPr>
          <w:p>
            <w:pPr>
              <w:spacing w:after="0"/>
              <w:rPr>
                <w:sz w:val="18"/>
                <w:szCs w:val="18"/>
                <w:color w:val="auto"/>
              </w:rPr>
            </w:pPr>
          </w:p>
        </w:tc>
      </w:tr>
      <w:tr>
        <w:trPr>
          <w:trHeight w:val="654"/>
        </w:trPr>
        <w:tc>
          <w:tcPr>
            <w:tcW w:w="100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7,052</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000" w:type="dxa"/>
            <w:vAlign w:val="bottom"/>
          </w:tcPr>
          <w:p>
            <w:pPr>
              <w:spacing w:after="0"/>
              <w:rPr>
                <w:sz w:val="18"/>
                <w:szCs w:val="18"/>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100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(4,043)</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(4,752)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(5,024)</w:t>
            </w:r>
          </w:p>
        </w:tc>
        <w:tc>
          <w:tcPr>
            <w:tcW w:w="20" w:type="dxa"/>
            <w:vAlign w:val="bottom"/>
          </w:tcPr>
          <w:p>
            <w:pPr>
              <w:spacing w:after="0"/>
              <w:rPr>
                <w:sz w:val="21"/>
                <w:szCs w:val="21"/>
                <w:color w:val="auto"/>
              </w:rPr>
            </w:pPr>
          </w:p>
        </w:tc>
      </w:tr>
      <w:tr>
        <w:trPr>
          <w:trHeight w:val="418"/>
        </w:trPr>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5,654</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(219)</w:t>
            </w:r>
          </w:p>
        </w:tc>
        <w:tc>
          <w:tcPr>
            <w:tcW w:w="980" w:type="dxa"/>
            <w:vAlign w:val="bottom"/>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(14,652)</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(13,798)</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(13,001)</w:t>
            </w:r>
          </w:p>
        </w:tc>
      </w:tr>
      <w:tr>
        <w:trPr>
          <w:trHeight w:val="243"/>
        </w:trPr>
        <w:tc>
          <w:tcPr>
            <w:tcW w:w="100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(192)</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(243)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1"/>
                <w:szCs w:val="21"/>
                <w:color w:val="auto"/>
              </w:rPr>
            </w:pPr>
          </w:p>
        </w:tc>
      </w:tr>
      <w:tr>
        <w:trPr>
          <w:trHeight w:val="216"/>
        </w:trPr>
        <w:tc>
          <w:tcPr>
            <w:tcW w:w="1000" w:type="dxa"/>
            <w:vAlign w:val="bottom"/>
          </w:tcPr>
          <w:p>
            <w:pPr>
              <w:spacing w:after="0"/>
              <w:rPr>
                <w:sz w:val="18"/>
                <w:szCs w:val="18"/>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158</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146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44"/>
        </w:trPr>
        <w:tc>
          <w:tcPr>
            <w:tcW w:w="1000" w:type="dxa"/>
            <w:vAlign w:val="bottom"/>
          </w:tcPr>
          <w:p>
            <w:pPr>
              <w:spacing w:after="0"/>
              <w:rPr>
                <w:sz w:val="21"/>
                <w:szCs w:val="21"/>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(594)</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(626)</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21"/>
                <w:szCs w:val="21"/>
                <w:color w:val="auto"/>
              </w:rPr>
            </w:pPr>
          </w:p>
        </w:tc>
      </w:tr>
      <w:tr>
        <w:trPr>
          <w:trHeight w:val="210"/>
        </w:trPr>
        <w:tc>
          <w:tcPr>
            <w:tcW w:w="1000" w:type="dxa"/>
            <w:vAlign w:val="bottom"/>
          </w:tcPr>
          <w:p>
            <w:pPr>
              <w:spacing w:after="0"/>
              <w:rPr>
                <w:sz w:val="18"/>
                <w:szCs w:val="18"/>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(6,618)</w:t>
            </w: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(19,446)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(15,130)</w:t>
            </w:r>
          </w:p>
        </w:tc>
        <w:tc>
          <w:tcPr>
            <w:tcW w:w="2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33</w:t>
            </w:r>
          </w:p>
        </w:tc>
        <w:tc>
          <w:tcPr>
            <w:tcW w:w="14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(257)</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1000" w:type="dxa"/>
            <w:vAlign w:val="bottom"/>
          </w:tcPr>
          <w:p>
            <w:pPr>
              <w:spacing w:after="0"/>
              <w:rPr>
                <w:sz w:val="16"/>
                <w:szCs w:val="16"/>
                <w:color w:val="auto"/>
              </w:rPr>
            </w:pPr>
          </w:p>
        </w:tc>
        <w:tc>
          <w:tcPr>
            <w:tcW w:w="14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47</w:t>
            </w:r>
          </w:p>
        </w:tc>
        <w:tc>
          <w:tcPr>
            <w:tcW w:w="14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(135)</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(480)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1000" w:type="dxa"/>
            <w:vAlign w:val="bottom"/>
          </w:tcPr>
          <w:p>
            <w:pPr>
              <w:spacing w:after="0"/>
              <w:rPr>
                <w:sz w:val="21"/>
                <w:szCs w:val="21"/>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3,042</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3,177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1000" w:type="dxa"/>
            <w:vAlign w:val="bottom"/>
          </w:tcPr>
          <w:p>
            <w:pPr>
              <w:spacing w:after="0"/>
              <w:rPr>
                <w:sz w:val="18"/>
                <w:szCs w:val="18"/>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3,089</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3,042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5840" w:space="720"/>
            <w:col w:w="4860"/>
          </w:cols>
          <w:pgMar w:left="240" w:top="337"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ExxonMobil Share of Equity</w:t>
            </w: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ExxonMobil</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Common</w:t>
            </w: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Earnings</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Held in</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Stock</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Reinvested</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2"/>
          </w:tcPr>
          <w:p>
            <w:pPr>
              <w:jc w:val="right"/>
              <w:ind w:right="108"/>
              <w:spacing w:after="0"/>
              <w:rPr>
                <w:sz w:val="20"/>
                <w:szCs w:val="20"/>
                <w:color w:val="auto"/>
              </w:rPr>
            </w:pPr>
            <w:r>
              <w:rPr>
                <w:rFonts w:ascii="Arial" w:cs="Arial" w:eastAsia="Arial" w:hAnsi="Arial"/>
                <w:sz w:val="14"/>
                <w:szCs w:val="14"/>
                <w:i w:val="1"/>
                <w:iCs w:val="1"/>
                <w:color w:val="auto"/>
              </w:rPr>
              <w:t>(millions of dollars)</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0"/>
                <w:szCs w:val="20"/>
                <w:color w:val="auto"/>
              </w:rPr>
            </w:pPr>
            <w:r>
              <w:rPr>
                <w:rFonts w:ascii="Arial" w:cs="Arial" w:eastAsia="Arial" w:hAnsi="Arial"/>
                <w:sz w:val="14"/>
                <w:szCs w:val="14"/>
                <w:color w:val="auto"/>
              </w:rPr>
              <w:t>Balance as of December 31, 2016</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12,157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407,831</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(22,239)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(230,424)</w:t>
            </w:r>
          </w:p>
        </w:tc>
        <w:tc>
          <w:tcPr>
            <w:tcW w:w="1020" w:type="dxa"/>
            <w:vAlign w:val="bottom"/>
          </w:tcPr>
          <w:p>
            <w:pPr>
              <w:jc w:val="right"/>
              <w:spacing w:after="0"/>
              <w:rPr>
                <w:sz w:val="20"/>
                <w:szCs w:val="20"/>
                <w:color w:val="auto"/>
              </w:rPr>
            </w:pPr>
            <w:r>
              <w:rPr>
                <w:rFonts w:ascii="Arial" w:cs="Arial" w:eastAsia="Arial" w:hAnsi="Arial"/>
                <w:sz w:val="14"/>
                <w:szCs w:val="14"/>
                <w:color w:val="auto"/>
              </w:rPr>
              <w:t>167,325</w:t>
            </w:r>
          </w:p>
        </w:tc>
        <w:tc>
          <w:tcPr>
            <w:tcW w:w="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6,505</w:t>
            </w:r>
          </w:p>
        </w:tc>
        <w:tc>
          <w:tcPr>
            <w:tcW w:w="860" w:type="dxa"/>
            <w:vAlign w:val="bottom"/>
          </w:tcPr>
          <w:p>
            <w:pPr>
              <w:jc w:val="right"/>
              <w:spacing w:after="0"/>
              <w:rPr>
                <w:sz w:val="20"/>
                <w:szCs w:val="20"/>
                <w:color w:val="auto"/>
              </w:rPr>
            </w:pPr>
            <w:r>
              <w:rPr>
                <w:rFonts w:ascii="Arial" w:cs="Arial" w:eastAsia="Arial" w:hAnsi="Arial"/>
                <w:sz w:val="14"/>
                <w:szCs w:val="14"/>
                <w:color w:val="auto"/>
              </w:rPr>
              <w:t>173,830</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Amortization of stock-based awards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801</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(380)</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19,710</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19,710</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19,848</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Dividends - common shares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(13,001)</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(13,185)</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5,977</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5,977</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6,532</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Acquisitions, at cost</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(828)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c>
          <w:tcPr>
            <w:tcW w:w="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Issued for acquisitions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2,078</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5,711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7,789</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7,789</w:t>
            </w:r>
          </w:p>
        </w:tc>
        <w:tc>
          <w:tcPr>
            <w:tcW w:w="0" w:type="dxa"/>
            <w:vAlign w:val="bottom"/>
          </w:tcPr>
          <w:p>
            <w:pPr>
              <w:spacing w:after="0"/>
              <w:rPr>
                <w:sz w:val="1"/>
                <w:szCs w:val="1"/>
                <w:color w:val="auto"/>
              </w:rPr>
            </w:pPr>
          </w:p>
        </w:tc>
      </w:tr>
      <w:tr>
        <w:trPr>
          <w:trHeight w:val="167"/>
        </w:trPr>
        <w:tc>
          <w:tcPr>
            <w:tcW w:w="4240" w:type="dxa"/>
            <w:vAlign w:val="bottom"/>
          </w:tcPr>
          <w:p>
            <w:pPr>
              <w:ind w:left="240"/>
              <w:spacing w:after="0"/>
              <w:rPr>
                <w:sz w:val="20"/>
                <w:szCs w:val="20"/>
                <w:color w:val="auto"/>
              </w:rPr>
            </w:pPr>
            <w:r>
              <w:rPr>
                <w:rFonts w:ascii="Arial" w:cs="Arial" w:eastAsia="Arial" w:hAnsi="Arial"/>
                <w:sz w:val="14"/>
                <w:szCs w:val="14"/>
                <w:color w:val="auto"/>
              </w:rPr>
              <w:t>Dispositions</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23"/>
        </w:trPr>
        <w:tc>
          <w:tcPr>
            <w:tcW w:w="4240" w:type="dxa"/>
            <w:vAlign w:val="bottom"/>
          </w:tcPr>
          <w:p>
            <w:pPr>
              <w:spacing w:after="0" w:line="123" w:lineRule="exact"/>
              <w:rPr>
                <w:sz w:val="20"/>
                <w:szCs w:val="20"/>
                <w:color w:val="auto"/>
              </w:rPr>
            </w:pPr>
            <w:r>
              <w:rPr>
                <w:rFonts w:ascii="Arial" w:cs="Arial" w:eastAsia="Arial" w:hAnsi="Arial"/>
                <w:sz w:val="14"/>
                <w:szCs w:val="14"/>
                <w:color w:val="auto"/>
              </w:rPr>
              <w:t>Balance as of December 31, 2017</w:t>
            </w:r>
          </w:p>
        </w:tc>
        <w:tc>
          <w:tcPr>
            <w:tcW w:w="108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14,656</w:t>
            </w:r>
          </w:p>
        </w:tc>
        <w:tc>
          <w:tcPr>
            <w:tcW w:w="1000" w:type="dxa"/>
            <w:vAlign w:val="bottom"/>
          </w:tcPr>
          <w:p>
            <w:pPr>
              <w:jc w:val="right"/>
              <w:ind w:right="88"/>
              <w:spacing w:after="0" w:line="123" w:lineRule="exact"/>
              <w:rPr>
                <w:sz w:val="20"/>
                <w:szCs w:val="20"/>
                <w:color w:val="auto"/>
              </w:rPr>
            </w:pPr>
            <w:r>
              <w:rPr>
                <w:rFonts w:ascii="Arial" w:cs="Arial" w:eastAsia="Arial" w:hAnsi="Arial"/>
                <w:sz w:val="14"/>
                <w:szCs w:val="14"/>
                <w:color w:val="auto"/>
              </w:rPr>
              <w:t>414,540</w:t>
            </w:r>
          </w:p>
        </w:tc>
        <w:tc>
          <w:tcPr>
            <w:tcW w:w="112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rPr>
              <w:t>(16,262)</w:t>
            </w:r>
          </w:p>
        </w:tc>
        <w:tc>
          <w:tcPr>
            <w:tcW w:w="1160" w:type="dxa"/>
            <w:vAlign w:val="bottom"/>
          </w:tcPr>
          <w:p>
            <w:pPr>
              <w:jc w:val="right"/>
              <w:ind w:right="48"/>
              <w:spacing w:after="0" w:line="123" w:lineRule="exact"/>
              <w:rPr>
                <w:sz w:val="20"/>
                <w:szCs w:val="20"/>
                <w:color w:val="auto"/>
              </w:rPr>
            </w:pPr>
            <w:r>
              <w:rPr>
                <w:rFonts w:ascii="Arial" w:cs="Arial" w:eastAsia="Arial" w:hAnsi="Arial"/>
                <w:sz w:val="14"/>
                <w:szCs w:val="14"/>
                <w:color w:val="auto"/>
              </w:rPr>
              <w:t>(225,246)</w:t>
            </w:r>
          </w:p>
        </w:tc>
        <w:tc>
          <w:tcPr>
            <w:tcW w:w="1020" w:type="dxa"/>
            <w:vAlign w:val="bottom"/>
          </w:tcPr>
          <w:p>
            <w:pPr>
              <w:jc w:val="right"/>
              <w:spacing w:after="0" w:line="123" w:lineRule="exact"/>
              <w:rPr>
                <w:sz w:val="20"/>
                <w:szCs w:val="20"/>
                <w:color w:val="auto"/>
              </w:rPr>
            </w:pPr>
            <w:r>
              <w:rPr>
                <w:rFonts w:ascii="Arial" w:cs="Arial" w:eastAsia="Arial" w:hAnsi="Arial"/>
                <w:sz w:val="14"/>
                <w:szCs w:val="14"/>
                <w:color w:val="auto"/>
              </w:rPr>
              <w:t>187,688</w:t>
            </w:r>
          </w:p>
        </w:tc>
        <w:tc>
          <w:tcPr>
            <w:tcW w:w="40" w:type="dxa"/>
            <w:vAlign w:val="bottom"/>
          </w:tcPr>
          <w:p>
            <w:pPr>
              <w:spacing w:after="0"/>
              <w:rPr>
                <w:sz w:val="10"/>
                <w:szCs w:val="10"/>
                <w:color w:val="auto"/>
              </w:rPr>
            </w:pPr>
          </w:p>
        </w:tc>
        <w:tc>
          <w:tcPr>
            <w:tcW w:w="9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6,812</w:t>
            </w: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194,500</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Amortization of stock-based awards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758</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(156)</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20,840</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20,840</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581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21,421</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Dividends - common shares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(13,798)</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(14,041)</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Cumulative effect of accounting change</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71</w:t>
            </w:r>
          </w:p>
        </w:tc>
        <w:tc>
          <w:tcPr>
            <w:tcW w:w="11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(39)</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(3,263)</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(3,670)</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Acquisitions, at cost</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67"/>
        </w:trPr>
        <w:tc>
          <w:tcPr>
            <w:tcW w:w="4240" w:type="dxa"/>
            <w:vAlign w:val="bottom"/>
          </w:tcPr>
          <w:p>
            <w:pPr>
              <w:ind w:left="240"/>
              <w:spacing w:after="0"/>
              <w:rPr>
                <w:sz w:val="20"/>
                <w:szCs w:val="20"/>
                <w:color w:val="auto"/>
              </w:rPr>
            </w:pPr>
            <w:r>
              <w:rPr>
                <w:rFonts w:ascii="Arial" w:cs="Arial" w:eastAsia="Arial" w:hAnsi="Arial"/>
                <w:sz w:val="14"/>
                <w:szCs w:val="14"/>
                <w:color w:val="auto"/>
              </w:rPr>
              <w:t>Dispositions</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23"/>
        </w:trPr>
        <w:tc>
          <w:tcPr>
            <w:tcW w:w="4240" w:type="dxa"/>
            <w:vAlign w:val="bottom"/>
          </w:tcPr>
          <w:p>
            <w:pPr>
              <w:spacing w:after="0" w:line="123" w:lineRule="exact"/>
              <w:rPr>
                <w:sz w:val="20"/>
                <w:szCs w:val="20"/>
                <w:color w:val="auto"/>
              </w:rPr>
            </w:pPr>
            <w:r>
              <w:rPr>
                <w:rFonts w:ascii="Arial" w:cs="Arial" w:eastAsia="Arial" w:hAnsi="Arial"/>
                <w:sz w:val="14"/>
                <w:szCs w:val="14"/>
                <w:color w:val="auto"/>
              </w:rPr>
              <w:t>Balance as of December 31, 2018</w:t>
            </w:r>
          </w:p>
        </w:tc>
        <w:tc>
          <w:tcPr>
            <w:tcW w:w="108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15,258</w:t>
            </w:r>
          </w:p>
        </w:tc>
        <w:tc>
          <w:tcPr>
            <w:tcW w:w="1000" w:type="dxa"/>
            <w:vAlign w:val="bottom"/>
          </w:tcPr>
          <w:p>
            <w:pPr>
              <w:jc w:val="right"/>
              <w:ind w:right="88"/>
              <w:spacing w:after="0" w:line="123" w:lineRule="exact"/>
              <w:rPr>
                <w:sz w:val="20"/>
                <w:szCs w:val="20"/>
                <w:color w:val="auto"/>
              </w:rPr>
            </w:pPr>
            <w:r>
              <w:rPr>
                <w:rFonts w:ascii="Arial" w:cs="Arial" w:eastAsia="Arial" w:hAnsi="Arial"/>
                <w:sz w:val="14"/>
                <w:szCs w:val="14"/>
                <w:color w:val="auto"/>
              </w:rPr>
              <w:t>421,653</w:t>
            </w:r>
          </w:p>
        </w:tc>
        <w:tc>
          <w:tcPr>
            <w:tcW w:w="1120" w:type="dxa"/>
            <w:vAlign w:val="bottom"/>
            <w:gridSpan w:val="2"/>
          </w:tcPr>
          <w:p>
            <w:pPr>
              <w:jc w:val="right"/>
              <w:ind w:right="8"/>
              <w:spacing w:after="0" w:line="123" w:lineRule="exact"/>
              <w:rPr>
                <w:sz w:val="20"/>
                <w:szCs w:val="20"/>
                <w:color w:val="auto"/>
              </w:rPr>
            </w:pPr>
            <w:r>
              <w:rPr>
                <w:rFonts w:ascii="Arial" w:cs="Arial" w:eastAsia="Arial" w:hAnsi="Arial"/>
                <w:sz w:val="14"/>
                <w:szCs w:val="14"/>
                <w:color w:val="auto"/>
              </w:rPr>
              <w:t>(19,564)</w:t>
            </w:r>
          </w:p>
        </w:tc>
        <w:tc>
          <w:tcPr>
            <w:tcW w:w="1160" w:type="dxa"/>
            <w:vAlign w:val="bottom"/>
          </w:tcPr>
          <w:p>
            <w:pPr>
              <w:jc w:val="right"/>
              <w:ind w:right="48"/>
              <w:spacing w:after="0" w:line="123" w:lineRule="exact"/>
              <w:rPr>
                <w:sz w:val="20"/>
                <w:szCs w:val="20"/>
                <w:color w:val="auto"/>
              </w:rPr>
            </w:pPr>
            <w:r>
              <w:rPr>
                <w:rFonts w:ascii="Arial" w:cs="Arial" w:eastAsia="Arial" w:hAnsi="Arial"/>
                <w:sz w:val="14"/>
                <w:szCs w:val="14"/>
                <w:color w:val="auto"/>
              </w:rPr>
              <w:t>(225,553)</w:t>
            </w:r>
          </w:p>
        </w:tc>
        <w:tc>
          <w:tcPr>
            <w:tcW w:w="1020" w:type="dxa"/>
            <w:vAlign w:val="bottom"/>
          </w:tcPr>
          <w:p>
            <w:pPr>
              <w:jc w:val="right"/>
              <w:spacing w:after="0" w:line="123" w:lineRule="exact"/>
              <w:rPr>
                <w:sz w:val="20"/>
                <w:szCs w:val="20"/>
                <w:color w:val="auto"/>
              </w:rPr>
            </w:pPr>
            <w:r>
              <w:rPr>
                <w:rFonts w:ascii="Arial" w:cs="Arial" w:eastAsia="Arial" w:hAnsi="Arial"/>
                <w:sz w:val="14"/>
                <w:szCs w:val="14"/>
                <w:color w:val="auto"/>
              </w:rPr>
              <w:t>191,794</w:t>
            </w:r>
          </w:p>
        </w:tc>
        <w:tc>
          <w:tcPr>
            <w:tcW w:w="40" w:type="dxa"/>
            <w:vAlign w:val="bottom"/>
          </w:tcPr>
          <w:p>
            <w:pPr>
              <w:spacing w:after="0"/>
              <w:rPr>
                <w:sz w:val="10"/>
                <w:szCs w:val="10"/>
                <w:color w:val="auto"/>
              </w:rPr>
            </w:pPr>
          </w:p>
        </w:tc>
        <w:tc>
          <w:tcPr>
            <w:tcW w:w="9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6,734</w:t>
            </w: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198,528</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Amortization of stock-based awards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697</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(318)</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489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14,340</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14,340</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14,774</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Dividends - common shares</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(14,652)</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(14,652)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(14,844)</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Other comprehensive income</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71</w:t>
            </w:r>
          </w:p>
        </w:tc>
        <w:tc>
          <w:tcPr>
            <w:tcW w:w="11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4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4240" w:type="dxa"/>
            <w:vAlign w:val="bottom"/>
          </w:tcPr>
          <w:p>
            <w:pPr>
              <w:ind w:left="240"/>
              <w:spacing w:after="0" w:line="149" w:lineRule="exact"/>
              <w:rPr>
                <w:sz w:val="20"/>
                <w:szCs w:val="20"/>
                <w:color w:val="auto"/>
              </w:rPr>
            </w:pPr>
            <w:r>
              <w:rPr>
                <w:rFonts w:ascii="Arial" w:cs="Arial" w:eastAsia="Arial" w:hAnsi="Arial"/>
                <w:sz w:val="14"/>
                <w:szCs w:val="14"/>
                <w:color w:val="auto"/>
              </w:rPr>
              <w:t>Acquisitions, at cost</w:t>
            </w: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(594)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67"/>
        </w:trPr>
        <w:tc>
          <w:tcPr>
            <w:tcW w:w="4240" w:type="dxa"/>
            <w:vAlign w:val="bottom"/>
          </w:tcPr>
          <w:p>
            <w:pPr>
              <w:ind w:left="240"/>
              <w:spacing w:after="0"/>
              <w:rPr>
                <w:sz w:val="20"/>
                <w:szCs w:val="20"/>
                <w:color w:val="auto"/>
              </w:rPr>
            </w:pPr>
            <w:r>
              <w:rPr>
                <w:rFonts w:ascii="Arial" w:cs="Arial" w:eastAsia="Arial" w:hAnsi="Arial"/>
                <w:sz w:val="14"/>
                <w:szCs w:val="14"/>
                <w:color w:val="auto"/>
              </w:rPr>
              <w:t>Dispositions</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4240" w:type="dxa"/>
            <w:vAlign w:val="bottom"/>
          </w:tcPr>
          <w:p>
            <w:pPr>
              <w:spacing w:after="0" w:line="142" w:lineRule="exact"/>
              <w:rPr>
                <w:sz w:val="20"/>
                <w:szCs w:val="20"/>
                <w:color w:val="auto"/>
              </w:rPr>
            </w:pPr>
            <w:r>
              <w:rPr>
                <w:rFonts w:ascii="Arial" w:cs="Arial" w:eastAsia="Arial" w:hAnsi="Arial"/>
                <w:sz w:val="14"/>
                <w:szCs w:val="14"/>
                <w:color w:val="auto"/>
              </w:rPr>
              <w:t>Balance as of December 31, 2019</w:t>
            </w:r>
          </w:p>
        </w:tc>
        <w:tc>
          <w:tcPr>
            <w:tcW w:w="10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15,637</w:t>
            </w:r>
          </w:p>
        </w:tc>
        <w:tc>
          <w:tcPr>
            <w:tcW w:w="10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421,341</w:t>
            </w:r>
          </w:p>
        </w:tc>
        <w:tc>
          <w:tcPr>
            <w:tcW w:w="112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rPr>
              <w:t>(19,493)</w:t>
            </w:r>
          </w:p>
        </w:tc>
        <w:tc>
          <w:tcPr>
            <w:tcW w:w="11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(225,835)</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191,650</w:t>
            </w: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7,288</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198,938</w:t>
            </w:r>
          </w:p>
        </w:tc>
        <w:tc>
          <w:tcPr>
            <w:tcW w:w="0" w:type="dxa"/>
            <w:vAlign w:val="bottom"/>
          </w:tcPr>
          <w:p>
            <w:pPr>
              <w:spacing w:after="0"/>
              <w:rPr>
                <w:sz w:val="1"/>
                <w:szCs w:val="1"/>
                <w:color w:val="auto"/>
              </w:rPr>
            </w:pPr>
          </w:p>
        </w:tc>
      </w:tr>
      <w:tr>
        <w:trPr>
          <w:trHeight w:val="5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Common Stock Share Activity</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Issued</w:t>
            </w:r>
          </w:p>
        </w:tc>
        <w:tc>
          <w:tcPr>
            <w:tcW w:w="1060" w:type="dxa"/>
            <w:vAlign w:val="bottom"/>
            <w:gridSpan w:val="2"/>
          </w:tcPr>
          <w:p>
            <w:pPr>
              <w:ind w:left="600"/>
              <w:spacing w:after="0"/>
              <w:rPr>
                <w:sz w:val="20"/>
                <w:szCs w:val="20"/>
                <w:color w:val="auto"/>
              </w:rPr>
            </w:pPr>
            <w:r>
              <w:rPr>
                <w:rFonts w:ascii="Arial" w:cs="Arial" w:eastAsia="Arial" w:hAnsi="Arial"/>
                <w:sz w:val="14"/>
                <w:szCs w:val="14"/>
                <w:b w:val="1"/>
                <w:bCs w:val="1"/>
                <w:color w:val="auto"/>
                <w:w w:val="94"/>
              </w:rPr>
              <w:t>Held in</w:t>
            </w:r>
          </w:p>
        </w:tc>
        <w:tc>
          <w:tcPr>
            <w:tcW w:w="9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Treasury</w:t>
            </w: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60" w:type="dxa"/>
            <w:vAlign w:val="bottom"/>
            <w:gridSpan w:val="3"/>
          </w:tcPr>
          <w:p>
            <w:pPr>
              <w:jc w:val="right"/>
              <w:ind w:right="608"/>
              <w:spacing w:after="0"/>
              <w:rPr>
                <w:sz w:val="20"/>
                <w:szCs w:val="20"/>
                <w:color w:val="auto"/>
              </w:rPr>
            </w:pPr>
            <w:r>
              <w:rPr>
                <w:rFonts w:ascii="Arial" w:cs="Arial" w:eastAsia="Arial" w:hAnsi="Arial"/>
                <w:sz w:val="14"/>
                <w:szCs w:val="14"/>
                <w:i w:val="1"/>
                <w:iCs w:val="1"/>
                <w:color w:val="auto"/>
              </w:rPr>
              <w:t>(millions of shares)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240" w:type="dxa"/>
            <w:vAlign w:val="bottom"/>
          </w:tcPr>
          <w:p>
            <w:pPr>
              <w:ind w:left="40"/>
              <w:spacing w:after="0"/>
              <w:rPr>
                <w:sz w:val="20"/>
                <w:szCs w:val="20"/>
                <w:color w:val="auto"/>
              </w:rPr>
            </w:pPr>
            <w:r>
              <w:rPr>
                <w:rFonts w:ascii="Arial" w:cs="Arial" w:eastAsia="Arial" w:hAnsi="Arial"/>
                <w:sz w:val="14"/>
                <w:szCs w:val="14"/>
                <w:color w:val="auto"/>
              </w:rPr>
              <w:t>Balance as of December 31, 2016</w:t>
            </w: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88"/>
              <w:spacing w:after="0"/>
              <w:rPr>
                <w:sz w:val="20"/>
                <w:szCs w:val="20"/>
                <w:color w:val="auto"/>
              </w:rPr>
            </w:pPr>
            <w:r>
              <w:rPr>
                <w:rFonts w:ascii="Arial" w:cs="Arial" w:eastAsia="Arial" w:hAnsi="Arial"/>
                <w:sz w:val="14"/>
                <w:szCs w:val="14"/>
                <w:color w:val="auto"/>
              </w:rPr>
              <w:t>8,019</w:t>
            </w:r>
          </w:p>
        </w:tc>
        <w:tc>
          <w:tcPr>
            <w:tcW w:w="1960" w:type="dxa"/>
            <w:vAlign w:val="bottom"/>
            <w:gridSpan w:val="3"/>
          </w:tcPr>
          <w:p>
            <w:pPr>
              <w:jc w:val="right"/>
              <w:ind w:right="588"/>
              <w:spacing w:after="0"/>
              <w:rPr>
                <w:sz w:val="20"/>
                <w:szCs w:val="20"/>
                <w:color w:val="auto"/>
              </w:rPr>
            </w:pPr>
            <w:r>
              <w:rPr>
                <w:rFonts w:ascii="Arial" w:cs="Arial" w:eastAsia="Arial" w:hAnsi="Arial"/>
                <w:sz w:val="14"/>
                <w:szCs w:val="14"/>
                <w:color w:val="auto"/>
              </w:rPr>
              <w:t>(3,871)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149"/>
        </w:trPr>
        <w:tc>
          <w:tcPr>
            <w:tcW w:w="4240" w:type="dxa"/>
            <w:vAlign w:val="bottom"/>
          </w:tcPr>
          <w:p>
            <w:pPr>
              <w:ind w:left="400"/>
              <w:spacing w:after="0" w:line="149" w:lineRule="exact"/>
              <w:rPr>
                <w:sz w:val="20"/>
                <w:szCs w:val="20"/>
                <w:color w:val="auto"/>
              </w:rPr>
            </w:pPr>
            <w:r>
              <w:rPr>
                <w:rFonts w:ascii="Arial" w:cs="Arial" w:eastAsia="Arial" w:hAnsi="Arial"/>
                <w:sz w:val="14"/>
                <w:szCs w:val="14"/>
                <w:color w:val="auto"/>
              </w:rPr>
              <w:t>Acquisitions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88"/>
              </w:rPr>
              <w:t>(10)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240" w:type="dxa"/>
            <w:vAlign w:val="bottom"/>
          </w:tcPr>
          <w:p>
            <w:pPr>
              <w:ind w:left="400"/>
              <w:spacing w:after="0" w:line="149" w:lineRule="exact"/>
              <w:rPr>
                <w:sz w:val="20"/>
                <w:szCs w:val="20"/>
                <w:color w:val="auto"/>
              </w:rPr>
            </w:pPr>
            <w:r>
              <w:rPr>
                <w:rFonts w:ascii="Arial" w:cs="Arial" w:eastAsia="Arial" w:hAnsi="Arial"/>
                <w:sz w:val="14"/>
                <w:szCs w:val="14"/>
                <w:color w:val="auto"/>
              </w:rPr>
              <w:t>Issued for acquisitions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96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7"/>
        </w:trPr>
        <w:tc>
          <w:tcPr>
            <w:tcW w:w="4240" w:type="dxa"/>
            <w:vAlign w:val="bottom"/>
          </w:tcPr>
          <w:p>
            <w:pPr>
              <w:ind w:left="400"/>
              <w:spacing w:after="0"/>
              <w:rPr>
                <w:sz w:val="20"/>
                <w:szCs w:val="20"/>
                <w:color w:val="auto"/>
              </w:rPr>
            </w:pPr>
            <w:r>
              <w:rPr>
                <w:rFonts w:ascii="Arial" w:cs="Arial" w:eastAsia="Arial" w:hAnsi="Arial"/>
                <w:sz w:val="14"/>
                <w:szCs w:val="14"/>
                <w:color w:val="auto"/>
              </w:rPr>
              <w:t>Dispositions</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3"/>
        </w:trPr>
        <w:tc>
          <w:tcPr>
            <w:tcW w:w="4240" w:type="dxa"/>
            <w:vAlign w:val="bottom"/>
          </w:tcPr>
          <w:p>
            <w:pPr>
              <w:ind w:left="40"/>
              <w:spacing w:after="0" w:line="123" w:lineRule="exact"/>
              <w:rPr>
                <w:sz w:val="20"/>
                <w:szCs w:val="20"/>
                <w:color w:val="auto"/>
              </w:rPr>
            </w:pPr>
            <w:r>
              <w:rPr>
                <w:rFonts w:ascii="Arial" w:cs="Arial" w:eastAsia="Arial" w:hAnsi="Arial"/>
                <w:sz w:val="14"/>
                <w:szCs w:val="14"/>
                <w:color w:val="auto"/>
              </w:rPr>
              <w:t>Balance as of December 31, 2017</w:t>
            </w: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388"/>
              <w:spacing w:after="0" w:line="123" w:lineRule="exact"/>
              <w:rPr>
                <w:sz w:val="20"/>
                <w:szCs w:val="20"/>
                <w:color w:val="auto"/>
              </w:rPr>
            </w:pPr>
            <w:r>
              <w:rPr>
                <w:rFonts w:ascii="Arial" w:cs="Arial" w:eastAsia="Arial" w:hAnsi="Arial"/>
                <w:sz w:val="14"/>
                <w:szCs w:val="14"/>
                <w:color w:val="auto"/>
              </w:rPr>
              <w:t>8,019</w:t>
            </w:r>
          </w:p>
        </w:tc>
        <w:tc>
          <w:tcPr>
            <w:tcW w:w="1960" w:type="dxa"/>
            <w:vAlign w:val="bottom"/>
            <w:gridSpan w:val="3"/>
          </w:tcPr>
          <w:p>
            <w:pPr>
              <w:jc w:val="right"/>
              <w:ind w:right="588"/>
              <w:spacing w:after="0" w:line="123" w:lineRule="exact"/>
              <w:rPr>
                <w:sz w:val="20"/>
                <w:szCs w:val="20"/>
                <w:color w:val="auto"/>
              </w:rPr>
            </w:pPr>
            <w:r>
              <w:rPr>
                <w:rFonts w:ascii="Arial" w:cs="Arial" w:eastAsia="Arial" w:hAnsi="Arial"/>
                <w:sz w:val="14"/>
                <w:szCs w:val="14"/>
                <w:color w:val="auto"/>
              </w:rPr>
              <w:t>(3,780)</w:t>
            </w:r>
          </w:p>
        </w:tc>
        <w:tc>
          <w:tcPr>
            <w:tcW w:w="860" w:type="dxa"/>
            <w:vAlign w:val="bottom"/>
          </w:tcPr>
          <w:p>
            <w:pPr>
              <w:jc w:val="right"/>
              <w:ind w:right="8"/>
              <w:spacing w:after="0" w:line="123" w:lineRule="exact"/>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149"/>
        </w:trPr>
        <w:tc>
          <w:tcPr>
            <w:tcW w:w="4240" w:type="dxa"/>
            <w:vAlign w:val="bottom"/>
          </w:tcPr>
          <w:p>
            <w:pPr>
              <w:ind w:left="400"/>
              <w:spacing w:after="0" w:line="149" w:lineRule="exact"/>
              <w:rPr>
                <w:sz w:val="20"/>
                <w:szCs w:val="20"/>
                <w:color w:val="auto"/>
              </w:rPr>
            </w:pPr>
            <w:r>
              <w:rPr>
                <w:rFonts w:ascii="Arial" w:cs="Arial" w:eastAsia="Arial" w:hAnsi="Arial"/>
                <w:sz w:val="14"/>
                <w:szCs w:val="14"/>
                <w:color w:val="auto"/>
              </w:rPr>
              <w:t>Acquisitions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4240" w:type="dxa"/>
            <w:vAlign w:val="bottom"/>
          </w:tcPr>
          <w:p>
            <w:pPr>
              <w:ind w:left="400"/>
              <w:spacing w:after="0"/>
              <w:rPr>
                <w:sz w:val="20"/>
                <w:szCs w:val="20"/>
                <w:color w:val="auto"/>
              </w:rPr>
            </w:pPr>
            <w:r>
              <w:rPr>
                <w:rFonts w:ascii="Arial" w:cs="Arial" w:eastAsia="Arial" w:hAnsi="Arial"/>
                <w:sz w:val="14"/>
                <w:szCs w:val="14"/>
                <w:color w:val="auto"/>
              </w:rPr>
              <w:t>Dispositions</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6</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3"/>
        </w:trPr>
        <w:tc>
          <w:tcPr>
            <w:tcW w:w="4240" w:type="dxa"/>
            <w:vAlign w:val="bottom"/>
          </w:tcPr>
          <w:p>
            <w:pPr>
              <w:ind w:left="40"/>
              <w:spacing w:after="0" w:line="123" w:lineRule="exact"/>
              <w:rPr>
                <w:sz w:val="20"/>
                <w:szCs w:val="20"/>
                <w:color w:val="auto"/>
              </w:rPr>
            </w:pPr>
            <w:r>
              <w:rPr>
                <w:rFonts w:ascii="Arial" w:cs="Arial" w:eastAsia="Arial" w:hAnsi="Arial"/>
                <w:sz w:val="14"/>
                <w:szCs w:val="14"/>
                <w:color w:val="auto"/>
              </w:rPr>
              <w:t>Balance as of December 31, 2018</w:t>
            </w: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388"/>
              <w:spacing w:after="0" w:line="123" w:lineRule="exact"/>
              <w:rPr>
                <w:sz w:val="20"/>
                <w:szCs w:val="20"/>
                <w:color w:val="auto"/>
              </w:rPr>
            </w:pPr>
            <w:r>
              <w:rPr>
                <w:rFonts w:ascii="Arial" w:cs="Arial" w:eastAsia="Arial" w:hAnsi="Arial"/>
                <w:sz w:val="14"/>
                <w:szCs w:val="14"/>
                <w:color w:val="auto"/>
              </w:rPr>
              <w:t>8,019</w:t>
            </w:r>
          </w:p>
        </w:tc>
        <w:tc>
          <w:tcPr>
            <w:tcW w:w="1960" w:type="dxa"/>
            <w:vAlign w:val="bottom"/>
            <w:gridSpan w:val="3"/>
          </w:tcPr>
          <w:p>
            <w:pPr>
              <w:jc w:val="right"/>
              <w:ind w:right="588"/>
              <w:spacing w:after="0" w:line="123" w:lineRule="exact"/>
              <w:rPr>
                <w:sz w:val="20"/>
                <w:szCs w:val="20"/>
                <w:color w:val="auto"/>
              </w:rPr>
            </w:pPr>
            <w:r>
              <w:rPr>
                <w:rFonts w:ascii="Arial" w:cs="Arial" w:eastAsia="Arial" w:hAnsi="Arial"/>
                <w:sz w:val="14"/>
                <w:szCs w:val="14"/>
                <w:color w:val="auto"/>
              </w:rPr>
              <w:t>(3,782)</w:t>
            </w:r>
          </w:p>
        </w:tc>
        <w:tc>
          <w:tcPr>
            <w:tcW w:w="860" w:type="dxa"/>
            <w:vAlign w:val="bottom"/>
          </w:tcPr>
          <w:p>
            <w:pPr>
              <w:jc w:val="right"/>
              <w:ind w:right="8"/>
              <w:spacing w:after="0" w:line="123" w:lineRule="exact"/>
              <w:rPr>
                <w:sz w:val="20"/>
                <w:szCs w:val="20"/>
                <w:color w:val="auto"/>
              </w:rPr>
            </w:pPr>
            <w:r>
              <w:rPr>
                <w:rFonts w:ascii="Arial" w:cs="Arial" w:eastAsia="Arial" w:hAnsi="Arial"/>
                <w:sz w:val="14"/>
                <w:szCs w:val="14"/>
                <w:color w:val="auto"/>
              </w:rPr>
              <w:t>4,237</w:t>
            </w:r>
          </w:p>
        </w:tc>
        <w:tc>
          <w:tcPr>
            <w:tcW w:w="0" w:type="dxa"/>
            <w:vAlign w:val="bottom"/>
          </w:tcPr>
          <w:p>
            <w:pPr>
              <w:spacing w:after="0"/>
              <w:rPr>
                <w:sz w:val="1"/>
                <w:szCs w:val="1"/>
                <w:color w:val="auto"/>
              </w:rPr>
            </w:pPr>
          </w:p>
        </w:tc>
      </w:tr>
      <w:tr>
        <w:trPr>
          <w:trHeight w:val="149"/>
        </w:trPr>
        <w:tc>
          <w:tcPr>
            <w:tcW w:w="4240" w:type="dxa"/>
            <w:vAlign w:val="bottom"/>
          </w:tcPr>
          <w:p>
            <w:pPr>
              <w:ind w:left="400"/>
              <w:spacing w:after="0" w:line="149" w:lineRule="exact"/>
              <w:rPr>
                <w:sz w:val="20"/>
                <w:szCs w:val="20"/>
                <w:color w:val="auto"/>
              </w:rPr>
            </w:pPr>
            <w:r>
              <w:rPr>
                <w:rFonts w:ascii="Arial" w:cs="Arial" w:eastAsia="Arial" w:hAnsi="Arial"/>
                <w:sz w:val="14"/>
                <w:szCs w:val="14"/>
                <w:color w:val="auto"/>
              </w:rPr>
              <w:t>Acquisitions</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4240" w:type="dxa"/>
            <w:vAlign w:val="bottom"/>
          </w:tcPr>
          <w:p>
            <w:pPr>
              <w:ind w:left="400"/>
              <w:spacing w:after="0"/>
              <w:rPr>
                <w:sz w:val="20"/>
                <w:szCs w:val="20"/>
                <w:color w:val="auto"/>
              </w:rPr>
            </w:pPr>
            <w:r>
              <w:rPr>
                <w:rFonts w:ascii="Arial" w:cs="Arial" w:eastAsia="Arial" w:hAnsi="Arial"/>
                <w:sz w:val="14"/>
                <w:szCs w:val="14"/>
                <w:color w:val="auto"/>
              </w:rPr>
              <w:t>Dispositions</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2"/>
        </w:trPr>
        <w:tc>
          <w:tcPr>
            <w:tcW w:w="4240" w:type="dxa"/>
            <w:vAlign w:val="bottom"/>
          </w:tcPr>
          <w:p>
            <w:pPr>
              <w:ind w:left="40"/>
              <w:spacing w:after="0" w:line="142" w:lineRule="exact"/>
              <w:rPr>
                <w:sz w:val="20"/>
                <w:szCs w:val="20"/>
                <w:color w:val="auto"/>
              </w:rPr>
            </w:pPr>
            <w:r>
              <w:rPr>
                <w:rFonts w:ascii="Arial" w:cs="Arial" w:eastAsia="Arial" w:hAnsi="Arial"/>
                <w:sz w:val="14"/>
                <w:szCs w:val="14"/>
                <w:color w:val="auto"/>
              </w:rPr>
              <w:t>Balance as of December 31, 2019</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8,019</w:t>
            </w:r>
          </w:p>
        </w:tc>
        <w:tc>
          <w:tcPr>
            <w:tcW w:w="1960" w:type="dxa"/>
            <w:vAlign w:val="bottom"/>
            <w:tcBorders>
              <w:bottom w:val="single" w:sz="8" w:color="auto"/>
            </w:tcBorders>
            <w:gridSpan w:val="3"/>
          </w:tcPr>
          <w:p>
            <w:pPr>
              <w:jc w:val="right"/>
              <w:ind w:right="588"/>
              <w:spacing w:after="0" w:line="142" w:lineRule="exact"/>
              <w:rPr>
                <w:sz w:val="20"/>
                <w:szCs w:val="20"/>
                <w:color w:val="auto"/>
              </w:rPr>
            </w:pPr>
            <w:r>
              <w:rPr>
                <w:rFonts w:ascii="Arial" w:cs="Arial" w:eastAsia="Arial" w:hAnsi="Arial"/>
                <w:sz w:val="14"/>
                <w:szCs w:val="14"/>
                <w:color w:val="auto"/>
              </w:rPr>
              <w:t>(3,785)</w:t>
            </w:r>
          </w:p>
        </w:tc>
        <w:tc>
          <w:tcPr>
            <w:tcW w:w="8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4,234</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and the supporting and supplemental material are the responsibility of the management of Exxon Mobil Corporation.</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Corporation’s principal business involves exploration for, and production of, crude oil and natural gas and manufacture, trade, transport and sale of crude oil, natural gas, petroleum products, petrochemicals and a wide variety of specialty products.</w:t>
      </w:r>
    </w:p>
    <w:p>
      <w:pPr>
        <w:spacing w:after="0" w:line="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 Prior years’ data has been reclassified in certain cases to conform to the 2019 presentation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Accounting for Investments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subsidiaries the Corporation controls. They also include the Corporation’s share of the undivided interest in certain upstream assets, liabilities, revenues and expenses. Amounts representing the Corporation’s interest in entities that it does not control, but over which it exercises significant influence, are included in “Investments, advances and long-term receivables”. The Corporation’s share of the net income of these companies is included in the Consolidated Statement of Income caption “Income from equity affiliates”.</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Evidence of loss in value that might indicate impairment of investments in companies accounted for on the equity method is assessed to determine if such evidence represents a loss in value that is other than temporary. Examples of key indicators include a history of operating losses, negative earnings and cash flow outlook, significant downward revisions to oil and gas reserves, and the financial condition and prospects for the investee’s business segment or geographic region. If evidence of an other than temporary loss in fair value below carrying amount is determined, an impairment is recognized. In the absence of market prices for the investment, discounted cash flows are used to assess fair value.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equity securities other than consolidated subsidiaries and equity method investments are measured at fair value with changes in fair value recognized in net income. The Corporation uses the modified approach for equity securities that do not have a readily determinable fair value. This modified approach measures investments at cost minus impairment, if any, plus or minus changes resulting from observable price changes in orderly transactions in a similar investment of the same issuer.</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Corporation’s share of the cumulative foreign exchange translation adjustment for equity method investments is reported in “Accumulated other comprehensive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indices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and sales of inventory with the same counterparty that are entered into in contemplation of one another are combined and recorded as exchanges measured at the book value of the item sold.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other operating revenue” and “Notes and accounts receivable” primarily arise from contracts with customers. Long-term receivables are primarily from non-customers. Contract assets are mainly from marketing assistance programs and are not significant. Contract liabilities are mainly customer prepayments and accruals of expected volume discounts and are not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excludes from the Consolidated Statement of Income certain sales and value-added taxes imposed on and concurrent with revenue-producing transactions with customers and collected on behalf of governmental authorities. Similar taxes, for which the Corporation is not considered to be an agent for the government, are reported on a gross basis (included in both “Sales and other operating revenue” and “Other taxes and duties”).</w:t>
      </w:r>
    </w:p>
    <w:p>
      <w:pPr>
        <w:spacing w:after="0" w:line="30" w:lineRule="exact"/>
        <w:rPr>
          <w:sz w:val="20"/>
          <w:szCs w:val="20"/>
          <w:color w:val="auto"/>
        </w:rPr>
      </w:pPr>
    </w:p>
    <w:p>
      <w:pPr>
        <w:ind w:right="1340"/>
        <w:spacing w:after="0" w:line="344" w:lineRule="auto"/>
        <w:rPr>
          <w:sz w:val="20"/>
          <w:szCs w:val="20"/>
          <w:color w:val="auto"/>
        </w:rPr>
      </w:pPr>
      <w:r>
        <w:rPr>
          <w:rFonts w:ascii="Arial" w:cs="Arial" w:eastAsia="Arial" w:hAnsi="Arial"/>
          <w:sz w:val="18"/>
          <w:szCs w:val="18"/>
          <w:color w:val="auto"/>
        </w:rPr>
        <w:t xml:space="preserve">The Corporation accounts for U.S. tax on global intangible low-taxed income as an income tax expense in the period in which it is incurred. </w:t>
      </w:r>
      <w:r>
        <w:rPr>
          <w:rFonts w:ascii="Arial" w:cs="Arial" w:eastAsia="Arial" w:hAnsi="Arial"/>
          <w:sz w:val="18"/>
          <w:szCs w:val="18"/>
          <w:b w:val="1"/>
          <w:bCs w:val="1"/>
          <w:color w:val="auto"/>
        </w:rPr>
        <w:t>Derivative Instruments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 may use derivative instruments for trading purposes and to offset exposures associated with commodity prices, foreign currency exchange rates and interest rates that arise from existing assets, liabilities, firm commitments and forecasted transactions. All derivative instruments, except those designated as normal purchase and normal sale, are recorded at fair value. Derivative assets and liabilities with the same counterparty are netted if the right of offset exists and certain other criteria are met. Collateral payables or receivables are netted against derivative assets and derivative liabilities, respectively.</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Recognition and classification of the gain or loss that results from adjusting a derivative to fair value depends on the purpose for the derivative. All gains and losses from derivative instruments for which the Corporation does not apply hedge accounting are immediately recognized in earnings. We may designate derivatives as fair value or cash flow hedges. For fair value hedges, the gain or loss from derivative instruments and the offsetting gain or loss from the hedged item are recognized in earnings. For cash flow hedges, the gain or loss from the derivative instrument is initially reported as a component of other comprehensive income and subsequently reclassified into earnings in the period that the forecasted transaction affects earnings.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Hierarchy Levels 1, 2 and 3 are terms for the priority of inputs to valuation techniques used to measure fair value. Hierarchy Level 1 inputs are quoted prices in active markets for identical assets or liabilities. Hierarchy Level 2 inputs are inputs other than quoted prices included within Level 1 that are directly or indirectly observable for the asset or liability. Hierarchy Level 3 inputs are inputs that are not observable in the market.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Cost Basis. </w:t>
      </w:r>
      <w:r>
        <w:rPr>
          <w:rFonts w:ascii="Arial" w:cs="Arial" w:eastAsia="Arial" w:hAnsi="Arial"/>
          <w:sz w:val="17"/>
          <w:szCs w:val="17"/>
          <w:color w:val="auto"/>
        </w:rPr>
        <w:t>The Corporation uses the “successful efforts” method to account for its exploration and production activities. Under this method, costs are</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on a field-by-field basis. Costs incurred to purchase, lease, or otherwise acquire a property (whether unproved or proved) are capitalized when incurred. Exploratory well costs are carried as an asset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Other exploratory expenditures, including geophysical costs and annual lease rentals, are expensed as incurred. Development costs, including costs of productive wells and development dry holes, are capitalized.</w:t>
      </w:r>
    </w:p>
    <w:p>
      <w:pPr>
        <w:spacing w:after="0" w:line="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Depreciation, Depletion and Amortization. </w:t>
      </w:r>
      <w:r>
        <w:rPr>
          <w:rFonts w:ascii="Arial" w:cs="Arial" w:eastAsia="Arial" w:hAnsi="Arial"/>
          <w:sz w:val="18"/>
          <w:szCs w:val="18"/>
          <w:color w:val="auto"/>
        </w:rPr>
        <w:t>Depreciation, depletion and amortization are primarily determined under either the unit-of-production method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straight-line method, which is based on estimated asset service life taking obsolescence into consideration.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Acquisition costs of proved properties are amortized using a unit-of-production method, computed on the basis of total proved oil and gas reserves. Capitalized exploratory drilling and development costs associated with productive depletable extractive properties are amortized using the unit-of-production rates based on the amount of proved developed reserves of oil and gas that are estimated to be recoverable from existing facilities using current operating methods. Under the unit-of-production method, oil and gas volumes are considered produced once they have been measured through meters at custody transfer or sales transaction points at the outlet valve on the lease or field storage tank. 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refinery, chemical process, and lubes basestock manufacturing equipment are generally depreciated on a straight-line basis over a 25-year life. Service station buildings and fixed improvements generally are depreciated over a 20-year life. Maintenance and repairs, including planned major maintenance, are expensed as incurred. Major renewals and improvements are capitalized and the assets replaced are retired.</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Assessment. </w:t>
      </w:r>
      <w:r>
        <w:rPr>
          <w:rFonts w:ascii="Arial" w:cs="Arial" w:eastAsia="Arial" w:hAnsi="Arial"/>
          <w:sz w:val="18"/>
          <w:szCs w:val="18"/>
          <w:color w:val="auto"/>
        </w:rPr>
        <w:t>The Corporation tests assets or groups of assets for recoverability on an ongoing basis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amounts may not be recoverable. Among the events or changes in circumstances which could indicate that the carrying value of an asset or asset group may not be recoverable are the following:</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significant decrease in the market price of a long-lived asset;</w:t>
      </w:r>
    </w:p>
    <w:p>
      <w:pPr>
        <w:spacing w:after="0" w:line="36" w:lineRule="exact"/>
        <w:rPr>
          <w:sz w:val="20"/>
          <w:szCs w:val="20"/>
          <w:color w:val="auto"/>
        </w:rPr>
      </w:pPr>
    </w:p>
    <w:p>
      <w:pPr>
        <w:ind w:left="660" w:right="20" w:firstLine="54"/>
        <w:spacing w:after="0" w:line="266" w:lineRule="auto"/>
        <w:rPr>
          <w:sz w:val="20"/>
          <w:szCs w:val="20"/>
          <w:color w:val="auto"/>
        </w:rPr>
      </w:pPr>
      <w:r>
        <w:rPr>
          <w:rFonts w:ascii="Arial" w:cs="Arial" w:eastAsia="Arial" w:hAnsi="Arial"/>
          <w:sz w:val="18"/>
          <w:szCs w:val="18"/>
          <w:color w:val="auto"/>
        </w:rPr>
        <w:t>a significant adverse change in the extent or manner in which an asset is being used or in its physical condition including a significant decrease in current and projected reserve volumes;</w:t>
      </w:r>
    </w:p>
    <w:p>
      <w:pPr>
        <w:ind w:left="660" w:right="20" w:firstLine="54"/>
        <w:spacing w:after="0" w:line="266" w:lineRule="auto"/>
        <w:rPr>
          <w:sz w:val="20"/>
          <w:szCs w:val="20"/>
          <w:color w:val="auto"/>
        </w:rPr>
      </w:pPr>
      <w:r>
        <w:rPr>
          <w:rFonts w:ascii="Arial" w:cs="Arial" w:eastAsia="Arial" w:hAnsi="Arial"/>
          <w:sz w:val="18"/>
          <w:szCs w:val="18"/>
          <w:color w:val="auto"/>
        </w:rPr>
        <w:t>a significant adverse change in legal factors or in the business climate that could affect the value, including an adverse action or assessment by a regulator;</w:t>
      </w:r>
    </w:p>
    <w:p>
      <w:pPr>
        <w:ind w:left="720"/>
        <w:spacing w:after="0"/>
        <w:rPr>
          <w:sz w:val="20"/>
          <w:szCs w:val="20"/>
          <w:color w:val="auto"/>
        </w:rPr>
      </w:pPr>
      <w:r>
        <w:rPr>
          <w:rFonts w:ascii="Arial" w:cs="Arial" w:eastAsia="Arial" w:hAnsi="Arial"/>
          <w:sz w:val="18"/>
          <w:szCs w:val="18"/>
          <w:color w:val="auto"/>
        </w:rPr>
        <w:t>an accumulation of project costs significantly in excess of the amount originally expected;</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current-period operating loss combined with a history and forecast of operating or cash flow losses; and</w:t>
      </w:r>
    </w:p>
    <w:p>
      <w:pPr>
        <w:spacing w:after="0" w:line="36" w:lineRule="exact"/>
        <w:rPr>
          <w:sz w:val="20"/>
          <w:szCs w:val="20"/>
          <w:color w:val="auto"/>
        </w:rPr>
      </w:pPr>
    </w:p>
    <w:p>
      <w:pPr>
        <w:ind w:left="660" w:firstLine="54"/>
        <w:spacing w:after="0" w:line="277" w:lineRule="auto"/>
        <w:rPr>
          <w:sz w:val="20"/>
          <w:szCs w:val="20"/>
          <w:color w:val="auto"/>
        </w:rPr>
      </w:pPr>
      <w:r>
        <w:rPr>
          <w:rFonts w:ascii="Arial" w:cs="Arial" w:eastAsia="Arial" w:hAnsi="Arial"/>
          <w:sz w:val="18"/>
          <w:szCs w:val="18"/>
          <w:color w:val="auto"/>
        </w:rPr>
        <w:t>a current expectation that, more likely than not, a long-lived asset will be sold or otherwise disposed of significantly before the end of its previously estimated useful life.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valuation analysis, profitability reviews and other periodic control processes assist the Corporation in assessing whether events or changes in circumstances indicate the carrying amounts of any of its assets may not be recoverable.</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and levels of prosperity. Because the lifespans of the vast majority of the Corporation’s major assets are measured in decades, the value of these assets is predominantly based on long-term views of future commodity prices and development and production costs. During the lifespan of these major assets, the Corporation expects that oil and gas prices will experience significant volatility, and consequently these assets will experience periods of higher earnings and periods of lower earnings, or even losses.</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assessing whether the events or changes in circumstances indicate the carrying value of an asset may not be recoverable, the Corporation considers recent periods of operating losses in the context of its longer-term view of prices. While near-term prices are subject to wide fluctuations, longer-term price views are more stable and meaningful for purposes of assessing future cash flows.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the industry experiences a prolonged and deep reduction in commodity prices, the market supply and demand conditions may result in changes to the Corporation’s long-term price or margin assumptions it uses for its capital investment decisions. To the extent those changes result in a significant reduction to its long-term oil price, natural gas price or margin ranges, the Corporation may consider that situation, in conjunction with other events or changes in circumstances such as a history of operating losses, an indicator of potential impairment for certain assets.</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Upstream, the standardized measure of discounted cash flows included in the Supplemental Information on Oil and Gas Exploration and Production activities is required to use prices based on the average of first-of-month prices. These prices represent discrete points in time and could be higher or lower than the Corporation’s long-term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Corporation has a robust process to monitor for indicators of potential impairment across its asset groups throughout the year. This process is aligned with the requirements of ASC 360 and relies in part on the Corporation’s planning and budgeting cycle. 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Corporation’s assumptions which are developed in the annual planning and budgeting process,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w:t>
      </w:r>
    </w:p>
    <w:p>
      <w:pPr>
        <w:spacing w:after="0" w:line="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asset group is impaired if its estimated undiscounted cash flows are less than the asset’s carrying value. Impairments are measured by the amount by which the carrying value exceeds fair value. Fair value is based on market prices if an active market exists for the asset group, or discounted cash flows using a discount rate commensurate with the risk. Significant unproved properties are assessed for impairment individually, and valuation allowances against the capitalized costs are recorded based on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Gains on sales of proved and unproved properties are only recognized when there is neither uncertainty about the recovery of costs applicable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retained nor any substantial obligation for future performance by the Corporation. Losses on properties sold are recognized when incurred or when the properties are held for sale and the fair value of the properties is less than the carrying value.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 and Environmental Liabilities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incurs retirement obligations for certain assets. The fair values of these obligations are recorded as liabilities on a discounted basis, which is typically at the time the assets are installed. The costs associated with these liabilities are capitalized as part of the related assets and depreciated. Over time, the liabilities are accreted for the change in their present value.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selects the functional reporting currency for its international subsidiaries based on the currency of the primary economic environment in which each subsidiary operates.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Downstream and Chemical operations primarily use the local currency. However, the U.S. dollar is used in countries with a history of high inflation (primarily in Latin America) and Singapore, which predominantly sells into the U.S. dollar export market. Upstream operations which are relatively self-contained and integrated within a particular country, such as Canada, the United Kingdom, Norway and continental Europe, use the local currency. Some Upstream operations, primarily in Asia and Africa, use the U.S. dollar because they predominantly sell crude and natural gas production into U.S. dollar-denominated markets.</w:t>
      </w:r>
    </w:p>
    <w:p>
      <w:pPr>
        <w:spacing w:after="0" w:line="53" w:lineRule="exact"/>
        <w:rPr>
          <w:sz w:val="20"/>
          <w:szCs w:val="20"/>
          <w:color w:val="auto"/>
        </w:rPr>
      </w:pPr>
    </w:p>
    <w:p>
      <w:pPr>
        <w:ind w:left="5620" w:right="1760" w:hanging="5615"/>
        <w:spacing w:after="0" w:line="387" w:lineRule="auto"/>
        <w:rPr>
          <w:sz w:val="20"/>
          <w:szCs w:val="20"/>
          <w:color w:val="auto"/>
        </w:rPr>
      </w:pPr>
      <w:r>
        <w:rPr>
          <w:rFonts w:ascii="Arial" w:cs="Arial" w:eastAsia="Arial" w:hAnsi="Arial"/>
          <w:sz w:val="18"/>
          <w:szCs w:val="18"/>
          <w:color w:val="auto"/>
        </w:rPr>
        <w:t>For all operations, gains or losses from remeasuring foreign currency transactions into the functional currency are included in income.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Changes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Effective January 1, 2019, the Corporation adopted the Financial Accounting Standards Board’s Standard, </w:t>
      </w:r>
      <w:r>
        <w:rPr>
          <w:rFonts w:ascii="Arial" w:cs="Arial" w:eastAsia="Arial" w:hAnsi="Arial"/>
          <w:sz w:val="16"/>
          <w:szCs w:val="16"/>
          <w:i w:val="1"/>
          <w:iCs w:val="1"/>
          <w:color w:val="auto"/>
        </w:rPr>
        <w:t>Leases (Topic 842)</w:t>
      </w:r>
      <w:r>
        <w:rPr>
          <w:rFonts w:ascii="Arial" w:cs="Arial" w:eastAsia="Arial" w:hAnsi="Arial"/>
          <w:sz w:val="16"/>
          <w:szCs w:val="16"/>
          <w:color w:val="auto"/>
        </w:rPr>
        <w:t>, as amended. The standard requires all leases to be recorded on the balance sheet as a right of use asset and a lease liability. The Corporation used a transition method that applies the new lease standard at January 1, 2019. The Corporation applied a policy election to exclude short-term leases from balance sheet recognition and also elected certain practical expedients at adoption. As permitted, the Corporation did not reassess whether existing contracts are or contain leases, the lease classification for any existing leases, initial direct costs for any existing lease and whether existing land easements and rights of way, which were not previously accounted for as leases, are or contain a lease. At adoption on January 1, 2019, an operating lease liability of $3.3 billion was recorded and the operating lease right of use asset was $4.3 billion, including $1.0 billion of previously recorded prepaid leases. There was no cumulative earnings effect adjustment.</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Effective January 1, 2020, the Corporation adopted the Financial Accounting Standards Board’s update,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as amended. The standard requires a valuation allowance for credit losses be recognized for certain financial assets that reflects the current expected credit loss over the asset’s contractual life. The valuation allowance considers the risk of loss, even if remote, and considers past events, current conditions and expectations of the future. The standard is not expected to have a material impact on the Corporation’s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Miscellaneous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totaled $1,214 million in 2019, $1,116 million in 2018, and $1,063 million in 2017.</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included before-tax aggregate foreign exchange transaction losses of $104 million and $138 million in 2019 and 2018, respectively, and a gain of $6 million in 2017.</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2019, 2018, and 2017, net income included gains of $523 million and $107 million, and a loss of $10 million, respectively, attributable to the combined effects of LIFO inventory accumulations and drawdowns. The aggregate replacement cost of inventories was estimated to exceed their LIFO carrying values by $9.7 billion and $8.2 billion at December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Crude oil, products and merchandise as of year-end 2019 and 2018 consist of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69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r>
        <w:trPr>
          <w:trHeight w:val="26"/>
        </w:trPr>
        <w:tc>
          <w:tcPr>
            <w:tcW w:w="35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184"/>
        </w:trPr>
        <w:tc>
          <w:tcPr>
            <w:tcW w:w="35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100" w:type="dxa"/>
            <w:vAlign w:val="bottom"/>
            <w:gridSpan w:val="2"/>
          </w:tcPr>
          <w:p>
            <w:pPr>
              <w:jc w:val="right"/>
              <w:ind w:right="393"/>
              <w:spacing w:after="0"/>
              <w:rPr>
                <w:sz w:val="20"/>
                <w:szCs w:val="20"/>
                <w:color w:val="auto"/>
              </w:rPr>
            </w:pPr>
            <w:r>
              <w:rPr>
                <w:rFonts w:ascii="Arial" w:cs="Arial" w:eastAsia="Arial" w:hAnsi="Arial"/>
                <w:sz w:val="14"/>
                <w:szCs w:val="14"/>
                <w:i w:val="1"/>
                <w:iCs w:val="1"/>
                <w:color w:val="auto"/>
              </w:rPr>
              <w:t>(millions of dollars)</w:t>
            </w:r>
          </w:p>
        </w:tc>
      </w:tr>
      <w:tr>
        <w:trPr>
          <w:trHeight w:val="443"/>
        </w:trPr>
        <w:tc>
          <w:tcPr>
            <w:tcW w:w="3520" w:type="dxa"/>
            <w:vAlign w:val="bottom"/>
          </w:tcPr>
          <w:p>
            <w:pPr>
              <w:spacing w:after="0"/>
              <w:rPr>
                <w:sz w:val="20"/>
                <w:szCs w:val="20"/>
                <w:color w:val="auto"/>
              </w:rPr>
            </w:pPr>
            <w:r>
              <w:rPr>
                <w:rFonts w:ascii="Arial" w:cs="Arial" w:eastAsia="Arial" w:hAnsi="Arial"/>
                <w:sz w:val="18"/>
                <w:szCs w:val="18"/>
                <w:color w:val="auto"/>
              </w:rPr>
              <w:t>Crude oil</w:t>
            </w:r>
          </w:p>
        </w:tc>
        <w:tc>
          <w:tcPr>
            <w:tcW w:w="6900" w:type="dxa"/>
            <w:vAlign w:val="bottom"/>
            <w:gridSpan w:val="2"/>
          </w:tcPr>
          <w:p>
            <w:pPr>
              <w:jc w:val="right"/>
              <w:ind w:right="379"/>
              <w:spacing w:after="0"/>
              <w:rPr>
                <w:sz w:val="20"/>
                <w:szCs w:val="20"/>
                <w:color w:val="auto"/>
              </w:rPr>
            </w:pPr>
            <w:r>
              <w:rPr>
                <w:rFonts w:ascii="Arial" w:cs="Arial" w:eastAsia="Arial" w:hAnsi="Arial"/>
                <w:sz w:val="18"/>
                <w:szCs w:val="18"/>
                <w:color w:val="auto"/>
              </w:rPr>
              <w:t>5,111</w:t>
            </w:r>
          </w:p>
        </w:tc>
        <w:tc>
          <w:tcPr>
            <w:tcW w:w="100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Petroleum products</w:t>
            </w:r>
          </w:p>
        </w:tc>
        <w:tc>
          <w:tcPr>
            <w:tcW w:w="6900" w:type="dxa"/>
            <w:vAlign w:val="bottom"/>
            <w:gridSpan w:val="2"/>
          </w:tcPr>
          <w:p>
            <w:pPr>
              <w:jc w:val="right"/>
              <w:ind w:right="379"/>
              <w:spacing w:after="0"/>
              <w:rPr>
                <w:sz w:val="20"/>
                <w:szCs w:val="20"/>
                <w:color w:val="auto"/>
              </w:rPr>
            </w:pPr>
            <w:r>
              <w:rPr>
                <w:rFonts w:ascii="Arial" w:cs="Arial" w:eastAsia="Arial" w:hAnsi="Arial"/>
                <w:sz w:val="18"/>
                <w:szCs w:val="18"/>
                <w:color w:val="auto"/>
              </w:rPr>
              <w:t>5,281</w:t>
            </w:r>
          </w:p>
        </w:tc>
        <w:tc>
          <w:tcPr>
            <w:tcW w:w="1000" w:type="dxa"/>
            <w:vAlign w:val="bottom"/>
          </w:tcPr>
          <w:p>
            <w:pPr>
              <w:jc w:val="right"/>
              <w:spacing w:after="0"/>
              <w:rPr>
                <w:sz w:val="20"/>
                <w:szCs w:val="20"/>
                <w:color w:val="auto"/>
              </w:rPr>
            </w:pPr>
            <w:r>
              <w:rPr>
                <w:rFonts w:ascii="Arial" w:cs="Arial" w:eastAsia="Arial" w:hAnsi="Arial"/>
                <w:sz w:val="18"/>
                <w:szCs w:val="18"/>
                <w:color w:val="auto"/>
              </w:rPr>
              <w:t>5,666</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Chemical products</w:t>
            </w:r>
          </w:p>
        </w:tc>
        <w:tc>
          <w:tcPr>
            <w:tcW w:w="6900" w:type="dxa"/>
            <w:vAlign w:val="bottom"/>
            <w:gridSpan w:val="2"/>
          </w:tcPr>
          <w:p>
            <w:pPr>
              <w:jc w:val="right"/>
              <w:ind w:right="379"/>
              <w:spacing w:after="0"/>
              <w:rPr>
                <w:sz w:val="20"/>
                <w:szCs w:val="20"/>
                <w:color w:val="auto"/>
              </w:rPr>
            </w:pPr>
            <w:r>
              <w:rPr>
                <w:rFonts w:ascii="Arial" w:cs="Arial" w:eastAsia="Arial" w:hAnsi="Arial"/>
                <w:sz w:val="18"/>
                <w:szCs w:val="18"/>
                <w:color w:val="auto"/>
              </w:rPr>
              <w:t>3,240</w:t>
            </w:r>
          </w:p>
        </w:tc>
        <w:tc>
          <w:tcPr>
            <w:tcW w:w="1000" w:type="dxa"/>
            <w:vAlign w:val="bottom"/>
          </w:tcPr>
          <w:p>
            <w:pPr>
              <w:jc w:val="right"/>
              <w:spacing w:after="0"/>
              <w:rPr>
                <w:sz w:val="20"/>
                <w:szCs w:val="20"/>
                <w:color w:val="auto"/>
              </w:rPr>
            </w:pPr>
            <w:r>
              <w:rPr>
                <w:rFonts w:ascii="Arial" w:cs="Arial" w:eastAsia="Arial" w:hAnsi="Arial"/>
                <w:sz w:val="18"/>
                <w:szCs w:val="18"/>
                <w:color w:val="auto"/>
              </w:rPr>
              <w:t>3,821</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Gas/other</w:t>
            </w:r>
          </w:p>
        </w:tc>
        <w:tc>
          <w:tcPr>
            <w:tcW w:w="6900" w:type="dxa"/>
            <w:vAlign w:val="bottom"/>
            <w:gridSpan w:val="2"/>
          </w:tcPr>
          <w:p>
            <w:pPr>
              <w:jc w:val="right"/>
              <w:ind w:right="379"/>
              <w:spacing w:after="0"/>
              <w:rPr>
                <w:sz w:val="20"/>
                <w:szCs w:val="20"/>
                <w:color w:val="auto"/>
              </w:rPr>
            </w:pPr>
            <w:r>
              <w:rPr>
                <w:rFonts w:ascii="Arial" w:cs="Arial" w:eastAsia="Arial" w:hAnsi="Arial"/>
                <w:sz w:val="18"/>
                <w:szCs w:val="18"/>
                <w:color w:val="auto"/>
              </w:rPr>
              <w:t>378</w:t>
            </w: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0"/>
        </w:trPr>
        <w:tc>
          <w:tcPr>
            <w:tcW w:w="3520" w:type="dxa"/>
            <w:vAlign w:val="bottom"/>
          </w:tcPr>
          <w:p>
            <w:pPr>
              <w:ind w:left="340"/>
              <w:spacing w:after="0"/>
              <w:rPr>
                <w:sz w:val="20"/>
                <w:szCs w:val="20"/>
                <w:color w:val="auto"/>
              </w:rPr>
            </w:pPr>
            <w:r>
              <w:rPr>
                <w:rFonts w:ascii="Arial" w:cs="Arial" w:eastAsia="Arial" w:hAnsi="Arial"/>
                <w:sz w:val="18"/>
                <w:szCs w:val="18"/>
                <w:color w:val="auto"/>
              </w:rPr>
              <w:t>Total</w:t>
            </w:r>
          </w:p>
        </w:tc>
        <w:tc>
          <w:tcPr>
            <w:tcW w:w="58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rPr>
              <w:t>14,010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14,803</w:t>
            </w:r>
          </w:p>
        </w:tc>
      </w:tr>
      <w:tr>
        <w:trPr>
          <w:trHeight w:val="223"/>
        </w:trPr>
        <w:tc>
          <w:tcPr>
            <w:tcW w:w="3520" w:type="dxa"/>
            <w:vAlign w:val="bottom"/>
          </w:tcPr>
          <w:p>
            <w:pPr>
              <w:spacing w:after="0"/>
              <w:rPr>
                <w:sz w:val="19"/>
                <w:szCs w:val="19"/>
                <w:color w:val="auto"/>
              </w:rPr>
            </w:pPr>
          </w:p>
        </w:tc>
        <w:tc>
          <w:tcPr>
            <w:tcW w:w="5800" w:type="dxa"/>
            <w:vAlign w:val="bottom"/>
          </w:tcPr>
          <w:p>
            <w:pPr>
              <w:jc w:val="right"/>
              <w:ind w:right="3433"/>
              <w:spacing w:after="0"/>
              <w:rPr>
                <w:sz w:val="20"/>
                <w:szCs w:val="20"/>
                <w:color w:val="auto"/>
              </w:rPr>
            </w:pPr>
            <w:r>
              <w:rPr>
                <w:rFonts w:ascii="Arial" w:cs="Arial" w:eastAsia="Arial" w:hAnsi="Arial"/>
                <w:sz w:val="18"/>
                <w:szCs w:val="18"/>
                <w:color w:val="auto"/>
              </w:rPr>
              <w:t>76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0"/>
        </w:trPr>
        <w:tc>
          <w:tcPr>
            <w:tcW w:w="3520" w:type="dxa"/>
            <w:vAlign w:val="bottom"/>
            <w:tcBorders>
              <w:bottom w:val="single" w:sz="8" w:color="9A9A9A"/>
            </w:tcBorders>
          </w:tcPr>
          <w:p>
            <w:pPr>
              <w:spacing w:after="0"/>
              <w:rPr>
                <w:sz w:val="18"/>
                <w:szCs w:val="18"/>
                <w:color w:val="auto"/>
              </w:rPr>
            </w:pPr>
          </w:p>
        </w:tc>
        <w:tc>
          <w:tcPr>
            <w:tcW w:w="58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Other Comprehensive Income Information</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36"/>
        </w:trPr>
        <w:tc>
          <w:tcPr>
            <w:tcW w:w="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720" w:type="dxa"/>
            <w:vAlign w:val="bottom"/>
          </w:tcPr>
          <w:p>
            <w:pPr>
              <w:jc w:val="center"/>
              <w:ind w:left="76"/>
              <w:spacing w:after="0"/>
              <w:rPr>
                <w:sz w:val="20"/>
                <w:szCs w:val="20"/>
                <w:color w:val="auto"/>
              </w:rPr>
            </w:pPr>
            <w:r>
              <w:rPr>
                <w:rFonts w:ascii="Arial" w:cs="Arial" w:eastAsia="Arial" w:hAnsi="Arial"/>
                <w:sz w:val="14"/>
                <w:szCs w:val="14"/>
                <w:b w:val="1"/>
                <w:bCs w:val="1"/>
                <w:color w:val="auto"/>
                <w:w w:val="91"/>
              </w:rPr>
              <w:t>Post-</w:t>
            </w:r>
          </w:p>
        </w:tc>
        <w:tc>
          <w:tcPr>
            <w:tcW w:w="9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720" w:type="dxa"/>
            <w:vAlign w:val="bottom"/>
          </w:tcPr>
          <w:p>
            <w:pPr>
              <w:jc w:val="center"/>
              <w:ind w:left="76"/>
              <w:spacing w:after="0"/>
              <w:rPr>
                <w:sz w:val="20"/>
                <w:szCs w:val="20"/>
                <w:color w:val="auto"/>
              </w:rPr>
            </w:pPr>
            <w:r>
              <w:rPr>
                <w:rFonts w:ascii="Arial" w:cs="Arial" w:eastAsia="Arial" w:hAnsi="Arial"/>
                <w:sz w:val="14"/>
                <w:szCs w:val="14"/>
                <w:b w:val="1"/>
                <w:bCs w:val="1"/>
                <w:color w:val="auto"/>
                <w:w w:val="93"/>
              </w:rPr>
              <w:t>retirement</w:t>
            </w:r>
          </w:p>
        </w:tc>
        <w:tc>
          <w:tcPr>
            <w:tcW w:w="9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720" w:type="dxa"/>
            <w:vAlign w:val="bottom"/>
          </w:tcPr>
          <w:p>
            <w:pPr>
              <w:jc w:val="center"/>
              <w:ind w:left="96"/>
              <w:spacing w:after="0"/>
              <w:rPr>
                <w:sz w:val="20"/>
                <w:szCs w:val="20"/>
                <w:color w:val="auto"/>
              </w:rPr>
            </w:pPr>
            <w:r>
              <w:rPr>
                <w:rFonts w:ascii="Arial" w:cs="Arial" w:eastAsia="Arial" w:hAnsi="Arial"/>
                <w:sz w:val="14"/>
                <w:szCs w:val="14"/>
                <w:b w:val="1"/>
                <w:bCs w:val="1"/>
                <w:color w:val="auto"/>
                <w:w w:val="90"/>
              </w:rPr>
              <w:t>Benefits</w:t>
            </w:r>
          </w:p>
        </w:tc>
        <w:tc>
          <w:tcPr>
            <w:tcW w:w="980" w:type="dxa"/>
            <w:vAlign w:val="bottom"/>
          </w:tcPr>
          <w:p>
            <w:pPr>
              <w:spacing w:after="0"/>
              <w:rPr>
                <w:sz w:val="18"/>
                <w:szCs w:val="18"/>
                <w:color w:val="auto"/>
              </w:rPr>
            </w:pPr>
          </w:p>
        </w:tc>
      </w:tr>
      <w:tr>
        <w:trPr>
          <w:trHeight w:val="223"/>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ExxonMobil Share of Accumulated Other</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720" w:type="dxa"/>
            <w:vAlign w:val="bottom"/>
          </w:tcPr>
          <w:p>
            <w:pPr>
              <w:jc w:val="center"/>
              <w:ind w:left="96"/>
              <w:spacing w:after="0"/>
              <w:rPr>
                <w:sz w:val="20"/>
                <w:szCs w:val="20"/>
                <w:color w:val="auto"/>
              </w:rPr>
            </w:pPr>
            <w:r>
              <w:rPr>
                <w:rFonts w:ascii="Arial" w:cs="Arial" w:eastAsia="Arial" w:hAnsi="Arial"/>
                <w:sz w:val="14"/>
                <w:szCs w:val="14"/>
                <w:b w:val="1"/>
                <w:bCs w:val="1"/>
                <w:color w:val="auto"/>
                <w:w w:val="86"/>
              </w:rPr>
              <w:t>Reserves</w:t>
            </w:r>
          </w:p>
        </w:tc>
        <w:tc>
          <w:tcPr>
            <w:tcW w:w="980" w:type="dxa"/>
            <w:vAlign w:val="bottom"/>
          </w:tcPr>
          <w:p>
            <w:pPr>
              <w:spacing w:after="0"/>
              <w:rPr>
                <w:sz w:val="19"/>
                <w:szCs w:val="19"/>
                <w:color w:val="auto"/>
              </w:rPr>
            </w:pPr>
          </w:p>
        </w:tc>
      </w:tr>
      <w:tr>
        <w:trPr>
          <w:trHeight w:val="234"/>
        </w:trPr>
        <w:tc>
          <w:tcPr>
            <w:tcW w:w="5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72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93"/>
              </w:rPr>
              <w:t>Adjustment</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25"/>
        </w:trPr>
        <w:tc>
          <w:tcPr>
            <w:tcW w:w="1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Pr>
          <w:p>
            <w:pPr>
              <w:jc w:val="right"/>
              <w:ind w:right="296"/>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9"/>
                <w:szCs w:val="19"/>
                <w:color w:val="auto"/>
              </w:rPr>
            </w:pPr>
          </w:p>
        </w:tc>
      </w:tr>
      <w:tr>
        <w:trPr>
          <w:trHeight w:val="40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2016</w:t>
            </w:r>
          </w:p>
        </w:tc>
        <w:tc>
          <w:tcPr>
            <w:tcW w:w="3360" w:type="dxa"/>
            <w:vAlign w:val="bottom"/>
            <w:gridSpan w:val="3"/>
          </w:tcPr>
          <w:p>
            <w:pPr>
              <w:jc w:val="right"/>
              <w:ind w:right="105"/>
              <w:spacing w:after="0"/>
              <w:rPr>
                <w:sz w:val="20"/>
                <w:szCs w:val="20"/>
                <w:color w:val="auto"/>
              </w:rPr>
            </w:pPr>
            <w:r>
              <w:rPr>
                <w:rFonts w:ascii="Arial" w:cs="Arial" w:eastAsia="Arial" w:hAnsi="Arial"/>
                <w:sz w:val="18"/>
                <w:szCs w:val="18"/>
                <w:color w:val="auto"/>
              </w:rPr>
              <w:t>(14,501)</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(7,738)</w:t>
            </w:r>
          </w:p>
        </w:tc>
        <w:tc>
          <w:tcPr>
            <w:tcW w:w="980" w:type="dxa"/>
            <w:vAlign w:val="bottom"/>
          </w:tcPr>
          <w:p>
            <w:pPr>
              <w:jc w:val="right"/>
              <w:spacing w:after="0"/>
              <w:rPr>
                <w:sz w:val="20"/>
                <w:szCs w:val="20"/>
                <w:color w:val="auto"/>
              </w:rPr>
            </w:pPr>
            <w:r>
              <w:rPr>
                <w:rFonts w:ascii="Arial" w:cs="Arial" w:eastAsia="Arial" w:hAnsi="Arial"/>
                <w:sz w:val="18"/>
                <w:szCs w:val="18"/>
                <w:color w:val="auto"/>
              </w:rPr>
              <w:t>(22,239)</w:t>
            </w: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Current period change excluding amounts reclassified</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from accumulated other comprehensive income</w:t>
            </w:r>
          </w:p>
        </w:tc>
        <w:tc>
          <w:tcPr>
            <w:tcW w:w="3360" w:type="dxa"/>
            <w:vAlign w:val="bottom"/>
            <w:gridSpan w:val="3"/>
          </w:tcPr>
          <w:p>
            <w:pPr>
              <w:jc w:val="right"/>
              <w:ind w:right="145"/>
              <w:spacing w:after="0"/>
              <w:rPr>
                <w:sz w:val="20"/>
                <w:szCs w:val="20"/>
                <w:color w:val="auto"/>
              </w:rPr>
            </w:pPr>
            <w:r>
              <w:rPr>
                <w:rFonts w:ascii="Arial" w:cs="Arial" w:eastAsia="Arial" w:hAnsi="Arial"/>
                <w:sz w:val="18"/>
                <w:szCs w:val="18"/>
                <w:color w:val="auto"/>
              </w:rPr>
              <w:t>4,879</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(170)</w:t>
            </w:r>
          </w:p>
        </w:tc>
        <w:tc>
          <w:tcPr>
            <w:tcW w:w="980" w:type="dxa"/>
            <w:vAlign w:val="bottom"/>
          </w:tcPr>
          <w:p>
            <w:pPr>
              <w:jc w:val="right"/>
              <w:spacing w:after="0"/>
              <w:rPr>
                <w:sz w:val="20"/>
                <w:szCs w:val="20"/>
                <w:color w:val="auto"/>
              </w:rPr>
            </w:pPr>
            <w:r>
              <w:rPr>
                <w:rFonts w:ascii="Arial" w:cs="Arial" w:eastAsia="Arial" w:hAnsi="Arial"/>
                <w:sz w:val="18"/>
                <w:szCs w:val="18"/>
                <w:color w:val="auto"/>
              </w:rPr>
              <w:t>4,709</w:t>
            </w: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comprehensive income</w:t>
            </w:r>
          </w:p>
        </w:tc>
        <w:tc>
          <w:tcPr>
            <w:tcW w:w="3360" w:type="dxa"/>
            <w:vAlign w:val="bottom"/>
            <w:gridSpan w:val="3"/>
          </w:tcPr>
          <w:p>
            <w:pPr>
              <w:jc w:val="right"/>
              <w:ind w:right="145"/>
              <w:spacing w:after="0"/>
              <w:rPr>
                <w:sz w:val="20"/>
                <w:szCs w:val="20"/>
                <w:color w:val="auto"/>
              </w:rPr>
            </w:pPr>
            <w:r>
              <w:rPr>
                <w:rFonts w:ascii="Arial" w:cs="Arial" w:eastAsia="Arial" w:hAnsi="Arial"/>
                <w:sz w:val="18"/>
                <w:szCs w:val="18"/>
                <w:color w:val="auto"/>
              </w:rPr>
              <w:t>140</w:t>
            </w:r>
          </w:p>
        </w:tc>
        <w:tc>
          <w:tcPr>
            <w:tcW w:w="1720" w:type="dxa"/>
            <w:vAlign w:val="bottom"/>
          </w:tcPr>
          <w:p>
            <w:pPr>
              <w:jc w:val="right"/>
              <w:ind w:right="376"/>
              <w:spacing w:after="0"/>
              <w:rPr>
                <w:sz w:val="20"/>
                <w:szCs w:val="20"/>
                <w:color w:val="auto"/>
              </w:rPr>
            </w:pPr>
            <w:r>
              <w:rPr>
                <w:rFonts w:ascii="Arial" w:cs="Arial" w:eastAsia="Arial" w:hAnsi="Arial"/>
                <w:sz w:val="18"/>
                <w:szCs w:val="18"/>
                <w:color w:val="auto"/>
              </w:rPr>
              <w:t>1,128</w:t>
            </w:r>
          </w:p>
        </w:tc>
        <w:tc>
          <w:tcPr>
            <w:tcW w:w="98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1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Total change in accumulated other comprehensive income</w:t>
            </w:r>
          </w:p>
        </w:tc>
        <w:tc>
          <w:tcPr>
            <w:tcW w:w="218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rPr>
              <w:t>5,019</w:t>
            </w:r>
          </w:p>
        </w:tc>
        <w:tc>
          <w:tcPr>
            <w:tcW w:w="17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rPr>
              <w:t>958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w:t>
            </w:r>
          </w:p>
        </w:tc>
      </w:tr>
      <w:tr>
        <w:trPr>
          <w:trHeight w:val="22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2017</w:t>
            </w:r>
          </w:p>
        </w:tc>
        <w:tc>
          <w:tcPr>
            <w:tcW w:w="2180" w:type="dxa"/>
            <w:vAlign w:val="bottom"/>
          </w:tcPr>
          <w:p>
            <w:pPr>
              <w:spacing w:after="0"/>
              <w:rPr>
                <w:sz w:val="19"/>
                <w:szCs w:val="19"/>
                <w:color w:val="auto"/>
              </w:rPr>
            </w:pPr>
          </w:p>
        </w:tc>
        <w:tc>
          <w:tcPr>
            <w:tcW w:w="1180" w:type="dxa"/>
            <w:vAlign w:val="bottom"/>
            <w:gridSpan w:val="2"/>
          </w:tcPr>
          <w:p>
            <w:pPr>
              <w:jc w:val="right"/>
              <w:ind w:right="105"/>
              <w:spacing w:after="0"/>
              <w:rPr>
                <w:sz w:val="20"/>
                <w:szCs w:val="20"/>
                <w:color w:val="auto"/>
              </w:rPr>
            </w:pPr>
            <w:r>
              <w:rPr>
                <w:rFonts w:ascii="Arial" w:cs="Arial" w:eastAsia="Arial" w:hAnsi="Arial"/>
                <w:sz w:val="18"/>
                <w:szCs w:val="18"/>
                <w:color w:val="auto"/>
              </w:rPr>
              <w:t>(9,482)</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(6,780)</w:t>
            </w:r>
          </w:p>
        </w:tc>
        <w:tc>
          <w:tcPr>
            <w:tcW w:w="980" w:type="dxa"/>
            <w:vAlign w:val="bottom"/>
          </w:tcPr>
          <w:p>
            <w:pPr>
              <w:jc w:val="right"/>
              <w:spacing w:after="0"/>
              <w:rPr>
                <w:sz w:val="20"/>
                <w:szCs w:val="20"/>
                <w:color w:val="auto"/>
              </w:rPr>
            </w:pPr>
            <w:r>
              <w:rPr>
                <w:rFonts w:ascii="Arial" w:cs="Arial" w:eastAsia="Arial" w:hAnsi="Arial"/>
                <w:sz w:val="18"/>
                <w:szCs w:val="18"/>
                <w:color w:val="auto"/>
              </w:rPr>
              <w:t>(16,262)</w:t>
            </w:r>
          </w:p>
        </w:tc>
      </w:tr>
      <w:tr>
        <w:trPr>
          <w:trHeight w:val="40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Current period change excluding amounts reclassified</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from accumulated other comprehensive income</w:t>
            </w:r>
          </w:p>
        </w:tc>
        <w:tc>
          <w:tcPr>
            <w:tcW w:w="3360" w:type="dxa"/>
            <w:vAlign w:val="bottom"/>
            <w:gridSpan w:val="3"/>
          </w:tcPr>
          <w:p>
            <w:pPr>
              <w:jc w:val="right"/>
              <w:ind w:right="105"/>
              <w:spacing w:after="0"/>
              <w:rPr>
                <w:sz w:val="20"/>
                <w:szCs w:val="20"/>
                <w:color w:val="auto"/>
              </w:rPr>
            </w:pPr>
            <w:r>
              <w:rPr>
                <w:rFonts w:ascii="Arial" w:cs="Arial" w:eastAsia="Arial" w:hAnsi="Arial"/>
                <w:sz w:val="18"/>
                <w:szCs w:val="18"/>
                <w:color w:val="auto"/>
              </w:rPr>
              <w:t>(4,595)</w:t>
            </w:r>
          </w:p>
        </w:tc>
        <w:tc>
          <w:tcPr>
            <w:tcW w:w="1720" w:type="dxa"/>
            <w:vAlign w:val="bottom"/>
          </w:tcPr>
          <w:p>
            <w:pPr>
              <w:jc w:val="right"/>
              <w:ind w:right="376"/>
              <w:spacing w:after="0"/>
              <w:rPr>
                <w:sz w:val="20"/>
                <w:szCs w:val="20"/>
                <w:color w:val="auto"/>
              </w:rPr>
            </w:pPr>
            <w:r>
              <w:rPr>
                <w:rFonts w:ascii="Arial" w:cs="Arial" w:eastAsia="Arial" w:hAnsi="Arial"/>
                <w:sz w:val="18"/>
                <w:szCs w:val="18"/>
                <w:color w:val="auto"/>
              </w:rPr>
              <w:t>201</w:t>
            </w:r>
          </w:p>
        </w:tc>
        <w:tc>
          <w:tcPr>
            <w:tcW w:w="980" w:type="dxa"/>
            <w:vAlign w:val="bottom"/>
          </w:tcPr>
          <w:p>
            <w:pPr>
              <w:jc w:val="right"/>
              <w:spacing w:after="0"/>
              <w:rPr>
                <w:sz w:val="20"/>
                <w:szCs w:val="20"/>
                <w:color w:val="auto"/>
              </w:rPr>
            </w:pPr>
            <w:r>
              <w:rPr>
                <w:rFonts w:ascii="Arial" w:cs="Arial" w:eastAsia="Arial" w:hAnsi="Arial"/>
                <w:sz w:val="18"/>
                <w:szCs w:val="18"/>
                <w:color w:val="auto"/>
              </w:rPr>
              <w:t>(4,394)</w:t>
            </w: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comprehensive income</w:t>
            </w:r>
          </w:p>
        </w:tc>
        <w:tc>
          <w:tcPr>
            <w:tcW w:w="3360" w:type="dxa"/>
            <w:vAlign w:val="bottom"/>
            <w:gridSpan w:val="3"/>
          </w:tcPr>
          <w:p>
            <w:pPr>
              <w:jc w:val="right"/>
              <w:ind w:right="145"/>
              <w:spacing w:after="0"/>
              <w:rPr>
                <w:sz w:val="20"/>
                <w:szCs w:val="20"/>
                <w:color w:val="auto"/>
              </w:rPr>
            </w:pPr>
            <w:r>
              <w:rPr>
                <w:rFonts w:ascii="Arial" w:cs="Arial" w:eastAsia="Arial" w:hAnsi="Arial"/>
                <w:sz w:val="18"/>
                <w:szCs w:val="18"/>
                <w:color w:val="auto"/>
              </w:rPr>
              <w:t>196</w:t>
            </w:r>
          </w:p>
        </w:tc>
        <w:tc>
          <w:tcPr>
            <w:tcW w:w="1720" w:type="dxa"/>
            <w:vAlign w:val="bottom"/>
          </w:tcPr>
          <w:p>
            <w:pPr>
              <w:jc w:val="right"/>
              <w:ind w:right="376"/>
              <w:spacing w:after="0"/>
              <w:rPr>
                <w:sz w:val="20"/>
                <w:szCs w:val="20"/>
                <w:color w:val="auto"/>
              </w:rPr>
            </w:pPr>
            <w:r>
              <w:rPr>
                <w:rFonts w:ascii="Arial" w:cs="Arial" w:eastAsia="Arial" w:hAnsi="Arial"/>
                <w:sz w:val="18"/>
                <w:szCs w:val="18"/>
                <w:color w:val="auto"/>
              </w:rPr>
              <w:t>896</w:t>
            </w:r>
          </w:p>
        </w:tc>
        <w:tc>
          <w:tcPr>
            <w:tcW w:w="98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1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Total change in accumulated other comprehensive income</w:t>
            </w:r>
          </w:p>
        </w:tc>
        <w:tc>
          <w:tcPr>
            <w:tcW w:w="218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rPr>
              <w:t>(4,399)</w:t>
            </w:r>
          </w:p>
        </w:tc>
        <w:tc>
          <w:tcPr>
            <w:tcW w:w="17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rPr>
              <w:t>1,097</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(3,302)</w:t>
            </w:r>
          </w:p>
        </w:tc>
      </w:tr>
      <w:tr>
        <w:trPr>
          <w:trHeight w:val="22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2018</w:t>
            </w:r>
          </w:p>
        </w:tc>
        <w:tc>
          <w:tcPr>
            <w:tcW w:w="2180" w:type="dxa"/>
            <w:vAlign w:val="bottom"/>
          </w:tcPr>
          <w:p>
            <w:pPr>
              <w:spacing w:after="0"/>
              <w:rPr>
                <w:sz w:val="19"/>
                <w:szCs w:val="19"/>
                <w:color w:val="auto"/>
              </w:rPr>
            </w:pPr>
          </w:p>
        </w:tc>
        <w:tc>
          <w:tcPr>
            <w:tcW w:w="1180" w:type="dxa"/>
            <w:vAlign w:val="bottom"/>
            <w:gridSpan w:val="2"/>
          </w:tcPr>
          <w:p>
            <w:pPr>
              <w:jc w:val="right"/>
              <w:ind w:right="105"/>
              <w:spacing w:after="0"/>
              <w:rPr>
                <w:sz w:val="20"/>
                <w:szCs w:val="20"/>
                <w:color w:val="auto"/>
              </w:rPr>
            </w:pPr>
            <w:r>
              <w:rPr>
                <w:rFonts w:ascii="Arial" w:cs="Arial" w:eastAsia="Arial" w:hAnsi="Arial"/>
                <w:sz w:val="18"/>
                <w:szCs w:val="18"/>
                <w:color w:val="auto"/>
              </w:rPr>
              <w:t>(13,881)</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(5,683)</w:t>
            </w:r>
          </w:p>
        </w:tc>
        <w:tc>
          <w:tcPr>
            <w:tcW w:w="980" w:type="dxa"/>
            <w:vAlign w:val="bottom"/>
          </w:tcPr>
          <w:p>
            <w:pPr>
              <w:jc w:val="right"/>
              <w:spacing w:after="0"/>
              <w:rPr>
                <w:sz w:val="20"/>
                <w:szCs w:val="20"/>
                <w:color w:val="auto"/>
              </w:rPr>
            </w:pPr>
            <w:r>
              <w:rPr>
                <w:rFonts w:ascii="Arial" w:cs="Arial" w:eastAsia="Arial" w:hAnsi="Arial"/>
                <w:sz w:val="18"/>
                <w:szCs w:val="18"/>
                <w:color w:val="auto"/>
              </w:rPr>
              <w:t>(19,564)</w:t>
            </w:r>
          </w:p>
        </w:tc>
      </w:tr>
      <w:tr>
        <w:trPr>
          <w:trHeight w:val="40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Current period change excluding amounts reclassified</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from accumulated other comprehensive income</w:t>
            </w:r>
          </w:p>
        </w:tc>
        <w:tc>
          <w:tcPr>
            <w:tcW w:w="3360" w:type="dxa"/>
            <w:vAlign w:val="bottom"/>
            <w:gridSpan w:val="3"/>
          </w:tcPr>
          <w:p>
            <w:pPr>
              <w:jc w:val="right"/>
              <w:ind w:right="145"/>
              <w:spacing w:after="0"/>
              <w:rPr>
                <w:sz w:val="20"/>
                <w:szCs w:val="20"/>
                <w:color w:val="auto"/>
              </w:rPr>
            </w:pPr>
            <w:r>
              <w:rPr>
                <w:rFonts w:ascii="Arial" w:cs="Arial" w:eastAsia="Arial" w:hAnsi="Arial"/>
                <w:sz w:val="18"/>
                <w:szCs w:val="18"/>
                <w:color w:val="auto"/>
              </w:rPr>
              <w:t>1,435</w:t>
            </w:r>
          </w:p>
        </w:tc>
        <w:tc>
          <w:tcPr>
            <w:tcW w:w="1720" w:type="dxa"/>
            <w:vAlign w:val="bottom"/>
          </w:tcPr>
          <w:p>
            <w:pPr>
              <w:jc w:val="right"/>
              <w:ind w:right="316"/>
              <w:spacing w:after="0"/>
              <w:rPr>
                <w:sz w:val="20"/>
                <w:szCs w:val="20"/>
                <w:color w:val="auto"/>
              </w:rPr>
            </w:pPr>
            <w:r>
              <w:rPr>
                <w:rFonts w:ascii="Arial" w:cs="Arial" w:eastAsia="Arial" w:hAnsi="Arial"/>
                <w:sz w:val="18"/>
                <w:szCs w:val="18"/>
                <w:color w:val="auto"/>
              </w:rPr>
              <w:t>(1,927)</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comprehensive income</w:t>
            </w:r>
          </w:p>
        </w:tc>
        <w:tc>
          <w:tcPr>
            <w:tcW w:w="336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76"/>
              <w:spacing w:after="0"/>
              <w:rPr>
                <w:sz w:val="20"/>
                <w:szCs w:val="20"/>
                <w:color w:val="auto"/>
              </w:rPr>
            </w:pPr>
            <w:r>
              <w:rPr>
                <w:rFonts w:ascii="Arial" w:cs="Arial" w:eastAsia="Arial" w:hAnsi="Arial"/>
                <w:sz w:val="18"/>
                <w:szCs w:val="18"/>
                <w:color w:val="auto"/>
              </w:rPr>
              <w:t>563</w:t>
            </w: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1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Total change in accumulated other comprehensive income</w:t>
            </w:r>
          </w:p>
        </w:tc>
        <w:tc>
          <w:tcPr>
            <w:tcW w:w="218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rPr>
              <w:t>1,435</w:t>
            </w:r>
          </w:p>
        </w:tc>
        <w:tc>
          <w:tcPr>
            <w:tcW w:w="17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rPr>
              <w:t>(1,364)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2019</w:t>
            </w:r>
          </w:p>
        </w:tc>
        <w:tc>
          <w:tcPr>
            <w:tcW w:w="218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rPr>
              <w:t>(12,446)</w:t>
            </w:r>
          </w:p>
        </w:tc>
        <w:tc>
          <w:tcPr>
            <w:tcW w:w="17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(7,047)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(19,493)</w:t>
            </w:r>
          </w:p>
        </w:tc>
      </w:tr>
      <w:tr>
        <w:trPr>
          <w:trHeight w:val="6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Amounts Reclassified Out of Accumulated Other</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Comprehensive Income - Before-tax Income/(Expense)</w:t>
            </w:r>
          </w:p>
        </w:tc>
        <w:tc>
          <w:tcPr>
            <w:tcW w:w="336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4"/>
                <w:szCs w:val="14"/>
                <w:b w:val="1"/>
                <w:bCs w:val="1"/>
                <w:color w:val="auto"/>
              </w:rPr>
              <w:t>2019</w:t>
            </w:r>
          </w:p>
        </w:tc>
        <w:tc>
          <w:tcPr>
            <w:tcW w:w="17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184"/>
        </w:trPr>
        <w:tc>
          <w:tcPr>
            <w:tcW w:w="1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jc w:val="right"/>
              <w:ind w:right="236"/>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r>
      <w:tr>
        <w:trPr>
          <w:trHeight w:val="443"/>
        </w:trPr>
        <w:tc>
          <w:tcPr>
            <w:tcW w:w="5360" w:type="dxa"/>
            <w:vAlign w:val="bottom"/>
            <w:gridSpan w:val="2"/>
          </w:tcPr>
          <w:p>
            <w:pPr>
              <w:spacing w:after="0"/>
              <w:rPr>
                <w:sz w:val="20"/>
                <w:szCs w:val="20"/>
                <w:color w:val="auto"/>
              </w:rPr>
            </w:pPr>
            <w:r>
              <w:rPr>
                <w:rFonts w:ascii="Arial" w:cs="Arial" w:eastAsia="Arial" w:hAnsi="Arial"/>
                <w:sz w:val="18"/>
                <w:szCs w:val="18"/>
                <w:color w:val="auto"/>
              </w:rPr>
              <w:t>Foreign exchange translation gain/(loss) included in net income</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Arial" w:cs="Arial" w:eastAsia="Arial" w:hAnsi="Arial"/>
                <w:sz w:val="18"/>
                <w:szCs w:val="18"/>
                <w:color w:val="auto"/>
              </w:rPr>
              <w:t>(Statement of Income line: Other income)</w:t>
            </w:r>
          </w:p>
        </w:tc>
        <w:tc>
          <w:tcPr>
            <w:tcW w:w="3360" w:type="dxa"/>
            <w:vAlign w:val="bottom"/>
            <w:gridSpan w:val="3"/>
          </w:tcPr>
          <w:p>
            <w:pPr>
              <w:jc w:val="right"/>
              <w:ind w:right="225"/>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16"/>
              <w:spacing w:after="0"/>
              <w:rPr>
                <w:sz w:val="20"/>
                <w:szCs w:val="20"/>
                <w:color w:val="auto"/>
              </w:rPr>
            </w:pPr>
            <w:r>
              <w:rPr>
                <w:rFonts w:ascii="Arial" w:cs="Arial" w:eastAsia="Arial" w:hAnsi="Arial"/>
                <w:sz w:val="18"/>
                <w:szCs w:val="18"/>
                <w:color w:val="auto"/>
              </w:rPr>
              <w:t>(196)</w:t>
            </w: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Amortization and settlement of postretirement benefits reserves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Arial" w:cs="Arial" w:eastAsia="Arial" w:hAnsi="Arial"/>
                <w:sz w:val="18"/>
                <w:szCs w:val="18"/>
                <w:color w:val="auto"/>
              </w:rPr>
              <w:t>adjustment included in net periodic benefit costs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Arial" w:cs="Arial" w:eastAsia="Arial" w:hAnsi="Arial"/>
                <w:sz w:val="18"/>
                <w:szCs w:val="18"/>
                <w:color w:val="auto"/>
                <w:w w:val="95"/>
              </w:rPr>
              <w:t>(Statement of Income line: Non-service pension and postretirement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180" w:type="dxa"/>
            <w:vAlign w:val="bottom"/>
          </w:tcPr>
          <w:p>
            <w:pPr>
              <w:ind w:left="60"/>
              <w:spacing w:after="0"/>
              <w:rPr>
                <w:sz w:val="20"/>
                <w:szCs w:val="20"/>
                <w:color w:val="auto"/>
              </w:rPr>
            </w:pPr>
            <w:r>
              <w:rPr>
                <w:rFonts w:ascii="Arial" w:cs="Arial" w:eastAsia="Arial" w:hAnsi="Arial"/>
                <w:sz w:val="18"/>
                <w:szCs w:val="18"/>
                <w:color w:val="auto"/>
              </w:rPr>
              <w:t>benefit expense)</w:t>
            </w:r>
          </w:p>
        </w:tc>
        <w:tc>
          <w:tcPr>
            <w:tcW w:w="3360" w:type="dxa"/>
            <w:vAlign w:val="bottom"/>
            <w:gridSpan w:val="3"/>
          </w:tcPr>
          <w:p>
            <w:pPr>
              <w:jc w:val="right"/>
              <w:ind w:right="165"/>
              <w:spacing w:after="0"/>
              <w:rPr>
                <w:sz w:val="20"/>
                <w:szCs w:val="20"/>
                <w:color w:val="auto"/>
              </w:rPr>
            </w:pPr>
            <w:r>
              <w:rPr>
                <w:rFonts w:ascii="Arial" w:cs="Arial" w:eastAsia="Arial" w:hAnsi="Arial"/>
                <w:sz w:val="18"/>
                <w:szCs w:val="18"/>
                <w:color w:val="auto"/>
              </w:rPr>
              <w:t>(751)</w:t>
            </w:r>
          </w:p>
        </w:tc>
        <w:tc>
          <w:tcPr>
            <w:tcW w:w="1720" w:type="dxa"/>
            <w:vAlign w:val="bottom"/>
          </w:tcPr>
          <w:p>
            <w:pPr>
              <w:jc w:val="right"/>
              <w:ind w:right="416"/>
              <w:spacing w:after="0"/>
              <w:rPr>
                <w:sz w:val="20"/>
                <w:szCs w:val="20"/>
                <w:color w:val="auto"/>
              </w:rPr>
            </w:pPr>
            <w:r>
              <w:rPr>
                <w:rFonts w:ascii="Arial" w:cs="Arial" w:eastAsia="Arial" w:hAnsi="Arial"/>
                <w:sz w:val="18"/>
                <w:szCs w:val="18"/>
                <w:color w:val="auto"/>
              </w:rPr>
              <w:t>(1,208)</w:t>
            </w:r>
          </w:p>
        </w:tc>
        <w:tc>
          <w:tcPr>
            <w:tcW w:w="98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63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(Expense)/Credit For</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Components of Other Comprehensive Income</w:t>
            </w:r>
          </w:p>
        </w:tc>
        <w:tc>
          <w:tcPr>
            <w:tcW w:w="336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4"/>
                <w:szCs w:val="14"/>
                <w:b w:val="1"/>
                <w:bCs w:val="1"/>
                <w:color w:val="auto"/>
              </w:rPr>
              <w:t>2019</w:t>
            </w:r>
          </w:p>
        </w:tc>
        <w:tc>
          <w:tcPr>
            <w:tcW w:w="17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184"/>
        </w:trPr>
        <w:tc>
          <w:tcPr>
            <w:tcW w:w="1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tcPr>
          <w:p>
            <w:pPr>
              <w:jc w:val="right"/>
              <w:ind w:right="256"/>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r>
      <w:tr>
        <w:trPr>
          <w:trHeight w:val="443"/>
        </w:trPr>
        <w:tc>
          <w:tcPr>
            <w:tcW w:w="5360" w:type="dxa"/>
            <w:vAlign w:val="bottom"/>
            <w:gridSpan w:val="2"/>
          </w:tcPr>
          <w:p>
            <w:pPr>
              <w:spacing w:after="0"/>
              <w:rPr>
                <w:sz w:val="20"/>
                <w:szCs w:val="20"/>
                <w:color w:val="auto"/>
              </w:rPr>
            </w:pPr>
            <w:r>
              <w:rPr>
                <w:rFonts w:ascii="Arial" w:cs="Arial" w:eastAsia="Arial" w:hAnsi="Arial"/>
                <w:sz w:val="18"/>
                <w:szCs w:val="18"/>
                <w:color w:val="auto"/>
              </w:rPr>
              <w:t>Foreign exchange translation adjustment</w:t>
            </w:r>
          </w:p>
        </w:tc>
        <w:tc>
          <w:tcPr>
            <w:tcW w:w="3360" w:type="dxa"/>
            <w:vAlign w:val="bottom"/>
            <w:gridSpan w:val="3"/>
          </w:tcPr>
          <w:p>
            <w:pPr>
              <w:jc w:val="right"/>
              <w:ind w:right="285"/>
              <w:spacing w:after="0"/>
              <w:rPr>
                <w:sz w:val="20"/>
                <w:szCs w:val="20"/>
                <w:color w:val="auto"/>
              </w:rPr>
            </w:pPr>
            <w:r>
              <w:rPr>
                <w:rFonts w:ascii="Arial" w:cs="Arial" w:eastAsia="Arial" w:hAnsi="Arial"/>
                <w:sz w:val="18"/>
                <w:szCs w:val="18"/>
                <w:color w:val="auto"/>
              </w:rPr>
              <w:t>88</w:t>
            </w: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32</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w w:val="97"/>
              </w:rPr>
              <w:t>Postretirement benefits reserves adjustment (excluding amortization)</w:t>
            </w:r>
          </w:p>
        </w:tc>
        <w:tc>
          <w:tcPr>
            <w:tcW w:w="3360" w:type="dxa"/>
            <w:vAlign w:val="bottom"/>
            <w:gridSpan w:val="3"/>
          </w:tcPr>
          <w:p>
            <w:pPr>
              <w:jc w:val="right"/>
              <w:ind w:right="285"/>
              <w:spacing w:after="0"/>
              <w:rPr>
                <w:sz w:val="20"/>
                <w:szCs w:val="20"/>
                <w:color w:val="auto"/>
              </w:rPr>
            </w:pPr>
            <w:r>
              <w:rPr>
                <w:rFonts w:ascii="Arial" w:cs="Arial" w:eastAsia="Arial" w:hAnsi="Arial"/>
                <w:sz w:val="18"/>
                <w:szCs w:val="18"/>
                <w:color w:val="auto"/>
              </w:rPr>
              <w:t>719</w:t>
            </w:r>
          </w:p>
        </w:tc>
        <w:tc>
          <w:tcPr>
            <w:tcW w:w="1720" w:type="dxa"/>
            <w:vAlign w:val="bottom"/>
          </w:tcPr>
          <w:p>
            <w:pPr>
              <w:jc w:val="right"/>
              <w:ind w:right="456"/>
              <w:spacing w:after="0"/>
              <w:rPr>
                <w:sz w:val="20"/>
                <w:szCs w:val="20"/>
                <w:color w:val="auto"/>
              </w:rPr>
            </w:pPr>
            <w:r>
              <w:rPr>
                <w:rFonts w:ascii="Arial" w:cs="Arial" w:eastAsia="Arial" w:hAnsi="Arial"/>
                <w:sz w:val="18"/>
                <w:szCs w:val="18"/>
                <w:color w:val="auto"/>
              </w:rPr>
              <w:t>(193)</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Amortization and settlement of postretirement benefits reserves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5180" w:type="dxa"/>
            <w:vAlign w:val="bottom"/>
          </w:tcPr>
          <w:p>
            <w:pPr>
              <w:ind w:left="40"/>
              <w:spacing w:after="0"/>
              <w:rPr>
                <w:sz w:val="20"/>
                <w:szCs w:val="20"/>
                <w:color w:val="auto"/>
              </w:rPr>
            </w:pPr>
            <w:r>
              <w:rPr>
                <w:rFonts w:ascii="Arial" w:cs="Arial" w:eastAsia="Arial" w:hAnsi="Arial"/>
                <w:sz w:val="18"/>
                <w:szCs w:val="18"/>
                <w:color w:val="auto"/>
              </w:rPr>
              <w:t>adjustment included in net periodic benefit costs</w:t>
            </w:r>
          </w:p>
        </w:tc>
        <w:tc>
          <w:tcPr>
            <w:tcW w:w="3360" w:type="dxa"/>
            <w:vAlign w:val="bottom"/>
            <w:gridSpan w:val="3"/>
          </w:tcPr>
          <w:p>
            <w:pPr>
              <w:jc w:val="right"/>
              <w:ind w:right="225"/>
              <w:spacing w:after="0"/>
              <w:rPr>
                <w:sz w:val="20"/>
                <w:szCs w:val="20"/>
                <w:color w:val="auto"/>
              </w:rPr>
            </w:pPr>
            <w:r>
              <w:rPr>
                <w:rFonts w:ascii="Arial" w:cs="Arial" w:eastAsia="Arial" w:hAnsi="Arial"/>
                <w:sz w:val="18"/>
                <w:szCs w:val="18"/>
                <w:color w:val="auto"/>
              </w:rPr>
              <w:t>(169)</w:t>
            </w:r>
          </w:p>
        </w:tc>
        <w:tc>
          <w:tcPr>
            <w:tcW w:w="1720" w:type="dxa"/>
            <w:vAlign w:val="bottom"/>
          </w:tcPr>
          <w:p>
            <w:pPr>
              <w:jc w:val="right"/>
              <w:ind w:right="456"/>
              <w:spacing w:after="0"/>
              <w:rPr>
                <w:sz w:val="20"/>
                <w:szCs w:val="20"/>
                <w:color w:val="auto"/>
              </w:rPr>
            </w:pPr>
            <w:r>
              <w:rPr>
                <w:rFonts w:ascii="Arial" w:cs="Arial" w:eastAsia="Arial" w:hAnsi="Arial"/>
                <w:sz w:val="18"/>
                <w:szCs w:val="18"/>
                <w:color w:val="auto"/>
              </w:rPr>
              <w:t>(277)</w:t>
            </w:r>
          </w:p>
        </w:tc>
        <w:tc>
          <w:tcPr>
            <w:tcW w:w="9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spacing w:after="0"/>
              <w:rPr>
                <w:sz w:val="18"/>
                <w:szCs w:val="18"/>
                <w:color w:val="auto"/>
              </w:rPr>
            </w:pPr>
          </w:p>
        </w:tc>
        <w:tc>
          <w:tcPr>
            <w:tcW w:w="11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8"/>
                <w:szCs w:val="18"/>
                <w:color w:val="auto"/>
              </w:rPr>
              <w:t>638</w:t>
            </w:r>
          </w:p>
        </w:tc>
        <w:tc>
          <w:tcPr>
            <w:tcW w:w="17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rPr>
              <w:t>(438)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1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180" w:type="dxa"/>
            <w:vAlign w:val="bottom"/>
          </w:tcPr>
          <w:p>
            <w:pPr>
              <w:jc w:val="right"/>
              <w:ind w:right="1652"/>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6"/>
        </w:trPr>
        <w:tc>
          <w:tcPr>
            <w:tcW w:w="180" w:type="dxa"/>
            <w:vAlign w:val="bottom"/>
            <w:tcBorders>
              <w:bottom w:val="single" w:sz="8" w:color="9A9A9A"/>
            </w:tcBorders>
          </w:tcPr>
          <w:p>
            <w:pPr>
              <w:spacing w:after="0"/>
              <w:rPr>
                <w:sz w:val="17"/>
                <w:szCs w:val="17"/>
                <w:color w:val="auto"/>
              </w:rPr>
            </w:pPr>
          </w:p>
        </w:tc>
        <w:tc>
          <w:tcPr>
            <w:tcW w:w="5180" w:type="dxa"/>
            <w:vAlign w:val="bottom"/>
            <w:tcBorders>
              <w:bottom w:val="single" w:sz="8" w:color="9A9A9A"/>
            </w:tcBorders>
          </w:tcPr>
          <w:p>
            <w:pPr>
              <w:spacing w:after="0"/>
              <w:rPr>
                <w:sz w:val="17"/>
                <w:szCs w:val="17"/>
                <w:color w:val="auto"/>
              </w:rPr>
            </w:pPr>
          </w:p>
        </w:tc>
        <w:tc>
          <w:tcPr>
            <w:tcW w:w="21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Flow Information</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2019, the “Net (gain) on asset sales” on the Consolidated Statement of Cash Flows includes before-tax amounts from the sale of non-operated upstream assets in Norway and upstream asset transactions in the U.S. For 2018, the number includes before-tax amounts from the sale of service stations in Germany, the divestment of the Augusta refinery in Italy, and the sale of an undeveloped upstream property in Australia. For 2017, the number includes before-tax amounts from the sale of service stations in multiple countries, upstream asset transactions in the U.S., and the sale of ExxonMobil’s operated upstream business in Norway. These net gains are reported in “Other income” on the Consolidated Statement of Income.</w:t>
      </w:r>
    </w:p>
    <w:p>
      <w:pPr>
        <w:spacing w:after="0" w:line="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2019, the “Additions/(reductions) in commercial paper, and debt with three months or less maturity” on the Consolidated Statement of Cash Flows includes a net $4.6 billion addition of commercial paper with maturity over three months. The gross amount issued was $18.9 billion, while the gross amount repaid was $14.3 billion. In 2018, the number includes a net $275 million addition of commercial paper with maturity over three months. The gross amount issued was $4.0 billion, while the gross amount repaid was $3.8 billion. In 2017, the number includes a net $121 million repayment of commercial paper with maturity over three months. The gross amount issued was $3.6 billion, while the gross amount repaid was $3.7 billion.</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Corporation completed the acquisitions of InterOil Corporation, mostly unproved properties in Papua New Guinea, for $2.7 billion and of companies that own mostly unproved oil and gas properties in the Permian Basin and other assets for $6.2 billion. These transactions included a significant noncash component associated with the issuance of a total of 96 million shares of Exxon Mobil Corporation common stock in acquisition consideration, having a total acquisition date value of $7.8 billion.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r>
      <w:tr>
        <w:trPr>
          <w:trHeight w:val="26"/>
        </w:trPr>
        <w:tc>
          <w:tcPr>
            <w:tcW w:w="7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7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880" w:type="dxa"/>
            <w:vAlign w:val="bottom"/>
          </w:tcPr>
          <w:p>
            <w:pPr>
              <w:spacing w:after="0"/>
              <w:rPr>
                <w:sz w:val="16"/>
                <w:szCs w:val="16"/>
                <w:color w:val="auto"/>
              </w:rPr>
            </w:pPr>
          </w:p>
        </w:tc>
      </w:tr>
      <w:tr>
        <w:trPr>
          <w:trHeight w:val="443"/>
        </w:trPr>
        <w:tc>
          <w:tcPr>
            <w:tcW w:w="7900" w:type="dxa"/>
            <w:vAlign w:val="bottom"/>
          </w:tcPr>
          <w:p>
            <w:pPr>
              <w:spacing w:after="0"/>
              <w:rPr>
                <w:sz w:val="20"/>
                <w:szCs w:val="20"/>
                <w:color w:val="auto"/>
              </w:rPr>
            </w:pPr>
            <w:r>
              <w:rPr>
                <w:rFonts w:ascii="Arial" w:cs="Arial" w:eastAsia="Arial" w:hAnsi="Arial"/>
                <w:sz w:val="18"/>
                <w:szCs w:val="18"/>
                <w:color w:val="auto"/>
              </w:rPr>
              <w:t>Income taxes paid</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7,018</w:t>
            </w: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9,294</w:t>
            </w:r>
          </w:p>
        </w:tc>
        <w:tc>
          <w:tcPr>
            <w:tcW w:w="880" w:type="dxa"/>
            <w:vAlign w:val="bottom"/>
          </w:tcPr>
          <w:p>
            <w:pPr>
              <w:jc w:val="right"/>
              <w:spacing w:after="0"/>
              <w:rPr>
                <w:sz w:val="20"/>
                <w:szCs w:val="20"/>
                <w:color w:val="auto"/>
              </w:rPr>
            </w:pPr>
            <w:r>
              <w:rPr>
                <w:rFonts w:ascii="Arial" w:cs="Arial" w:eastAsia="Arial" w:hAnsi="Arial"/>
                <w:sz w:val="18"/>
                <w:szCs w:val="18"/>
                <w:color w:val="auto"/>
              </w:rPr>
              <w:t>7,510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interest paid</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Included in cash flows from operating activities</w:t>
            </w:r>
          </w:p>
        </w:tc>
        <w:tc>
          <w:tcPr>
            <w:tcW w:w="920" w:type="dxa"/>
            <w:vAlign w:val="bottom"/>
          </w:tcPr>
          <w:p>
            <w:pPr>
              <w:jc w:val="right"/>
              <w:ind w:right="174"/>
              <w:spacing w:after="0"/>
              <w:rPr>
                <w:sz w:val="20"/>
                <w:szCs w:val="20"/>
                <w:color w:val="auto"/>
              </w:rPr>
            </w:pPr>
            <w:r>
              <w:rPr>
                <w:rFonts w:ascii="Arial" w:cs="Arial" w:eastAsia="Arial" w:hAnsi="Arial"/>
                <w:sz w:val="18"/>
                <w:szCs w:val="18"/>
                <w:color w:val="auto"/>
              </w:rPr>
              <w:t>560</w:t>
            </w: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303</w:t>
            </w:r>
          </w:p>
        </w:tc>
        <w:tc>
          <w:tcPr>
            <w:tcW w:w="8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Capitalized, included in cash flows from investing activities</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731</w:t>
            </w:r>
          </w:p>
        </w:tc>
        <w:tc>
          <w:tcPr>
            <w:tcW w:w="17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8"/>
                <w:szCs w:val="18"/>
                <w:color w:val="auto"/>
              </w:rPr>
              <w:t>652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10"/>
        </w:trPr>
        <w:tc>
          <w:tcPr>
            <w:tcW w:w="7900" w:type="dxa"/>
            <w:vAlign w:val="bottom"/>
          </w:tcPr>
          <w:p>
            <w:pPr>
              <w:ind w:left="260"/>
              <w:spacing w:after="0"/>
              <w:rPr>
                <w:sz w:val="20"/>
                <w:szCs w:val="20"/>
                <w:color w:val="auto"/>
              </w:rPr>
            </w:pPr>
            <w:r>
              <w:rPr>
                <w:rFonts w:ascii="Arial" w:cs="Arial" w:eastAsia="Arial" w:hAnsi="Arial"/>
                <w:sz w:val="18"/>
                <w:szCs w:val="18"/>
                <w:color w:val="auto"/>
              </w:rPr>
              <w:t>Total cash interest paid</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1,291</w:t>
            </w:r>
          </w:p>
        </w:tc>
        <w:tc>
          <w:tcPr>
            <w:tcW w:w="172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8"/>
                <w:szCs w:val="18"/>
                <w:color w:val="auto"/>
              </w:rPr>
              <w:t>955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r>
      <w:tr>
        <w:trPr>
          <w:trHeight w:val="642"/>
        </w:trPr>
        <w:tc>
          <w:tcPr>
            <w:tcW w:w="7900" w:type="dxa"/>
            <w:vAlign w:val="bottom"/>
          </w:tcPr>
          <w:p>
            <w:pPr>
              <w:spacing w:after="0"/>
              <w:rPr>
                <w:sz w:val="20"/>
                <w:szCs w:val="20"/>
                <w:color w:val="auto"/>
              </w:rPr>
            </w:pPr>
            <w:r>
              <w:rPr>
                <w:rFonts w:ascii="Arial" w:cs="Arial" w:eastAsia="Arial" w:hAnsi="Arial"/>
                <w:sz w:val="18"/>
                <w:szCs w:val="18"/>
                <w:b w:val="1"/>
                <w:bCs w:val="1"/>
                <w:color w:val="auto"/>
              </w:rPr>
              <w:t>6. Additional Working Capital Information</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7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center"/>
              <w:ind w:right="457"/>
              <w:spacing w:after="0"/>
              <w:rPr>
                <w:sz w:val="20"/>
                <w:szCs w:val="20"/>
                <w:color w:val="auto"/>
              </w:rPr>
            </w:pPr>
            <w:r>
              <w:rPr>
                <w:rFonts w:ascii="Arial" w:cs="Arial" w:eastAsia="Arial" w:hAnsi="Arial"/>
                <w:sz w:val="14"/>
                <w:szCs w:val="14"/>
                <w:b w:val="1"/>
                <w:bCs w:val="1"/>
                <w:color w:val="auto"/>
                <w:w w:val="89"/>
              </w:rPr>
              <w:t>Dec. 31</w:t>
            </w: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Dec. 31</w:t>
            </w:r>
          </w:p>
        </w:tc>
      </w:tr>
      <w:tr>
        <w:trPr>
          <w:trHeight w:val="216"/>
        </w:trPr>
        <w:tc>
          <w:tcPr>
            <w:tcW w:w="7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r>
      <w:tr>
        <w:trPr>
          <w:trHeight w:val="26"/>
        </w:trPr>
        <w:tc>
          <w:tcPr>
            <w:tcW w:w="7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184"/>
        </w:trPr>
        <w:tc>
          <w:tcPr>
            <w:tcW w:w="7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gridSpan w:val="2"/>
          </w:tcPr>
          <w:p>
            <w:pPr>
              <w:jc w:val="right"/>
              <w:ind w:right="393"/>
              <w:spacing w:after="0"/>
              <w:rPr>
                <w:sz w:val="20"/>
                <w:szCs w:val="20"/>
                <w:color w:val="auto"/>
              </w:rPr>
            </w:pPr>
            <w:r>
              <w:rPr>
                <w:rFonts w:ascii="Arial" w:cs="Arial" w:eastAsia="Arial" w:hAnsi="Arial"/>
                <w:sz w:val="14"/>
                <w:szCs w:val="14"/>
                <w:i w:val="1"/>
                <w:iCs w:val="1"/>
                <w:color w:val="auto"/>
              </w:rPr>
              <w:t>(millions of dollars)</w:t>
            </w: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Notes and accounts receivable</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Trade, less reserves of $34 million and $61 million</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21,100</w:t>
            </w:r>
          </w:p>
        </w:tc>
        <w:tc>
          <w:tcPr>
            <w:tcW w:w="880" w:type="dxa"/>
            <w:vAlign w:val="bottom"/>
          </w:tcPr>
          <w:p>
            <w:pPr>
              <w:jc w:val="right"/>
              <w:spacing w:after="0"/>
              <w:rPr>
                <w:sz w:val="20"/>
                <w:szCs w:val="20"/>
                <w:color w:val="auto"/>
              </w:rPr>
            </w:pPr>
            <w:r>
              <w:rPr>
                <w:rFonts w:ascii="Arial" w:cs="Arial" w:eastAsia="Arial" w:hAnsi="Arial"/>
                <w:sz w:val="18"/>
                <w:szCs w:val="18"/>
                <w:color w:val="auto"/>
              </w:rPr>
              <w:t>19,638</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Other, less reserves of $371 million and $339 million</w:t>
            </w:r>
          </w:p>
        </w:tc>
        <w:tc>
          <w:tcPr>
            <w:tcW w:w="920" w:type="dxa"/>
            <w:vAlign w:val="bottom"/>
          </w:tcPr>
          <w:p>
            <w:pPr>
              <w:spacing w:after="0"/>
              <w:rPr>
                <w:sz w:val="20"/>
                <w:szCs w:val="20"/>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5,866</w:t>
            </w:r>
          </w:p>
        </w:tc>
        <w:tc>
          <w:tcPr>
            <w:tcW w:w="880" w:type="dxa"/>
            <w:vAlign w:val="bottom"/>
          </w:tcPr>
          <w:p>
            <w:pPr>
              <w:jc w:val="right"/>
              <w:spacing w:after="0"/>
              <w:rPr>
                <w:sz w:val="20"/>
                <w:szCs w:val="20"/>
                <w:color w:val="auto"/>
              </w:rPr>
            </w:pPr>
            <w:r>
              <w:rPr>
                <w:rFonts w:ascii="Arial" w:cs="Arial" w:eastAsia="Arial" w:hAnsi="Arial"/>
                <w:sz w:val="18"/>
                <w:szCs w:val="18"/>
                <w:color w:val="auto"/>
              </w:rPr>
              <w:t>5,063</w:t>
            </w:r>
          </w:p>
        </w:tc>
      </w:tr>
      <w:tr>
        <w:trPr>
          <w:trHeight w:val="210"/>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8"/>
                <w:szCs w:val="18"/>
                <w:color w:val="auto"/>
              </w:rPr>
              <w:t>26,966</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24,701</w:t>
            </w:r>
          </w:p>
        </w:tc>
      </w:tr>
      <w:tr>
        <w:trPr>
          <w:trHeight w:val="411"/>
        </w:trPr>
        <w:tc>
          <w:tcPr>
            <w:tcW w:w="7900" w:type="dxa"/>
            <w:vAlign w:val="bottom"/>
          </w:tcPr>
          <w:p>
            <w:pPr>
              <w:spacing w:after="0"/>
              <w:rPr>
                <w:sz w:val="20"/>
                <w:szCs w:val="20"/>
                <w:color w:val="auto"/>
              </w:rPr>
            </w:pPr>
            <w:r>
              <w:rPr>
                <w:rFonts w:ascii="Arial" w:cs="Arial" w:eastAsia="Arial" w:hAnsi="Arial"/>
                <w:sz w:val="18"/>
                <w:szCs w:val="18"/>
                <w:color w:val="auto"/>
              </w:rPr>
              <w:t>Notes and loans payable</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Bank loans</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316</w:t>
            </w: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18,561</w:t>
            </w:r>
          </w:p>
        </w:tc>
        <w:tc>
          <w:tcPr>
            <w:tcW w:w="880" w:type="dxa"/>
            <w:vAlign w:val="bottom"/>
          </w:tcPr>
          <w:p>
            <w:pPr>
              <w:jc w:val="right"/>
              <w:spacing w:after="0"/>
              <w:rPr>
                <w:sz w:val="20"/>
                <w:szCs w:val="20"/>
                <w:color w:val="auto"/>
              </w:rPr>
            </w:pPr>
            <w:r>
              <w:rPr>
                <w:rFonts w:ascii="Arial" w:cs="Arial" w:eastAsia="Arial" w:hAnsi="Arial"/>
                <w:sz w:val="18"/>
                <w:szCs w:val="18"/>
                <w:color w:val="auto"/>
              </w:rPr>
              <w:t>12,863</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Long-term debt due within one year</w:t>
            </w:r>
          </w:p>
        </w:tc>
        <w:tc>
          <w:tcPr>
            <w:tcW w:w="920" w:type="dxa"/>
            <w:vAlign w:val="bottom"/>
          </w:tcPr>
          <w:p>
            <w:pPr>
              <w:spacing w:after="0"/>
              <w:rPr>
                <w:sz w:val="20"/>
                <w:szCs w:val="20"/>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1,701</w:t>
            </w:r>
          </w:p>
        </w:tc>
        <w:tc>
          <w:tcPr>
            <w:tcW w:w="880" w:type="dxa"/>
            <w:vAlign w:val="bottom"/>
          </w:tcPr>
          <w:p>
            <w:pPr>
              <w:jc w:val="right"/>
              <w:spacing w:after="0"/>
              <w:rPr>
                <w:sz w:val="20"/>
                <w:szCs w:val="20"/>
                <w:color w:val="auto"/>
              </w:rPr>
            </w:pPr>
            <w:r>
              <w:rPr>
                <w:rFonts w:ascii="Arial" w:cs="Arial" w:eastAsia="Arial" w:hAnsi="Arial"/>
                <w:sz w:val="18"/>
                <w:szCs w:val="18"/>
                <w:color w:val="auto"/>
              </w:rPr>
              <w:t>4,070</w:t>
            </w:r>
          </w:p>
        </w:tc>
      </w:tr>
      <w:tr>
        <w:trPr>
          <w:trHeight w:val="210"/>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8"/>
                <w:szCs w:val="18"/>
                <w:color w:val="auto"/>
              </w:rPr>
              <w:t>20,578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17,258</w:t>
            </w:r>
          </w:p>
        </w:tc>
      </w:tr>
      <w:tr>
        <w:trPr>
          <w:trHeight w:val="411"/>
        </w:trPr>
        <w:tc>
          <w:tcPr>
            <w:tcW w:w="79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Trade payables</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24,694</w:t>
            </w:r>
          </w:p>
        </w:tc>
        <w:tc>
          <w:tcPr>
            <w:tcW w:w="880" w:type="dxa"/>
            <w:vAlign w:val="bottom"/>
          </w:tcPr>
          <w:p>
            <w:pPr>
              <w:jc w:val="right"/>
              <w:spacing w:after="0"/>
              <w:rPr>
                <w:sz w:val="20"/>
                <w:szCs w:val="20"/>
                <w:color w:val="auto"/>
              </w:rPr>
            </w:pPr>
            <w:r>
              <w:rPr>
                <w:rFonts w:ascii="Arial" w:cs="Arial" w:eastAsia="Arial" w:hAnsi="Arial"/>
                <w:sz w:val="18"/>
                <w:szCs w:val="18"/>
                <w:color w:val="auto"/>
              </w:rPr>
              <w:t>21,063</w:t>
            </w: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Payables to equity companies</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6,825</w:t>
            </w:r>
          </w:p>
        </w:tc>
        <w:tc>
          <w:tcPr>
            <w:tcW w:w="880" w:type="dxa"/>
            <w:vAlign w:val="bottom"/>
          </w:tcPr>
          <w:p>
            <w:pPr>
              <w:jc w:val="right"/>
              <w:spacing w:after="0"/>
              <w:rPr>
                <w:sz w:val="20"/>
                <w:szCs w:val="20"/>
                <w:color w:val="auto"/>
              </w:rPr>
            </w:pPr>
            <w:r>
              <w:rPr>
                <w:rFonts w:ascii="Arial" w:cs="Arial" w:eastAsia="Arial" w:hAnsi="Arial"/>
                <w:sz w:val="18"/>
                <w:szCs w:val="18"/>
                <w:color w:val="auto"/>
              </w:rPr>
              <w:t>6,863</w:t>
            </w:r>
          </w:p>
        </w:tc>
      </w:tr>
      <w:tr>
        <w:trPr>
          <w:trHeight w:val="216"/>
        </w:trPr>
        <w:tc>
          <w:tcPr>
            <w:tcW w:w="7900" w:type="dxa"/>
            <w:vAlign w:val="bottom"/>
          </w:tcPr>
          <w:p>
            <w:pPr>
              <w:ind w:left="120"/>
              <w:spacing w:after="0"/>
              <w:rPr>
                <w:sz w:val="20"/>
                <w:szCs w:val="20"/>
                <w:color w:val="auto"/>
              </w:rPr>
            </w:pPr>
            <w:r>
              <w:rPr>
                <w:rFonts w:ascii="Arial" w:cs="Arial" w:eastAsia="Arial" w:hAnsi="Arial"/>
                <w:sz w:val="18"/>
                <w:szCs w:val="18"/>
                <w:color w:val="auto"/>
              </w:rPr>
              <w:t>Accrued taxes other than income taxes</w:t>
            </w:r>
          </w:p>
        </w:tc>
        <w:tc>
          <w:tcPr>
            <w:tcW w:w="920" w:type="dxa"/>
            <w:vAlign w:val="bottom"/>
          </w:tcPr>
          <w:p>
            <w:pPr>
              <w:spacing w:after="0"/>
              <w:rPr>
                <w:sz w:val="18"/>
                <w:szCs w:val="18"/>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3,301</w:t>
            </w:r>
          </w:p>
        </w:tc>
        <w:tc>
          <w:tcPr>
            <w:tcW w:w="88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0"/>
                <w:szCs w:val="20"/>
                <w:color w:val="auto"/>
              </w:rPr>
            </w:pPr>
          </w:p>
        </w:tc>
        <w:tc>
          <w:tcPr>
            <w:tcW w:w="1720" w:type="dxa"/>
            <w:vAlign w:val="bottom"/>
            <w:gridSpan w:val="2"/>
          </w:tcPr>
          <w:p>
            <w:pPr>
              <w:jc w:val="right"/>
              <w:ind w:right="497"/>
              <w:spacing w:after="0"/>
              <w:rPr>
                <w:sz w:val="20"/>
                <w:szCs w:val="20"/>
                <w:color w:val="auto"/>
              </w:rPr>
            </w:pPr>
            <w:r>
              <w:rPr>
                <w:rFonts w:ascii="Arial" w:cs="Arial" w:eastAsia="Arial" w:hAnsi="Arial"/>
                <w:sz w:val="18"/>
                <w:szCs w:val="18"/>
                <w:color w:val="auto"/>
              </w:rPr>
              <w:t>7,011</w:t>
            </w:r>
          </w:p>
        </w:tc>
        <w:tc>
          <w:tcPr>
            <w:tcW w:w="880" w:type="dxa"/>
            <w:vAlign w:val="bottom"/>
          </w:tcPr>
          <w:p>
            <w:pPr>
              <w:jc w:val="right"/>
              <w:spacing w:after="0"/>
              <w:rPr>
                <w:sz w:val="20"/>
                <w:szCs w:val="20"/>
                <w:color w:val="auto"/>
              </w:rPr>
            </w:pPr>
            <w:r>
              <w:rPr>
                <w:rFonts w:ascii="Arial" w:cs="Arial" w:eastAsia="Arial" w:hAnsi="Arial"/>
                <w:sz w:val="18"/>
                <w:szCs w:val="18"/>
                <w:color w:val="auto"/>
              </w:rPr>
              <w:t>6,062</w:t>
            </w:r>
          </w:p>
        </w:tc>
      </w:tr>
      <w:tr>
        <w:trPr>
          <w:trHeight w:val="210"/>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8"/>
                <w:szCs w:val="18"/>
                <w:color w:val="auto"/>
              </w:rPr>
              <w:t>41,831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has short-term committed lines of credit of $7.9 billion which were unused as of December 31, 2019. These lines are available for general corporate purposes.</w:t>
      </w:r>
    </w:p>
    <w:p>
      <w:pPr>
        <w:spacing w:after="0" w:line="35" w:lineRule="exact"/>
        <w:rPr>
          <w:sz w:val="20"/>
          <w:szCs w:val="20"/>
          <w:color w:val="auto"/>
        </w:rPr>
      </w:pPr>
    </w:p>
    <w:p>
      <w:pPr>
        <w:jc w:val="center"/>
        <w:ind w:right="440"/>
        <w:spacing w:after="0" w:line="387" w:lineRule="auto"/>
        <w:rPr>
          <w:sz w:val="20"/>
          <w:szCs w:val="20"/>
          <w:color w:val="auto"/>
        </w:rPr>
      </w:pPr>
      <w:r>
        <w:rPr>
          <w:rFonts w:ascii="Arial" w:cs="Arial" w:eastAsia="Arial" w:hAnsi="Arial"/>
          <w:sz w:val="18"/>
          <w:szCs w:val="18"/>
          <w:color w:val="auto"/>
        </w:rPr>
        <w:t>The weighted-average interest rate on short-term borrowings outstanding was 1.7 percent and 2.4 percent at December 31, 2019, and 2018, respectively.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Company Information</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summarized financial information below includes amounts related to certain less-than-majority-owned companies and majority-owned subsidiaries where minority shareholders possess the right to participate in significant management decisions (see Note 1). These companies are primarily engaged in oil and gas exploration and production, and natural gas marketing in North America; natural gas exploration, production and distribution in Europe; liquefied natural gas (LNG) operations and transportation of crude oil in Africa; and exploration, production, LNG operations, and the manufacture and sale of petroleum and petrochemical products in Asia and the Middle East. Also included are several refining, petrochemical manufacturing and marketing ventures.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total equity company revenues from sales to ExxonMobil consolidated companies was 13 percent, 14 percent and 15 percent in the years 2019, 2018 and 2017, respectively.</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Corporation’s ownership in these ventures is in the form of shares in corporate joint ventures as well as interests in partnerships. Differences between the company’s carrying value of an equity investment and its underlying equity in the net assets of the affiliate are assigned to the extent practicable to specific assets and liabilities based on the company’s analysis of the factors giving rise to the difference. The amortization of this difference, as appropriate, is included in “Income from equity affiliates” on the Consolidated Statement of Income.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Equity Company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4"/>
              <w:spacing w:after="0"/>
              <w:rPr>
                <w:sz w:val="20"/>
                <w:szCs w:val="20"/>
                <w:color w:val="auto"/>
              </w:rPr>
            </w:pPr>
            <w:r>
              <w:rPr>
                <w:rFonts w:ascii="Arial" w:cs="Arial" w:eastAsia="Arial" w:hAnsi="Arial"/>
                <w:sz w:val="14"/>
                <w:szCs w:val="14"/>
                <w:b w:val="1"/>
                <w:bCs w:val="1"/>
                <w:color w:val="auto"/>
                <w:w w:val="96"/>
              </w:rPr>
              <w:t>2018</w:t>
            </w: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8"/>
        </w:trPr>
        <w:tc>
          <w:tcPr>
            <w:tcW w:w="34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jc w:val="right"/>
              <w:ind w:right="393"/>
              <w:spacing w:after="0"/>
              <w:rPr>
                <w:sz w:val="20"/>
                <w:szCs w:val="20"/>
                <w:color w:val="auto"/>
              </w:rPr>
            </w:pPr>
            <w:r>
              <w:rPr>
                <w:rFonts w:ascii="Arial" w:cs="Arial" w:eastAsia="Arial" w:hAnsi="Arial"/>
                <w:sz w:val="14"/>
                <w:szCs w:val="14"/>
                <w:b w:val="1"/>
                <w:bCs w:val="1"/>
                <w:color w:val="auto"/>
              </w:rPr>
              <w:t>ExxonMobil</w:t>
            </w:r>
          </w:p>
        </w:tc>
        <w:tc>
          <w:tcPr>
            <w:tcW w:w="1040" w:type="dxa"/>
            <w:vAlign w:val="bottom"/>
          </w:tcPr>
          <w:p>
            <w:pPr>
              <w:spacing w:after="0"/>
              <w:rPr>
                <w:sz w:val="15"/>
                <w:szCs w:val="15"/>
                <w:color w:val="auto"/>
              </w:rPr>
            </w:pPr>
          </w:p>
        </w:tc>
        <w:tc>
          <w:tcPr>
            <w:tcW w:w="1720" w:type="dxa"/>
            <w:vAlign w:val="bottom"/>
          </w:tcPr>
          <w:p>
            <w:pPr>
              <w:jc w:val="right"/>
              <w:ind w:right="394"/>
              <w:spacing w:after="0"/>
              <w:rPr>
                <w:sz w:val="20"/>
                <w:szCs w:val="20"/>
                <w:color w:val="auto"/>
              </w:rPr>
            </w:pPr>
            <w:r>
              <w:rPr>
                <w:rFonts w:ascii="Arial" w:cs="Arial" w:eastAsia="Arial" w:hAnsi="Arial"/>
                <w:sz w:val="14"/>
                <w:szCs w:val="14"/>
                <w:b w:val="1"/>
                <w:bCs w:val="1"/>
                <w:color w:val="auto"/>
              </w:rPr>
              <w:t>ExxonMobil</w:t>
            </w:r>
          </w:p>
        </w:tc>
        <w:tc>
          <w:tcPr>
            <w:tcW w:w="1040" w:type="dxa"/>
            <w:vAlign w:val="bottom"/>
          </w:tcPr>
          <w:p>
            <w:pPr>
              <w:spacing w:after="0"/>
              <w:rPr>
                <w:sz w:val="15"/>
                <w:szCs w:val="15"/>
                <w:color w:val="auto"/>
              </w:rPr>
            </w:pPr>
          </w:p>
        </w:tc>
        <w:tc>
          <w:tcPr>
            <w:tcW w:w="1420" w:type="dxa"/>
            <w:vAlign w:val="bottom"/>
          </w:tcPr>
          <w:p>
            <w:pPr>
              <w:jc w:val="right"/>
              <w:ind w:right="234"/>
              <w:spacing w:after="0"/>
              <w:rPr>
                <w:sz w:val="20"/>
                <w:szCs w:val="20"/>
                <w:color w:val="auto"/>
              </w:rPr>
            </w:pPr>
            <w:r>
              <w:rPr>
                <w:rFonts w:ascii="Arial" w:cs="Arial" w:eastAsia="Arial" w:hAnsi="Arial"/>
                <w:sz w:val="14"/>
                <w:szCs w:val="14"/>
                <w:b w:val="1"/>
                <w:bCs w:val="1"/>
                <w:color w:val="auto"/>
              </w:rPr>
              <w:t>ExxonMobil</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Financial Summary</w:t>
            </w: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Share</w:t>
            </w: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Share</w:t>
            </w: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760" w:type="dxa"/>
            <w:vAlign w:val="bottom"/>
            <w:gridSpan w:val="2"/>
          </w:tcPr>
          <w:p>
            <w:pPr>
              <w:jc w:val="right"/>
              <w:ind w:right="854"/>
              <w:spacing w:after="0"/>
              <w:rPr>
                <w:sz w:val="20"/>
                <w:szCs w:val="20"/>
                <w:color w:val="auto"/>
              </w:rPr>
            </w:pPr>
            <w:r>
              <w:rPr>
                <w:rFonts w:ascii="Arial" w:cs="Arial" w:eastAsia="Arial" w:hAnsi="Arial"/>
                <w:sz w:val="14"/>
                <w:szCs w:val="14"/>
                <w:i w:val="1"/>
                <w:iCs w:val="1"/>
                <w:color w:val="auto"/>
              </w:rPr>
              <w:t>(millions of dollars)</w:t>
            </w: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3460" w:type="dxa"/>
            <w:vAlign w:val="bottom"/>
          </w:tcPr>
          <w:p>
            <w:pPr>
              <w:spacing w:after="0"/>
              <w:rPr>
                <w:sz w:val="20"/>
                <w:szCs w:val="20"/>
                <w:color w:val="auto"/>
              </w:rPr>
            </w:pPr>
            <w:r>
              <w:rPr>
                <w:rFonts w:ascii="Arial" w:cs="Arial" w:eastAsia="Arial" w:hAnsi="Arial"/>
                <w:sz w:val="18"/>
                <w:szCs w:val="18"/>
                <w:color w:val="auto"/>
              </w:rPr>
              <w:t>Total revenues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102,365</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31,240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112,938</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34,539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94,791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29,340</w:t>
            </w: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Income before income taxes</w:t>
            </w:r>
          </w:p>
        </w:tc>
        <w:tc>
          <w:tcPr>
            <w:tcW w:w="1420" w:type="dxa"/>
            <w:vAlign w:val="bottom"/>
          </w:tcPr>
          <w:p>
            <w:pPr>
              <w:jc w:val="right"/>
              <w:ind w:right="353"/>
              <w:spacing w:after="0" w:line="195" w:lineRule="exact"/>
              <w:rPr>
                <w:sz w:val="20"/>
                <w:szCs w:val="20"/>
                <w:color w:val="auto"/>
              </w:rPr>
            </w:pPr>
            <w:r>
              <w:rPr>
                <w:rFonts w:ascii="Arial" w:cs="Arial" w:eastAsia="Arial" w:hAnsi="Arial"/>
                <w:sz w:val="18"/>
                <w:szCs w:val="18"/>
                <w:color w:val="auto"/>
              </w:rPr>
              <w:t>29,424</w:t>
            </w:r>
          </w:p>
        </w:tc>
        <w:tc>
          <w:tcPr>
            <w:tcW w:w="1320" w:type="dxa"/>
            <w:vAlign w:val="bottom"/>
          </w:tcPr>
          <w:p>
            <w:pPr>
              <w:jc w:val="right"/>
              <w:ind w:right="293"/>
              <w:spacing w:after="0" w:line="195" w:lineRule="exact"/>
              <w:rPr>
                <w:sz w:val="20"/>
                <w:szCs w:val="20"/>
                <w:color w:val="auto"/>
              </w:rPr>
            </w:pPr>
            <w:r>
              <w:rPr>
                <w:rFonts w:ascii="Arial" w:cs="Arial" w:eastAsia="Arial" w:hAnsi="Arial"/>
                <w:sz w:val="18"/>
                <w:szCs w:val="18"/>
                <w:color w:val="auto"/>
              </w:rPr>
              <w:t>7,927</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37,203</w:t>
            </w:r>
          </w:p>
        </w:tc>
        <w:tc>
          <w:tcPr>
            <w:tcW w:w="1720" w:type="dxa"/>
            <w:vAlign w:val="bottom"/>
          </w:tcPr>
          <w:p>
            <w:pPr>
              <w:jc w:val="right"/>
              <w:ind w:right="294"/>
              <w:spacing w:after="0" w:line="195" w:lineRule="exact"/>
              <w:rPr>
                <w:sz w:val="20"/>
                <w:szCs w:val="20"/>
                <w:color w:val="auto"/>
              </w:rPr>
            </w:pPr>
            <w:r>
              <w:rPr>
                <w:rFonts w:ascii="Arial" w:cs="Arial" w:eastAsia="Arial" w:hAnsi="Arial"/>
                <w:sz w:val="18"/>
                <w:szCs w:val="18"/>
                <w:color w:val="auto"/>
              </w:rPr>
              <w:t>10,482</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29,748</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taxes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9,725</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2,500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3,151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8"/>
                <w:szCs w:val="18"/>
                <w:color w:val="auto"/>
              </w:rPr>
              <w:t>Income from equity affiliates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19,699</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5,427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25,635</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7,331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411"/>
        </w:trPr>
        <w:tc>
          <w:tcPr>
            <w:tcW w:w="346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jc w:val="right"/>
              <w:ind w:right="353"/>
              <w:spacing w:after="0"/>
              <w:rPr>
                <w:sz w:val="20"/>
                <w:szCs w:val="20"/>
                <w:color w:val="auto"/>
              </w:rPr>
            </w:pPr>
            <w:r>
              <w:rPr>
                <w:rFonts w:ascii="Arial" w:cs="Arial" w:eastAsia="Arial" w:hAnsi="Arial"/>
                <w:sz w:val="18"/>
                <w:szCs w:val="18"/>
                <w:color w:val="auto"/>
              </w:rPr>
              <w:t>36,035</w:t>
            </w:r>
          </w:p>
        </w:tc>
        <w:tc>
          <w:tcPr>
            <w:tcW w:w="1320" w:type="dxa"/>
            <w:vAlign w:val="bottom"/>
          </w:tcPr>
          <w:p>
            <w:pPr>
              <w:jc w:val="right"/>
              <w:ind w:right="293"/>
              <w:spacing w:after="0"/>
              <w:rPr>
                <w:sz w:val="20"/>
                <w:szCs w:val="20"/>
                <w:color w:val="auto"/>
              </w:rPr>
            </w:pPr>
            <w:r>
              <w:rPr>
                <w:rFonts w:ascii="Arial" w:cs="Arial" w:eastAsia="Arial" w:hAnsi="Arial"/>
                <w:sz w:val="18"/>
                <w:szCs w:val="18"/>
                <w:color w:val="auto"/>
              </w:rPr>
              <w:t>12,661</w:t>
            </w:r>
          </w:p>
        </w:tc>
        <w:tc>
          <w:tcPr>
            <w:tcW w:w="1040" w:type="dxa"/>
            <w:vAlign w:val="bottom"/>
          </w:tcPr>
          <w:p>
            <w:pPr>
              <w:jc w:val="right"/>
              <w:spacing w:after="0"/>
              <w:rPr>
                <w:sz w:val="20"/>
                <w:szCs w:val="20"/>
                <w:color w:val="auto"/>
              </w:rPr>
            </w:pPr>
            <w:r>
              <w:rPr>
                <w:rFonts w:ascii="Arial" w:cs="Arial" w:eastAsia="Arial" w:hAnsi="Arial"/>
                <w:sz w:val="18"/>
                <w:szCs w:val="18"/>
                <w:color w:val="auto"/>
              </w:rPr>
              <w:t>38,670</w:t>
            </w:r>
          </w:p>
        </w:tc>
        <w:tc>
          <w:tcPr>
            <w:tcW w:w="1720" w:type="dxa"/>
            <w:vAlign w:val="bottom"/>
          </w:tcPr>
          <w:p>
            <w:pPr>
              <w:jc w:val="right"/>
              <w:ind w:right="294"/>
              <w:spacing w:after="0"/>
              <w:rPr>
                <w:sz w:val="20"/>
                <w:szCs w:val="20"/>
                <w:color w:val="auto"/>
              </w:rPr>
            </w:pPr>
            <w:r>
              <w:rPr>
                <w:rFonts w:ascii="Arial" w:cs="Arial" w:eastAsia="Arial" w:hAnsi="Arial"/>
                <w:sz w:val="18"/>
                <w:szCs w:val="18"/>
                <w:color w:val="auto"/>
              </w:rPr>
              <w:t>13,394</w:t>
            </w:r>
          </w:p>
        </w:tc>
        <w:tc>
          <w:tcPr>
            <w:tcW w:w="1040" w:type="dxa"/>
            <w:vAlign w:val="bottom"/>
          </w:tcPr>
          <w:p>
            <w:pPr>
              <w:jc w:val="right"/>
              <w:spacing w:after="0"/>
              <w:rPr>
                <w:sz w:val="20"/>
                <w:szCs w:val="20"/>
                <w:color w:val="auto"/>
              </w:rPr>
            </w:pPr>
            <w:r>
              <w:rPr>
                <w:rFonts w:ascii="Arial" w:cs="Arial" w:eastAsia="Arial" w:hAnsi="Arial"/>
                <w:sz w:val="18"/>
                <w:szCs w:val="18"/>
                <w:color w:val="auto"/>
              </w:rPr>
              <w:t>35,367</w:t>
            </w:r>
          </w:p>
        </w:tc>
        <w:tc>
          <w:tcPr>
            <w:tcW w:w="1420" w:type="dxa"/>
            <w:vAlign w:val="bottom"/>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Long-term assets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143,321</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40,001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128,830</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35,970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34,931</w:t>
            </w:r>
          </w:p>
        </w:tc>
        <w:tc>
          <w:tcPr>
            <w:tcW w:w="0" w:type="dxa"/>
            <w:vAlign w:val="bottom"/>
          </w:tcPr>
          <w:p>
            <w:pPr>
              <w:spacing w:after="0"/>
              <w:rPr>
                <w:sz w:val="1"/>
                <w:szCs w:val="1"/>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179,356</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52,662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49,364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157,588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46,981</w:t>
            </w: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Current liabilities</w:t>
            </w:r>
          </w:p>
        </w:tc>
        <w:tc>
          <w:tcPr>
            <w:tcW w:w="1420" w:type="dxa"/>
            <w:vAlign w:val="bottom"/>
          </w:tcPr>
          <w:p>
            <w:pPr>
              <w:jc w:val="right"/>
              <w:ind w:right="353"/>
              <w:spacing w:after="0" w:line="195" w:lineRule="exact"/>
              <w:rPr>
                <w:sz w:val="20"/>
                <w:szCs w:val="20"/>
                <w:color w:val="auto"/>
              </w:rPr>
            </w:pPr>
            <w:r>
              <w:rPr>
                <w:rFonts w:ascii="Arial" w:cs="Arial" w:eastAsia="Arial" w:hAnsi="Arial"/>
                <w:sz w:val="18"/>
                <w:szCs w:val="18"/>
                <w:color w:val="auto"/>
              </w:rPr>
              <w:t>24,583</w:t>
            </w:r>
          </w:p>
        </w:tc>
        <w:tc>
          <w:tcPr>
            <w:tcW w:w="1320" w:type="dxa"/>
            <w:vAlign w:val="bottom"/>
          </w:tcPr>
          <w:p>
            <w:pPr>
              <w:jc w:val="right"/>
              <w:ind w:right="293"/>
              <w:spacing w:after="0" w:line="195" w:lineRule="exact"/>
              <w:rPr>
                <w:sz w:val="20"/>
                <w:szCs w:val="20"/>
                <w:color w:val="auto"/>
              </w:rPr>
            </w:pPr>
            <w:r>
              <w:rPr>
                <w:rFonts w:ascii="Arial" w:cs="Arial" w:eastAsia="Arial" w:hAnsi="Arial"/>
                <w:sz w:val="18"/>
                <w:szCs w:val="18"/>
                <w:color w:val="auto"/>
              </w:rPr>
              <w:t>6,939</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27,324</w:t>
            </w:r>
          </w:p>
        </w:tc>
        <w:tc>
          <w:tcPr>
            <w:tcW w:w="1720" w:type="dxa"/>
            <w:vAlign w:val="bottom"/>
          </w:tcPr>
          <w:p>
            <w:pPr>
              <w:jc w:val="right"/>
              <w:ind w:right="294"/>
              <w:spacing w:after="0" w:line="195" w:lineRule="exact"/>
              <w:rPr>
                <w:sz w:val="20"/>
                <w:szCs w:val="20"/>
                <w:color w:val="auto"/>
              </w:rPr>
            </w:pPr>
            <w:r>
              <w:rPr>
                <w:rFonts w:ascii="Arial" w:cs="Arial" w:eastAsia="Arial" w:hAnsi="Arial"/>
                <w:sz w:val="18"/>
                <w:szCs w:val="18"/>
                <w:color w:val="auto"/>
              </w:rPr>
              <w:t>7,606</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21,725</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Long-term liabilities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61,022</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18,158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56,913</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17,109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8"/>
                <w:szCs w:val="18"/>
                <w:color w:val="auto"/>
              </w:rPr>
              <w:t>Net assets</w:t>
            </w: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93,751</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27,565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83,263</w:t>
            </w: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24,649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r>
        <w:trPr>
          <w:trHeight w:val="520"/>
        </w:trPr>
        <w:tc>
          <w:tcPr>
            <w:tcW w:w="3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313"/>
              <w:spacing w:after="0"/>
              <w:rPr>
                <w:sz w:val="20"/>
                <w:szCs w:val="20"/>
                <w:color w:val="auto"/>
              </w:rPr>
            </w:pPr>
            <w:r>
              <w:rPr>
                <w:rFonts w:ascii="Arial" w:cs="Arial" w:eastAsia="Arial" w:hAnsi="Arial"/>
                <w:sz w:val="18"/>
                <w:szCs w:val="18"/>
                <w:color w:val="auto"/>
              </w:rPr>
              <w:t>79</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list of significant equity companies as of December 31, 2019, together with the Corporation’s percentage ownership interest, is detailed below:</w:t>
      </w:r>
    </w:p>
    <w:p>
      <w:pPr>
        <w:spacing w:after="0" w:line="132" w:lineRule="exact"/>
        <w:rPr>
          <w:sz w:val="20"/>
          <w:szCs w:val="20"/>
          <w:color w:val="auto"/>
        </w:rPr>
      </w:pPr>
    </w:p>
    <w:tbl>
      <w:tblPr>
        <w:tblLayout w:type="fixed"/>
        <w:tblInd w:w="196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80" w:type="dxa"/>
            <w:vAlign w:val="bottom"/>
          </w:tcPr>
          <w:p>
            <w:pPr>
              <w:jc w:val="center"/>
              <w:ind w:left="8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2080" w:type="dxa"/>
            <w:vAlign w:val="bottom"/>
          </w:tcPr>
          <w:p>
            <w:pPr>
              <w:jc w:val="center"/>
              <w:ind w:left="84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left="8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Upstream</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Aera Energy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48</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Barzan Gas Company Limited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BEB Erdgas und Erdoel GmbH &amp; Co. KG</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Cameroon Oil Transportation Company S.A.</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Caspian Pipeline Consortium - Kazakhstan</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Coral FLNG, S.A.</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Cross Timbers Energy,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Golden Pass Pipeline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Golden Pass LNG Terminal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Marine Well Containment Company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Mozambique Rovuma Venture, S.p.A.</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Nederlandse Aardolie Maatschappij B.V.</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Papua New Guinea Liquefied Natural Gas Global Company LDC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Permian Highway Pipeline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Qatar Liquefied Gas Company Limited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Qatar Liquefied Gas Company Limited (2)</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 (II)</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 (3)</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South Hook LNG Terminal Company Limited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Tengizchevroil, LLP</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rPr>
              <w:t>Terminale GNL Adriatico S.r.l.</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425"/>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Downstream</w:t>
            </w:r>
          </w:p>
        </w:tc>
        <w:tc>
          <w:tcPr>
            <w:tcW w:w="2080" w:type="dxa"/>
            <w:vAlign w:val="bottom"/>
            <w:vMerge w:val="restart"/>
          </w:tcPr>
          <w:p>
            <w:pPr>
              <w:jc w:val="center"/>
              <w:ind w:left="840"/>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rPr>
              <w:t>Alberta Products Pipe Line Ltd.</w:t>
            </w: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Fujian Refining &amp; Petrochemical Co. Ltd.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Permian Express Partners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rPr>
              <w:t>Saudi Aramco Mobil Refinery Company Ltd.</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42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Chemical</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Al-Jubail Petrochemical Company</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Gulf Coast Growth Ventures LLC</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Infineum Italia s.r.l.</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rPr>
                <w:sz w:val="20"/>
                <w:szCs w:val="20"/>
                <w:color w:val="auto"/>
              </w:rPr>
            </w:pPr>
            <w:r>
              <w:rPr>
                <w:rFonts w:ascii="Arial" w:cs="Arial" w:eastAsia="Arial" w:hAnsi="Arial"/>
                <w:sz w:val="16"/>
                <w:szCs w:val="16"/>
                <w:color w:val="auto"/>
              </w:rPr>
              <w:t>Infineum Singapore LLP</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rPr>
                <w:sz w:val="20"/>
                <w:szCs w:val="20"/>
                <w:color w:val="auto"/>
              </w:rPr>
            </w:pPr>
            <w:r>
              <w:rPr>
                <w:rFonts w:ascii="Arial" w:cs="Arial" w:eastAsia="Arial" w:hAnsi="Arial"/>
                <w:sz w:val="16"/>
                <w:szCs w:val="16"/>
                <w:color w:val="auto"/>
              </w:rPr>
              <w:t>Saudi Yanbu Petrochemical Co.</w:t>
            </w:r>
          </w:p>
        </w:tc>
        <w:tc>
          <w:tcPr>
            <w:tcW w:w="2080" w:type="dxa"/>
            <w:vAlign w:val="bottom"/>
          </w:tcPr>
          <w:p>
            <w:pPr>
              <w:jc w:val="center"/>
              <w:ind w:left="840"/>
              <w:spacing w:after="0"/>
              <w:rPr>
                <w:sz w:val="20"/>
                <w:szCs w:val="20"/>
                <w:color w:val="auto"/>
              </w:rPr>
            </w:pP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60"/>
          </w:cols>
          <w:pgMar w:left="240" w:top="121" w:right="11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Advances and Long-Term Receivables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tcPr>
          <w:p>
            <w:pPr>
              <w:jc w:val="right"/>
              <w:ind w:right="556"/>
              <w:spacing w:after="0"/>
              <w:rPr>
                <w:sz w:val="20"/>
                <w:szCs w:val="20"/>
                <w:color w:val="auto"/>
              </w:rPr>
            </w:pPr>
            <w:r>
              <w:rPr>
                <w:rFonts w:ascii="Arial" w:cs="Arial" w:eastAsia="Arial" w:hAnsi="Arial"/>
                <w:sz w:val="14"/>
                <w:szCs w:val="14"/>
                <w:b w:val="1"/>
                <w:bCs w:val="1"/>
                <w:color w:val="auto"/>
              </w:rPr>
              <w:t>Dec. 31,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160" w:type="dxa"/>
            <w:vAlign w:val="bottom"/>
          </w:tcPr>
          <w:p>
            <w:pPr>
              <w:jc w:val="center"/>
              <w:ind w:left="1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
        </w:trPr>
        <w:tc>
          <w:tcPr>
            <w:tcW w:w="5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60" w:type="dxa"/>
            <w:vAlign w:val="bottom"/>
            <w:gridSpan w:val="2"/>
          </w:tcPr>
          <w:p>
            <w:pPr>
              <w:jc w:val="right"/>
              <w:ind w:right="614"/>
              <w:spacing w:after="0"/>
              <w:rPr>
                <w:sz w:val="20"/>
                <w:szCs w:val="20"/>
                <w:color w:val="auto"/>
              </w:rPr>
            </w:pPr>
            <w:r>
              <w:rPr>
                <w:rFonts w:ascii="Arial" w:cs="Arial" w:eastAsia="Arial" w:hAnsi="Arial"/>
                <w:sz w:val="14"/>
                <w:szCs w:val="14"/>
                <w:i w:val="1"/>
                <w:iCs w:val="1"/>
                <w:color w:val="auto"/>
              </w:rPr>
              <w:t>(millions of dollars)</w:t>
            </w:r>
          </w:p>
        </w:tc>
        <w:tc>
          <w:tcPr>
            <w:tcW w:w="0" w:type="dxa"/>
            <w:vAlign w:val="bottom"/>
          </w:tcPr>
          <w:p>
            <w:pPr>
              <w:spacing w:after="0"/>
              <w:rPr>
                <w:sz w:val="1"/>
                <w:szCs w:val="1"/>
                <w:color w:val="auto"/>
              </w:rPr>
            </w:pPr>
          </w:p>
        </w:tc>
      </w:tr>
      <w:tr>
        <w:trPr>
          <w:trHeight w:val="227"/>
        </w:trPr>
        <w:tc>
          <w:tcPr>
            <w:tcW w:w="5960" w:type="dxa"/>
            <w:vAlign w:val="bottom"/>
          </w:tcPr>
          <w:p>
            <w:pPr>
              <w:ind w:left="40"/>
              <w:spacing w:after="0"/>
              <w:rPr>
                <w:sz w:val="20"/>
                <w:szCs w:val="20"/>
                <w:color w:val="auto"/>
              </w:rPr>
            </w:pPr>
            <w:r>
              <w:rPr>
                <w:rFonts w:ascii="Arial" w:cs="Arial" w:eastAsia="Arial" w:hAnsi="Arial"/>
                <w:sz w:val="18"/>
                <w:szCs w:val="18"/>
                <w:color w:val="auto"/>
              </w:rPr>
              <w:t>Equity method company investments and advances</w:t>
            </w:r>
          </w:p>
        </w:tc>
        <w:tc>
          <w:tcPr>
            <w:tcW w:w="1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29,291</w:t>
            </w:r>
          </w:p>
        </w:tc>
        <w:tc>
          <w:tcPr>
            <w:tcW w:w="1160" w:type="dxa"/>
            <w:vAlign w:val="bottom"/>
          </w:tcPr>
          <w:p>
            <w:pPr>
              <w:jc w:val="right"/>
              <w:spacing w:after="0"/>
              <w:rPr>
                <w:sz w:val="20"/>
                <w:szCs w:val="20"/>
                <w:color w:val="auto"/>
              </w:rPr>
            </w:pPr>
            <w:r>
              <w:rPr>
                <w:rFonts w:ascii="Arial" w:cs="Arial" w:eastAsia="Arial" w:hAnsi="Arial"/>
                <w:sz w:val="18"/>
                <w:szCs w:val="18"/>
                <w:color w:val="auto"/>
              </w:rPr>
              <w:t>26,382</w:t>
            </w:r>
          </w:p>
        </w:tc>
        <w:tc>
          <w:tcPr>
            <w:tcW w:w="0" w:type="dxa"/>
            <w:vAlign w:val="bottom"/>
          </w:tcPr>
          <w:p>
            <w:pPr>
              <w:spacing w:after="0"/>
              <w:rPr>
                <w:sz w:val="1"/>
                <w:szCs w:val="1"/>
                <w:color w:val="auto"/>
              </w:rPr>
            </w:pPr>
          </w:p>
        </w:tc>
      </w:tr>
      <w:tr>
        <w:trPr>
          <w:trHeight w:val="230"/>
        </w:trPr>
        <w:tc>
          <w:tcPr>
            <w:tcW w:w="5960" w:type="dxa"/>
            <w:vAlign w:val="bottom"/>
          </w:tcPr>
          <w:p>
            <w:pPr>
              <w:ind w:left="160"/>
              <w:spacing w:after="0"/>
              <w:rPr>
                <w:sz w:val="20"/>
                <w:szCs w:val="20"/>
                <w:color w:val="auto"/>
              </w:rPr>
            </w:pPr>
            <w:r>
              <w:rPr>
                <w:rFonts w:ascii="Arial" w:cs="Arial" w:eastAsia="Arial" w:hAnsi="Arial"/>
                <w:sz w:val="18"/>
                <w:szCs w:val="18"/>
                <w:color w:val="auto"/>
              </w:rPr>
              <w:t>Advances</w:t>
            </w:r>
          </w:p>
        </w:tc>
        <w:tc>
          <w:tcPr>
            <w:tcW w:w="1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8,542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195"/>
        </w:trPr>
        <w:tc>
          <w:tcPr>
            <w:tcW w:w="5960" w:type="dxa"/>
            <w:vAlign w:val="bottom"/>
          </w:tcPr>
          <w:p>
            <w:pPr>
              <w:ind w:left="260"/>
              <w:spacing w:after="0" w:line="195" w:lineRule="exact"/>
              <w:rPr>
                <w:sz w:val="20"/>
                <w:szCs w:val="20"/>
                <w:color w:val="auto"/>
              </w:rPr>
            </w:pPr>
            <w:r>
              <w:rPr>
                <w:rFonts w:ascii="Arial" w:cs="Arial" w:eastAsia="Arial" w:hAnsi="Arial"/>
                <w:sz w:val="18"/>
                <w:szCs w:val="18"/>
                <w:color w:val="auto"/>
              </w:rPr>
              <w:t>Total equity method company investments and advances</w:t>
            </w:r>
          </w:p>
        </w:tc>
        <w:tc>
          <w:tcPr>
            <w:tcW w:w="1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tcPr>
          <w:p>
            <w:pPr>
              <w:jc w:val="right"/>
              <w:ind w:right="356"/>
              <w:spacing w:after="0" w:line="195" w:lineRule="exact"/>
              <w:rPr>
                <w:sz w:val="20"/>
                <w:szCs w:val="20"/>
                <w:color w:val="auto"/>
              </w:rPr>
            </w:pPr>
            <w:r>
              <w:rPr>
                <w:rFonts w:ascii="Arial" w:cs="Arial" w:eastAsia="Arial" w:hAnsi="Arial"/>
                <w:sz w:val="18"/>
                <w:szCs w:val="18"/>
                <w:color w:val="auto"/>
              </w:rPr>
              <w:t>37,833</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34,990</w:t>
            </w: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w w:val="90"/>
              </w:rPr>
              <w:t>Equity securities carried at fair value and other investments at adjusted cost basis</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190</w:t>
            </w: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7820" w:type="dxa"/>
            <w:vAlign w:val="bottom"/>
            <w:gridSpan w:val="2"/>
          </w:tcPr>
          <w:p>
            <w:pPr>
              <w:ind w:left="40"/>
              <w:spacing w:after="0"/>
              <w:rPr>
                <w:sz w:val="20"/>
                <w:szCs w:val="20"/>
                <w:color w:val="auto"/>
              </w:rPr>
            </w:pPr>
            <w:r>
              <w:rPr>
                <w:rFonts w:ascii="Arial" w:cs="Arial" w:eastAsia="Arial" w:hAnsi="Arial"/>
                <w:sz w:val="18"/>
                <w:szCs w:val="18"/>
                <w:color w:val="auto"/>
              </w:rPr>
              <w:t>Long-term receivables and miscellaneous, net of reserves of $5,643 million and $5,471 million</w:t>
            </w:r>
          </w:p>
        </w:tc>
        <w:tc>
          <w:tcPr>
            <w:tcW w:w="1040" w:type="dxa"/>
            <w:vAlign w:val="bottom"/>
          </w:tcPr>
          <w:p>
            <w:pPr>
              <w:spacing w:after="0"/>
              <w:rPr>
                <w:sz w:val="20"/>
                <w:szCs w:val="20"/>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5,141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0"/>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43,164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40,790</w:t>
            </w:r>
          </w:p>
        </w:tc>
        <w:tc>
          <w:tcPr>
            <w:tcW w:w="0" w:type="dxa"/>
            <w:vAlign w:val="bottom"/>
          </w:tcPr>
          <w:p>
            <w:pPr>
              <w:spacing w:after="0"/>
              <w:rPr>
                <w:sz w:val="1"/>
                <w:szCs w:val="1"/>
                <w:color w:val="auto"/>
              </w:rPr>
            </w:pPr>
          </w:p>
        </w:tc>
      </w:tr>
      <w:tr>
        <w:trPr>
          <w:trHeight w:val="642"/>
        </w:trPr>
        <w:tc>
          <w:tcPr>
            <w:tcW w:w="5960" w:type="dxa"/>
            <w:vAlign w:val="bottom"/>
          </w:tcPr>
          <w:p>
            <w:pPr>
              <w:spacing w:after="0"/>
              <w:rPr>
                <w:sz w:val="20"/>
                <w:szCs w:val="20"/>
                <w:color w:val="auto"/>
              </w:rPr>
            </w:pPr>
            <w:r>
              <w:rPr>
                <w:rFonts w:ascii="Arial" w:cs="Arial" w:eastAsia="Arial" w:hAnsi="Arial"/>
                <w:sz w:val="18"/>
                <w:szCs w:val="18"/>
                <w:b w:val="1"/>
                <w:bCs w:val="1"/>
                <w:color w:val="auto"/>
              </w:rPr>
              <w:t>9. Property, Plant and Equipment and Asset Retirement Obligations</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59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40" w:type="dxa"/>
            <w:vAlign w:val="bottom"/>
          </w:tcPr>
          <w:p>
            <w:pPr>
              <w:spacing w:after="0"/>
              <w:rPr>
                <w:sz w:val="24"/>
                <w:szCs w:val="24"/>
                <w:color w:val="auto"/>
              </w:rPr>
            </w:pPr>
          </w:p>
        </w:tc>
        <w:tc>
          <w:tcPr>
            <w:tcW w:w="2560" w:type="dxa"/>
            <w:vAlign w:val="bottom"/>
            <w:gridSpan w:val="2"/>
          </w:tcPr>
          <w:p>
            <w:pPr>
              <w:jc w:val="right"/>
              <w:ind w:right="57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w:t>
            </w:r>
          </w:p>
        </w:tc>
        <w:tc>
          <w:tcPr>
            <w:tcW w:w="1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jc w:val="right"/>
              <w:ind w:right="1115"/>
              <w:spacing w:after="0"/>
              <w:rPr>
                <w:sz w:val="20"/>
                <w:szCs w:val="20"/>
                <w:color w:val="auto"/>
              </w:rPr>
            </w:pPr>
            <w:r>
              <w:rPr>
                <w:rFonts w:ascii="Arial" w:cs="Arial" w:eastAsia="Arial" w:hAnsi="Arial"/>
                <w:sz w:val="14"/>
                <w:szCs w:val="14"/>
                <w:b w:val="1"/>
                <w:bCs w:val="1"/>
                <w:color w:val="auto"/>
              </w:rPr>
              <w:t>Cost</w:t>
            </w:r>
          </w:p>
        </w:tc>
        <w:tc>
          <w:tcPr>
            <w:tcW w:w="10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Net</w:t>
            </w: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Cost</w:t>
            </w:r>
          </w:p>
        </w:tc>
        <w:tc>
          <w:tcPr>
            <w:tcW w:w="116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4"/>
        </w:trPr>
        <w:tc>
          <w:tcPr>
            <w:tcW w:w="5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40" w:type="dxa"/>
            <w:vAlign w:val="bottom"/>
            <w:gridSpan w:val="2"/>
          </w:tcPr>
          <w:p>
            <w:pPr>
              <w:jc w:val="right"/>
              <w:ind w:right="916"/>
              <w:spacing w:after="0"/>
              <w:rPr>
                <w:sz w:val="20"/>
                <w:szCs w:val="20"/>
                <w:color w:val="auto"/>
              </w:rPr>
            </w:pPr>
            <w:r>
              <w:rPr>
                <w:rFonts w:ascii="Arial" w:cs="Arial" w:eastAsia="Arial" w:hAnsi="Arial"/>
                <w:sz w:val="14"/>
                <w:szCs w:val="14"/>
                <w:i w:val="1"/>
                <w:iCs w:val="1"/>
                <w:color w:val="auto"/>
              </w:rPr>
              <w:t>(millions of dollars)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3"/>
        </w:trPr>
        <w:tc>
          <w:tcPr>
            <w:tcW w:w="5960" w:type="dxa"/>
            <w:vAlign w:val="bottom"/>
          </w:tcPr>
          <w:p>
            <w:pPr>
              <w:spacing w:after="0"/>
              <w:rPr>
                <w:sz w:val="20"/>
                <w:szCs w:val="20"/>
                <w:color w:val="auto"/>
              </w:rPr>
            </w:pPr>
            <w:r>
              <w:rPr>
                <w:rFonts w:ascii="Arial" w:cs="Arial" w:eastAsia="Arial" w:hAnsi="Arial"/>
                <w:sz w:val="18"/>
                <w:szCs w:val="18"/>
                <w:color w:val="auto"/>
              </w:rPr>
              <w:t>Upstream</w:t>
            </w:r>
          </w:p>
        </w:tc>
        <w:tc>
          <w:tcPr>
            <w:tcW w:w="1860" w:type="dxa"/>
            <w:vAlign w:val="bottom"/>
          </w:tcPr>
          <w:p>
            <w:pPr>
              <w:jc w:val="right"/>
              <w:ind w:right="795"/>
              <w:spacing w:after="0"/>
              <w:rPr>
                <w:sz w:val="20"/>
                <w:szCs w:val="20"/>
                <w:color w:val="auto"/>
              </w:rPr>
            </w:pPr>
            <w:r>
              <w:rPr>
                <w:rFonts w:ascii="Arial" w:cs="Arial" w:eastAsia="Arial" w:hAnsi="Arial"/>
                <w:sz w:val="18"/>
                <w:szCs w:val="18"/>
                <w:color w:val="auto"/>
              </w:rPr>
              <w:t>376,041</w:t>
            </w:r>
          </w:p>
        </w:tc>
        <w:tc>
          <w:tcPr>
            <w:tcW w:w="1040" w:type="dxa"/>
            <w:vAlign w:val="bottom"/>
          </w:tcPr>
          <w:p>
            <w:pPr>
              <w:jc w:val="right"/>
              <w:ind w:right="355"/>
              <w:spacing w:after="0"/>
              <w:rPr>
                <w:sz w:val="20"/>
                <w:szCs w:val="20"/>
                <w:color w:val="auto"/>
              </w:rPr>
            </w:pPr>
            <w:r>
              <w:rPr>
                <w:rFonts w:ascii="Arial" w:cs="Arial" w:eastAsia="Arial" w:hAnsi="Arial"/>
                <w:sz w:val="18"/>
                <w:szCs w:val="18"/>
                <w:color w:val="auto"/>
                <w:w w:val="89"/>
              </w:rPr>
              <w:t>196,767</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372,791</w:t>
            </w:r>
          </w:p>
        </w:tc>
        <w:tc>
          <w:tcPr>
            <w:tcW w:w="1160" w:type="dxa"/>
            <w:vAlign w:val="bottom"/>
          </w:tcPr>
          <w:p>
            <w:pPr>
              <w:jc w:val="right"/>
              <w:spacing w:after="0"/>
              <w:rPr>
                <w:sz w:val="20"/>
                <w:szCs w:val="20"/>
                <w:color w:val="auto"/>
              </w:rPr>
            </w:pPr>
            <w:r>
              <w:rPr>
                <w:rFonts w:ascii="Arial" w:cs="Arial" w:eastAsia="Arial" w:hAnsi="Arial"/>
                <w:sz w:val="18"/>
                <w:szCs w:val="18"/>
                <w:color w:val="auto"/>
              </w:rPr>
              <w:t>194,662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Downstream</w:t>
            </w:r>
          </w:p>
        </w:tc>
        <w:tc>
          <w:tcPr>
            <w:tcW w:w="1860" w:type="dxa"/>
            <w:vAlign w:val="bottom"/>
          </w:tcPr>
          <w:p>
            <w:pPr>
              <w:jc w:val="right"/>
              <w:ind w:right="795"/>
              <w:spacing w:after="0"/>
              <w:rPr>
                <w:sz w:val="20"/>
                <w:szCs w:val="20"/>
                <w:color w:val="auto"/>
              </w:rPr>
            </w:pPr>
            <w:r>
              <w:rPr>
                <w:rFonts w:ascii="Arial" w:cs="Arial" w:eastAsia="Arial" w:hAnsi="Arial"/>
                <w:sz w:val="18"/>
                <w:szCs w:val="18"/>
                <w:color w:val="auto"/>
              </w:rPr>
              <w:t>52,527</w:t>
            </w: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24,506</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48,241</w:t>
            </w:r>
          </w:p>
        </w:tc>
        <w:tc>
          <w:tcPr>
            <w:tcW w:w="1160" w:type="dxa"/>
            <w:vAlign w:val="bottom"/>
          </w:tcPr>
          <w:p>
            <w:pPr>
              <w:jc w:val="right"/>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Chemical</w:t>
            </w:r>
          </w:p>
        </w:tc>
        <w:tc>
          <w:tcPr>
            <w:tcW w:w="1860" w:type="dxa"/>
            <w:vAlign w:val="bottom"/>
          </w:tcPr>
          <w:p>
            <w:pPr>
              <w:jc w:val="right"/>
              <w:ind w:right="795"/>
              <w:spacing w:after="0"/>
              <w:rPr>
                <w:sz w:val="20"/>
                <w:szCs w:val="20"/>
                <w:color w:val="auto"/>
              </w:rPr>
            </w:pPr>
            <w:r>
              <w:rPr>
                <w:rFonts w:ascii="Arial" w:cs="Arial" w:eastAsia="Arial" w:hAnsi="Arial"/>
                <w:sz w:val="18"/>
                <w:szCs w:val="18"/>
                <w:color w:val="auto"/>
              </w:rPr>
              <w:t>40,788</w:t>
            </w: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21,260</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39,008</w:t>
            </w:r>
          </w:p>
        </w:tc>
        <w:tc>
          <w:tcPr>
            <w:tcW w:w="1160" w:type="dxa"/>
            <w:vAlign w:val="bottom"/>
          </w:tcPr>
          <w:p>
            <w:pPr>
              <w:jc w:val="right"/>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rPr>
              <w:t>17,346</w:t>
            </w: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10,485</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17,150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10"/>
        </w:trPr>
        <w:tc>
          <w:tcPr>
            <w:tcW w:w="5960" w:type="dxa"/>
            <w:vAlign w:val="bottom"/>
          </w:tcPr>
          <w:p>
            <w:pPr>
              <w:ind w:left="1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rPr>
              <w:t>486,702</w:t>
            </w: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w w:val="89"/>
              </w:rPr>
              <w:t>253,018</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477,190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has a robust process to monitor for indicators of potential impairment across its asset groups throughout the year. This process is aligned with the requirements of ASC 360 and relies in part on the Corporation’s planning and budgeting cycle. In 2019, 2018 and 2017, the before-tax impairment charges were $0.1 billion, $0.7 billion and $2.0 billion, respectively.</w:t>
      </w:r>
    </w:p>
    <w:p>
      <w:pPr>
        <w:spacing w:after="0" w:line="4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Accumulated depreciation and depletion totaled $233,684 million at the end of 2019 and $230,089 million at the end of 2018. Interest capitalized in 2019, 2018 and 2017 was $731 million, $652 million and $749 million,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incurred in the current period were Level 3 fair value measurements. The costs associated with these liabilities are capitalized as part of the related assets and depreciated as the reserves are produced. Over time, the liabilities are accreted for the change in their present value.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retirement obligations for downstream and chemical facilities generally become firm at the time the facilities are permanently shut down and dismantled. These obligations may include the costs of asset disposal and additional soil remediation. However, these sites have indeterminate lives based on plans for continued operations and as such, the fair value of the conditional legal obligations cannot be measured, since it is impossible to estimate the future settlement dates of such obligations.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liability for asset retirement obligations: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r>
        <w:trPr>
          <w:trHeight w:val="26"/>
        </w:trPr>
        <w:tc>
          <w:tcPr>
            <w:tcW w:w="9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25"/>
        </w:trPr>
        <w:tc>
          <w:tcPr>
            <w:tcW w:w="9320" w:type="dxa"/>
            <w:vAlign w:val="bottom"/>
          </w:tcPr>
          <w:p>
            <w:pPr>
              <w:spacing w:after="0"/>
              <w:rPr>
                <w:sz w:val="19"/>
                <w:szCs w:val="19"/>
                <w:color w:val="auto"/>
              </w:rPr>
            </w:pPr>
          </w:p>
        </w:tc>
        <w:tc>
          <w:tcPr>
            <w:tcW w:w="2100" w:type="dxa"/>
            <w:vAlign w:val="bottom"/>
            <w:gridSpan w:val="2"/>
          </w:tcPr>
          <w:p>
            <w:pPr>
              <w:jc w:val="right"/>
              <w:ind w:right="392"/>
              <w:spacing w:after="0"/>
              <w:rPr>
                <w:sz w:val="20"/>
                <w:szCs w:val="20"/>
                <w:color w:val="auto"/>
              </w:rPr>
            </w:pPr>
            <w:r>
              <w:rPr>
                <w:rFonts w:ascii="Arial" w:cs="Arial" w:eastAsia="Arial" w:hAnsi="Arial"/>
                <w:sz w:val="14"/>
                <w:szCs w:val="14"/>
                <w:i w:val="1"/>
                <w:iCs w:val="1"/>
                <w:color w:val="auto"/>
              </w:rPr>
              <w:t>(millions of dollars)</w:t>
            </w:r>
          </w:p>
        </w:tc>
      </w:tr>
      <w:tr>
        <w:trPr>
          <w:trHeight w:val="403"/>
        </w:trPr>
        <w:tc>
          <w:tcPr>
            <w:tcW w:w="9320" w:type="dxa"/>
            <w:vAlign w:val="bottom"/>
          </w:tcPr>
          <w:p>
            <w:pPr>
              <w:spacing w:after="0"/>
              <w:rPr>
                <w:sz w:val="20"/>
                <w:szCs w:val="20"/>
                <w:color w:val="auto"/>
              </w:rPr>
            </w:pPr>
            <w:r>
              <w:rPr>
                <w:rFonts w:ascii="Arial" w:cs="Arial" w:eastAsia="Arial" w:hAnsi="Arial"/>
                <w:sz w:val="18"/>
                <w:szCs w:val="18"/>
                <w:color w:val="auto"/>
              </w:rPr>
              <w:t>Beginning balance</w:t>
            </w: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12,103</w:t>
            </w:r>
          </w:p>
        </w:tc>
        <w:tc>
          <w:tcPr>
            <w:tcW w:w="980" w:type="dxa"/>
            <w:vAlign w:val="bottom"/>
          </w:tcPr>
          <w:p>
            <w:pPr>
              <w:jc w:val="right"/>
              <w:spacing w:after="0"/>
              <w:rPr>
                <w:sz w:val="20"/>
                <w:szCs w:val="20"/>
                <w:color w:val="auto"/>
              </w:rPr>
            </w:pPr>
            <w:r>
              <w:rPr>
                <w:rFonts w:ascii="Arial" w:cs="Arial" w:eastAsia="Arial" w:hAnsi="Arial"/>
                <w:sz w:val="18"/>
                <w:szCs w:val="18"/>
                <w:color w:val="auto"/>
              </w:rPr>
              <w:t>12,705</w:t>
            </w:r>
          </w:p>
        </w:tc>
      </w:tr>
      <w:tr>
        <w:trPr>
          <w:trHeight w:val="216"/>
        </w:trPr>
        <w:tc>
          <w:tcPr>
            <w:tcW w:w="9320" w:type="dxa"/>
            <w:vAlign w:val="bottom"/>
          </w:tcPr>
          <w:p>
            <w:pPr>
              <w:ind w:left="120"/>
              <w:spacing w:after="0"/>
              <w:rPr>
                <w:sz w:val="20"/>
                <w:szCs w:val="20"/>
                <w:color w:val="auto"/>
              </w:rPr>
            </w:pPr>
            <w:r>
              <w:rPr>
                <w:rFonts w:ascii="Arial" w:cs="Arial" w:eastAsia="Arial" w:hAnsi="Arial"/>
                <w:sz w:val="18"/>
                <w:szCs w:val="18"/>
                <w:color w:val="auto"/>
              </w:rPr>
              <w:t>Accretion expense and other provisions</w:t>
            </w: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649</w:t>
            </w:r>
          </w:p>
        </w:tc>
        <w:tc>
          <w:tcPr>
            <w:tcW w:w="98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16"/>
        </w:trPr>
        <w:tc>
          <w:tcPr>
            <w:tcW w:w="9320" w:type="dxa"/>
            <w:vAlign w:val="bottom"/>
          </w:tcPr>
          <w:p>
            <w:pPr>
              <w:ind w:left="120"/>
              <w:spacing w:after="0"/>
              <w:rPr>
                <w:sz w:val="20"/>
                <w:szCs w:val="20"/>
                <w:color w:val="auto"/>
              </w:rPr>
            </w:pPr>
            <w:r>
              <w:rPr>
                <w:rFonts w:ascii="Arial" w:cs="Arial" w:eastAsia="Arial" w:hAnsi="Arial"/>
                <w:sz w:val="18"/>
                <w:szCs w:val="18"/>
                <w:color w:val="auto"/>
              </w:rPr>
              <w:t>Reduction due to property sales</w:t>
            </w: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(1,085)</w:t>
            </w: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9320" w:type="dxa"/>
            <w:vAlign w:val="bottom"/>
          </w:tcPr>
          <w:p>
            <w:pPr>
              <w:ind w:left="120"/>
              <w:spacing w:after="0"/>
              <w:rPr>
                <w:sz w:val="20"/>
                <w:szCs w:val="20"/>
                <w:color w:val="auto"/>
              </w:rPr>
            </w:pPr>
            <w:r>
              <w:rPr>
                <w:rFonts w:ascii="Arial" w:cs="Arial" w:eastAsia="Arial" w:hAnsi="Arial"/>
                <w:sz w:val="18"/>
                <w:szCs w:val="18"/>
                <w:color w:val="auto"/>
              </w:rPr>
              <w:t>Payments made</w:t>
            </w: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(827)</w:t>
            </w: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9320" w:type="dxa"/>
            <w:vAlign w:val="bottom"/>
          </w:tcPr>
          <w:p>
            <w:pPr>
              <w:ind w:left="120"/>
              <w:spacing w:after="0"/>
              <w:rPr>
                <w:sz w:val="20"/>
                <w:szCs w:val="20"/>
                <w:color w:val="auto"/>
              </w:rPr>
            </w:pPr>
            <w:r>
              <w:rPr>
                <w:rFonts w:ascii="Arial" w:cs="Arial" w:eastAsia="Arial" w:hAnsi="Arial"/>
                <w:sz w:val="18"/>
                <w:szCs w:val="18"/>
                <w:color w:val="auto"/>
              </w:rPr>
              <w:t>Liabilities incurred</w:t>
            </w: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89</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32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ind w:right="394"/>
              <w:spacing w:after="0"/>
              <w:rPr>
                <w:sz w:val="20"/>
                <w:szCs w:val="20"/>
                <w:color w:val="auto"/>
              </w:rPr>
            </w:pPr>
            <w:r>
              <w:rPr>
                <w:rFonts w:ascii="Arial" w:cs="Arial" w:eastAsia="Arial" w:hAnsi="Arial"/>
                <w:sz w:val="18"/>
                <w:szCs w:val="18"/>
                <w:color w:val="auto"/>
              </w:rPr>
              <w:t>84</w:t>
            </w:r>
          </w:p>
        </w:tc>
        <w:tc>
          <w:tcPr>
            <w:tcW w:w="9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932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267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9320" w:type="dxa"/>
            <w:vAlign w:val="bottom"/>
          </w:tcPr>
          <w:p>
            <w:pPr>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11,280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long-term Asset Retirement Obligations were $10,279 million and $11,185 million at December 31, 2019, and 2018, respectively, and are included in “Other long-term obligations.”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Accounting for Suspended Exploratory Well Costs</w:t>
      </w:r>
    </w:p>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The term “project” as used in this report can refer to a variety of different activities and does not necessarily have the same meaning as in any government payment transparency reports.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two tables provide details of the changes in the balance of suspended exploratory well costs as well as an aging summary of those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Change in capitalized suspended exploratory well costs: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7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r>
        <w:trPr>
          <w:trHeight w:val="26"/>
        </w:trPr>
        <w:tc>
          <w:tcPr>
            <w:tcW w:w="7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7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r>
      <w:tr>
        <w:trPr>
          <w:trHeight w:val="443"/>
        </w:trPr>
        <w:tc>
          <w:tcPr>
            <w:tcW w:w="7900" w:type="dxa"/>
            <w:vAlign w:val="bottom"/>
          </w:tcPr>
          <w:p>
            <w:pPr>
              <w:spacing w:after="0"/>
              <w:rPr>
                <w:sz w:val="20"/>
                <w:szCs w:val="20"/>
                <w:color w:val="auto"/>
              </w:rPr>
            </w:pPr>
            <w:r>
              <w:rPr>
                <w:rFonts w:ascii="Arial" w:cs="Arial" w:eastAsia="Arial" w:hAnsi="Arial"/>
                <w:sz w:val="18"/>
                <w:szCs w:val="18"/>
                <w:color w:val="auto"/>
              </w:rPr>
              <w:t>Balance beginning at January 1</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4,160</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3,700</w:t>
            </w:r>
          </w:p>
        </w:tc>
        <w:tc>
          <w:tcPr>
            <w:tcW w:w="860" w:type="dxa"/>
            <w:vAlign w:val="bottom"/>
          </w:tcPr>
          <w:p>
            <w:pPr>
              <w:jc w:val="right"/>
              <w:spacing w:after="0"/>
              <w:rPr>
                <w:sz w:val="20"/>
                <w:szCs w:val="20"/>
                <w:color w:val="auto"/>
              </w:rPr>
            </w:pPr>
            <w:r>
              <w:rPr>
                <w:rFonts w:ascii="Arial" w:cs="Arial" w:eastAsia="Arial" w:hAnsi="Arial"/>
                <w:sz w:val="18"/>
                <w:szCs w:val="18"/>
                <w:color w:val="auto"/>
              </w:rPr>
              <w:t>4,477</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Additions pending the determination of proved reserves</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532</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564</w:t>
            </w: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Charged to expense</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(46)</w:t>
            </w:r>
          </w:p>
        </w:tc>
        <w:tc>
          <w:tcPr>
            <w:tcW w:w="1720" w:type="dxa"/>
            <w:vAlign w:val="bottom"/>
          </w:tcPr>
          <w:p>
            <w:pPr>
              <w:jc w:val="right"/>
              <w:ind w:right="474"/>
              <w:spacing w:after="0"/>
              <w:rPr>
                <w:sz w:val="20"/>
                <w:szCs w:val="20"/>
                <w:color w:val="auto"/>
              </w:rPr>
            </w:pPr>
            <w:r>
              <w:rPr>
                <w:rFonts w:ascii="Arial" w:cs="Arial" w:eastAsia="Arial" w:hAnsi="Arial"/>
                <w:sz w:val="18"/>
                <w:szCs w:val="18"/>
                <w:color w:val="auto"/>
              </w:rPr>
              <w:t>(7)</w:t>
            </w:r>
          </w:p>
        </w:tc>
        <w:tc>
          <w:tcPr>
            <w:tcW w:w="86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Reclassifications to wells, facilities and equipment based on the</w:t>
            </w:r>
          </w:p>
        </w:tc>
        <w:tc>
          <w:tcPr>
            <w:tcW w:w="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900" w:type="dxa"/>
            <w:vAlign w:val="bottom"/>
          </w:tcPr>
          <w:p>
            <w:pPr>
              <w:ind w:left="680"/>
              <w:spacing w:after="0"/>
              <w:rPr>
                <w:sz w:val="20"/>
                <w:szCs w:val="20"/>
                <w:color w:val="auto"/>
              </w:rPr>
            </w:pPr>
            <w:r>
              <w:rPr>
                <w:rFonts w:ascii="Arial" w:cs="Arial" w:eastAsia="Arial" w:hAnsi="Arial"/>
                <w:sz w:val="18"/>
                <w:szCs w:val="18"/>
                <w:color w:val="auto"/>
              </w:rPr>
              <w:t>determination of proved reserves</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720" w:type="dxa"/>
            <w:vAlign w:val="bottom"/>
          </w:tcPr>
          <w:p>
            <w:pPr>
              <w:jc w:val="right"/>
              <w:ind w:right="474"/>
              <w:spacing w:after="0"/>
              <w:rPr>
                <w:sz w:val="20"/>
                <w:szCs w:val="20"/>
                <w:color w:val="auto"/>
              </w:rPr>
            </w:pPr>
            <w:r>
              <w:rPr>
                <w:rFonts w:ascii="Arial" w:cs="Arial" w:eastAsia="Arial" w:hAnsi="Arial"/>
                <w:sz w:val="18"/>
                <w:szCs w:val="18"/>
                <w:color w:val="auto"/>
              </w:rPr>
              <w:t>(48)</w:t>
            </w: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Divestments/Other</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(49)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Ending balance at December 31</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4,613</w:t>
            </w: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4,160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r>
      <w:tr>
        <w:trPr>
          <w:trHeight w:val="224"/>
        </w:trPr>
        <w:tc>
          <w:tcPr>
            <w:tcW w:w="7900" w:type="dxa"/>
            <w:vAlign w:val="bottom"/>
          </w:tcPr>
          <w:p>
            <w:pPr>
              <w:spacing w:after="0"/>
              <w:rPr>
                <w:sz w:val="20"/>
                <w:szCs w:val="20"/>
                <w:color w:val="auto"/>
              </w:rPr>
            </w:pPr>
            <w:r>
              <w:rPr>
                <w:rFonts w:ascii="Arial" w:cs="Arial" w:eastAsia="Arial" w:hAnsi="Arial"/>
                <w:sz w:val="18"/>
                <w:szCs w:val="18"/>
                <w:color w:val="auto"/>
              </w:rPr>
              <w:t>Ending balance attributed to equity companies included above</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306</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306</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418"/>
        </w:trPr>
        <w:tc>
          <w:tcPr>
            <w:tcW w:w="7900" w:type="dxa"/>
            <w:vAlign w:val="bottom"/>
          </w:tcPr>
          <w:p>
            <w:pPr>
              <w:spacing w:after="0"/>
              <w:rPr>
                <w:sz w:val="20"/>
                <w:szCs w:val="20"/>
                <w:color w:val="auto"/>
              </w:rPr>
            </w:pPr>
            <w:r>
              <w:rPr>
                <w:rFonts w:ascii="Arial" w:cs="Arial" w:eastAsia="Arial" w:hAnsi="Arial"/>
                <w:sz w:val="18"/>
                <w:szCs w:val="18"/>
                <w:color w:val="auto"/>
              </w:rPr>
              <w:t>Period end capitalized suspended exploratory well costs:</w:t>
            </w: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2"/>
        </w:trPr>
        <w:tc>
          <w:tcPr>
            <w:tcW w:w="7900" w:type="dxa"/>
            <w:vAlign w:val="bottom"/>
          </w:tcPr>
          <w:p>
            <w:pPr>
              <w:spacing w:after="0"/>
              <w:rPr>
                <w:sz w:val="23"/>
                <w:szCs w:val="23"/>
                <w:color w:val="auto"/>
              </w:rPr>
            </w:pPr>
          </w:p>
        </w:tc>
        <w:tc>
          <w:tcPr>
            <w:tcW w:w="9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7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r>
        <w:trPr>
          <w:trHeight w:val="26"/>
        </w:trPr>
        <w:tc>
          <w:tcPr>
            <w:tcW w:w="7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7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r>
      <w:tr>
        <w:trPr>
          <w:trHeight w:val="443"/>
        </w:trPr>
        <w:tc>
          <w:tcPr>
            <w:tcW w:w="7900" w:type="dxa"/>
            <w:vAlign w:val="bottom"/>
          </w:tcPr>
          <w:p>
            <w:pPr>
              <w:spacing w:after="0"/>
              <w:rPr>
                <w:sz w:val="20"/>
                <w:szCs w:val="20"/>
                <w:color w:val="auto"/>
              </w:rPr>
            </w:pPr>
            <w:r>
              <w:rPr>
                <w:rFonts w:ascii="Arial" w:cs="Arial" w:eastAsia="Arial" w:hAnsi="Arial"/>
                <w:sz w:val="18"/>
                <w:szCs w:val="18"/>
                <w:color w:val="auto"/>
              </w:rPr>
              <w:t>Capitalized for a period of one year or less</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532</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564</w:t>
            </w: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Capitalized for a period of between one and five years</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2,206</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2,028</w:t>
            </w:r>
          </w:p>
        </w:tc>
        <w:tc>
          <w:tcPr>
            <w:tcW w:w="86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Capitalized for a period of between five and ten years</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1,411</w:t>
            </w:r>
          </w:p>
        </w:tc>
        <w:tc>
          <w:tcPr>
            <w:tcW w:w="1720" w:type="dxa"/>
            <w:vAlign w:val="bottom"/>
          </w:tcPr>
          <w:p>
            <w:pPr>
              <w:jc w:val="right"/>
              <w:ind w:right="534"/>
              <w:spacing w:after="0"/>
              <w:rPr>
                <w:sz w:val="20"/>
                <w:szCs w:val="20"/>
                <w:color w:val="auto"/>
              </w:rPr>
            </w:pPr>
            <w:r>
              <w:rPr>
                <w:rFonts w:ascii="Arial" w:cs="Arial" w:eastAsia="Arial" w:hAnsi="Arial"/>
                <w:sz w:val="18"/>
                <w:szCs w:val="18"/>
                <w:color w:val="auto"/>
              </w:rPr>
              <w:t>1,150</w:t>
            </w:r>
          </w:p>
        </w:tc>
        <w:tc>
          <w:tcPr>
            <w:tcW w:w="8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Capitalized for a period of greater than ten years</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464</w:t>
            </w: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418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Capitalized for a period greater than one year - subtotal</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4,081</w:t>
            </w: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3,596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r>
      <w:tr>
        <w:trPr>
          <w:trHeight w:val="210"/>
        </w:trPr>
        <w:tc>
          <w:tcPr>
            <w:tcW w:w="7900" w:type="dxa"/>
            <w:vAlign w:val="bottom"/>
          </w:tcPr>
          <w:p>
            <w:pPr>
              <w:ind w:left="6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4,613</w:t>
            </w:r>
          </w:p>
        </w:tc>
        <w:tc>
          <w:tcPr>
            <w:tcW w:w="1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4,160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Exploration activity often involves drilling multiple wells, over a number of years, to fully evaluate a project. The table below provides a breakdown of the number of projects with only exploratory well costs capitalized for a period of one year or less and those that have had exploratory well costs capitalized for a period greater than one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r>
      <w:tr>
        <w:trPr>
          <w:trHeight w:val="195"/>
        </w:trPr>
        <w:tc>
          <w:tcPr>
            <w:tcW w:w="20" w:type="dxa"/>
            <w:vAlign w:val="bottom"/>
          </w:tcPr>
          <w:p>
            <w:pPr>
              <w:spacing w:after="0"/>
              <w:rPr>
                <w:sz w:val="16"/>
                <w:szCs w:val="16"/>
                <w:color w:val="auto"/>
              </w:rPr>
            </w:pPr>
          </w:p>
        </w:tc>
        <w:tc>
          <w:tcPr>
            <w:tcW w:w="7880" w:type="dxa"/>
            <w:vAlign w:val="bottom"/>
          </w:tcPr>
          <w:p>
            <w:pPr>
              <w:spacing w:after="0" w:line="195" w:lineRule="exact"/>
              <w:rPr>
                <w:sz w:val="20"/>
                <w:szCs w:val="20"/>
                <w:color w:val="auto"/>
              </w:rPr>
            </w:pPr>
            <w:r>
              <w:rPr>
                <w:rFonts w:ascii="Arial" w:cs="Arial" w:eastAsia="Arial" w:hAnsi="Arial"/>
                <w:sz w:val="18"/>
                <w:szCs w:val="18"/>
                <w:color w:val="auto"/>
              </w:rPr>
              <w:t>Number of projects that only have exploratory well costs capitalized for a period</w:t>
            </w:r>
          </w:p>
        </w:tc>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of one year or less</w:t>
            </w:r>
          </w:p>
        </w:tc>
        <w:tc>
          <w:tcPr>
            <w:tcW w:w="1200" w:type="dxa"/>
            <w:vAlign w:val="bottom"/>
          </w:tcPr>
          <w:p>
            <w:pPr>
              <w:jc w:val="right"/>
              <w:ind w:right="474"/>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Number of projects that have exploratory well costs capitalized for a period</w:t>
            </w: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greater than one year</w:t>
            </w: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46</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52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20" w:type="dxa"/>
            <w:vAlign w:val="bottom"/>
          </w:tcPr>
          <w:p>
            <w:pPr>
              <w:spacing w:after="0"/>
              <w:rPr>
                <w:sz w:val="18"/>
                <w:szCs w:val="18"/>
                <w:color w:val="auto"/>
              </w:rPr>
            </w:pPr>
          </w:p>
        </w:tc>
        <w:tc>
          <w:tcPr>
            <w:tcW w:w="7880" w:type="dxa"/>
            <w:vAlign w:val="bottom"/>
          </w:tcPr>
          <w:p>
            <w:pPr>
              <w:ind w:left="66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50</w:t>
            </w: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58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46 projects that have exploratory well costs capitalized for a period greater than one year as of December 31, 2019, 14 projects have drilling in the preceding year or exploratory activity planned in the next two years, while the remaining 32 projects are those with completed exploratory activity progressing toward development.</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for those 32 projects, which total $3,176 million.</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480" w:type="dxa"/>
            <w:vAlign w:val="bottom"/>
            <w:tcBorders>
              <w:top w:val="single" w:sz="8" w:color="auto"/>
              <w:left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Years Wells</w:t>
            </w:r>
          </w:p>
        </w:tc>
        <w:tc>
          <w:tcPr>
            <w:tcW w:w="6820" w:type="dxa"/>
            <w:vAlign w:val="bottom"/>
            <w:tcBorders>
              <w:top w:val="single" w:sz="8" w:color="auto"/>
              <w:right w:val="single" w:sz="8" w:color="auto"/>
            </w:tcBorders>
          </w:tcPr>
          <w:p>
            <w:pPr>
              <w:spacing w:after="0"/>
              <w:rPr>
                <w:sz w:val="18"/>
                <w:szCs w:val="18"/>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Dec. 31,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Drilled /</w:t>
            </w:r>
          </w:p>
        </w:tc>
        <w:tc>
          <w:tcPr>
            <w:tcW w:w="6820" w:type="dxa"/>
            <w:vAlign w:val="bottom"/>
            <w:tcBorders>
              <w:right w:val="single" w:sz="8" w:color="auto"/>
            </w:tcBorders>
          </w:tcPr>
          <w:p>
            <w:pPr>
              <w:spacing w:after="0"/>
              <w:rPr>
                <w:sz w:val="18"/>
                <w:szCs w:val="18"/>
                <w:color w:val="auto"/>
              </w:rPr>
            </w:pPr>
          </w:p>
        </w:tc>
      </w:tr>
      <w:tr>
        <w:trPr>
          <w:trHeight w:val="230"/>
        </w:trPr>
        <w:tc>
          <w:tcPr>
            <w:tcW w:w="248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Country/Project</w:t>
            </w:r>
          </w:p>
        </w:tc>
        <w:tc>
          <w:tcPr>
            <w:tcW w:w="8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Acquired</w:t>
            </w:r>
          </w:p>
        </w:tc>
        <w:tc>
          <w:tcPr>
            <w:tcW w:w="6820" w:type="dxa"/>
            <w:vAlign w:val="bottom"/>
            <w:tcBorders>
              <w:bottom w:val="single" w:sz="8" w:color="auto"/>
              <w:right w:val="single" w:sz="8" w:color="auto"/>
            </w:tcBorders>
          </w:tcPr>
          <w:p>
            <w:pPr>
              <w:ind w:left="3040"/>
              <w:spacing w:after="0"/>
              <w:rPr>
                <w:sz w:val="20"/>
                <w:szCs w:val="20"/>
                <w:color w:val="auto"/>
              </w:rPr>
            </w:pPr>
            <w:r>
              <w:rPr>
                <w:rFonts w:ascii="Arial" w:cs="Arial" w:eastAsia="Arial" w:hAnsi="Arial"/>
                <w:sz w:val="18"/>
                <w:szCs w:val="18"/>
                <w:color w:val="auto"/>
              </w:rPr>
              <w:t>Comment</w:t>
            </w:r>
          </w:p>
        </w:tc>
      </w:tr>
      <w:tr>
        <w:trPr>
          <w:trHeight w:val="210"/>
        </w:trPr>
        <w:tc>
          <w:tcPr>
            <w:tcW w:w="3360" w:type="dxa"/>
            <w:vAlign w:val="bottom"/>
            <w:tcBorders>
              <w:left w:val="single" w:sz="8" w:color="auto"/>
              <w:bottom w:val="single" w:sz="8" w:color="auto"/>
            </w:tcBorders>
            <w:gridSpan w:val="2"/>
          </w:tcPr>
          <w:p>
            <w:pPr>
              <w:ind w:left="1620"/>
              <w:spacing w:after="0"/>
              <w:rPr>
                <w:sz w:val="20"/>
                <w:szCs w:val="20"/>
                <w:color w:val="auto"/>
              </w:rPr>
            </w:pPr>
            <w:r>
              <w:rPr>
                <w:rFonts w:ascii="Arial" w:cs="Arial" w:eastAsia="Arial" w:hAnsi="Arial"/>
                <w:sz w:val="18"/>
                <w:szCs w:val="18"/>
                <w:i w:val="1"/>
                <w:iCs w:val="1"/>
                <w:color w:val="auto"/>
              </w:rPr>
              <w:t>(millions of dollars)</w:t>
            </w: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Angola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AB32 Central NE Hub</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69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2006 - 2014</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 for tieback to existing production facilities.</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Kaombo Split Hub</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20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2005 - 2006</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development plan to tie into planned production facilities.</w:t>
            </w:r>
          </w:p>
        </w:tc>
      </w:tr>
      <w:tr>
        <w:trPr>
          <w:trHeight w:val="23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Phase 2</w:t>
            </w: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Argentina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La Invernada</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 to tie into planned infrastructure.</w:t>
            </w: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Australia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East Pilchard</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7</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2001</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Gas field near Kipper/Tuna development, awaiting capacity in existing/</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planned infrastructure.</w:t>
            </w: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Gorgon Area Ullage</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315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1994 - 2015</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plans to tie into existing LNG facilities.</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SE Longtom</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2010</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Gas field near Tuna development, awaiting capacity in existing/planned</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infrastructure.</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SE Remora</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32</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2010</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Gas field near Marlin development, awaiting capacity in existing/planned</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infrastructure.</w:t>
            </w: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Guyana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Payara</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2017 - 2018</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Continuing development plan discussions with the government.</w:t>
            </w: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Iraq</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Kurdistan Pirmam</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109</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2015</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commercialization alternatives, while waiting for government</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approval to enter Gas Holding Period.</w:t>
            </w: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Kazakhstan</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Kairan</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53</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2004 - 2007</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commercialization and field development alternatives, while</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continuing discussions with the government regarding the development plan.</w:t>
            </w: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Mozambique</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Rovuma LNG Future</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120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2017</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Evaluating/progressing development plan to tie into planned LNG facilities.</w:t>
            </w:r>
          </w:p>
        </w:tc>
      </w:tr>
      <w:tr>
        <w:trPr>
          <w:trHeight w:val="23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Non-Straddling Train</w:t>
            </w: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Rovuma LNG Phase 1</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Progressing development plan to tie into planned LNG facilities.</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Rovuma LNG Unitized</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35</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2017</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Evaluating/progressing development plan to tie into planned LNG facilities.</w:t>
            </w:r>
          </w:p>
        </w:tc>
      </w:tr>
      <w:tr>
        <w:trPr>
          <w:trHeight w:val="23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Trains</w:t>
            </w: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r>
      <w:tr>
        <w:trPr>
          <w:trHeight w:val="210"/>
        </w:trPr>
        <w:tc>
          <w:tcPr>
            <w:tcW w:w="2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Nigeria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Bolia</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15</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2002 - 2006</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development plan, while continuing discussions with the</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government regarding regional hub strategy.</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Bonga North</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34</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2004 - 2009</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Evaluating/progressing development plan for tieback to existing/planned</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infrastructure.</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Bosi</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79</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2002 - 2006</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Development activity under way, while continuing discussions with the</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government regarding development plan.</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Bosi Central</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16</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2006</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Development activity under way, while continuing discussions with the</w:t>
            </w:r>
          </w:p>
        </w:tc>
      </w:tr>
      <w:tr>
        <w:trPr>
          <w:trHeight w:val="230"/>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government regarding development plan.</w:t>
            </w: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Erha Northeast</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 for tieback to existing production facilities.</w:t>
            </w: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OML 138 Ukot SS</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 for tieback to existing production facilities.</w:t>
            </w: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OML 138 Ukot SW</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development plan for tieback to existing production facilities.</w:t>
            </w: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Pegi</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Awaiting capacity in existing/planned infrastructure.</w:t>
            </w:r>
          </w:p>
        </w:tc>
      </w:tr>
      <w:tr>
        <w:trPr>
          <w:trHeight w:val="195"/>
        </w:trPr>
        <w:tc>
          <w:tcPr>
            <w:tcW w:w="24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 Satellite Field</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12</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2013</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development plan to tie into planned production facilities.</w:t>
            </w:r>
          </w:p>
        </w:tc>
      </w:tr>
      <w:tr>
        <w:trPr>
          <w:trHeight w:val="23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Development Phase 2</w:t>
            </w: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r>
      <w:tr>
        <w:trPr>
          <w:trHeight w:val="210"/>
        </w:trPr>
        <w:tc>
          <w:tcPr>
            <w:tcW w:w="2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Other (4 projects)</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2001 - 2002</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 and pursuing development of several additional discoveries.</w:t>
            </w:r>
          </w:p>
        </w:tc>
      </w:tr>
      <w:tr>
        <w:trPr>
          <w:trHeight w:val="224"/>
        </w:trPr>
        <w:tc>
          <w:tcPr>
            <w:tcW w:w="2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20" w:type="dxa"/>
            <w:vAlign w:val="bottom"/>
          </w:tcPr>
          <w:p>
            <w:pPr>
              <w:ind w:left="1020"/>
              <w:spacing w:after="0"/>
              <w:rPr>
                <w:sz w:val="20"/>
                <w:szCs w:val="20"/>
                <w:color w:val="auto"/>
              </w:rPr>
            </w:pPr>
            <w:r>
              <w:rPr>
                <w:rFonts w:ascii="Arial" w:cs="Arial" w:eastAsia="Arial" w:hAnsi="Arial"/>
                <w:sz w:val="18"/>
                <w:szCs w:val="18"/>
                <w:color w:val="auto"/>
              </w:rPr>
              <w:t>84</w:t>
            </w:r>
          </w:p>
        </w:tc>
      </w:tr>
      <w:tr>
        <w:trPr>
          <w:trHeight w:val="195"/>
        </w:trPr>
        <w:tc>
          <w:tcPr>
            <w:tcW w:w="24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68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0" w:type="dxa"/>
            <w:vAlign w:val="bottom"/>
            <w:tcBorders>
              <w:top w:val="single" w:sz="8" w:color="auto"/>
              <w:left w:val="single" w:sz="8" w:color="auto"/>
            </w:tcBorders>
          </w:tcPr>
          <w:p>
            <w:pPr>
              <w:spacing w:after="0"/>
              <w:rPr>
                <w:sz w:val="18"/>
                <w:szCs w:val="18"/>
                <w:color w:val="auto"/>
              </w:rPr>
            </w:pPr>
          </w:p>
        </w:tc>
        <w:tc>
          <w:tcPr>
            <w:tcW w:w="24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Years Wells</w:t>
            </w:r>
          </w:p>
        </w:tc>
        <w:tc>
          <w:tcPr>
            <w:tcW w:w="6820" w:type="dxa"/>
            <w:vAlign w:val="bottom"/>
            <w:tcBorders>
              <w:top w:val="single" w:sz="8" w:color="auto"/>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Dec. 31,</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Drilled /</w:t>
            </w:r>
          </w:p>
        </w:tc>
        <w:tc>
          <w:tcPr>
            <w:tcW w:w="6820" w:type="dxa"/>
            <w:vAlign w:val="bottom"/>
            <w:tcBorders>
              <w:right w:val="single" w:sz="8" w:color="auto"/>
            </w:tcBorders>
          </w:tcPr>
          <w:p>
            <w:pPr>
              <w:spacing w:after="0"/>
              <w:rPr>
                <w:sz w:val="18"/>
                <w:szCs w:val="18"/>
                <w:color w:val="auto"/>
              </w:rPr>
            </w:pPr>
          </w:p>
        </w:tc>
      </w:tr>
      <w:tr>
        <w:trPr>
          <w:trHeight w:val="230"/>
        </w:trPr>
        <w:tc>
          <w:tcPr>
            <w:tcW w:w="80" w:type="dxa"/>
            <w:vAlign w:val="bottom"/>
            <w:tcBorders>
              <w:lef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Country/Project</w:t>
            </w:r>
          </w:p>
        </w:tc>
        <w:tc>
          <w:tcPr>
            <w:tcW w:w="8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Acquired</w:t>
            </w:r>
          </w:p>
        </w:tc>
        <w:tc>
          <w:tcPr>
            <w:tcW w:w="6820" w:type="dxa"/>
            <w:vAlign w:val="bottom"/>
            <w:tcBorders>
              <w:bottom w:val="single" w:sz="8" w:color="auto"/>
              <w:right w:val="single" w:sz="8" w:color="auto"/>
            </w:tcBorders>
          </w:tcPr>
          <w:p>
            <w:pPr>
              <w:ind w:left="3040"/>
              <w:spacing w:after="0"/>
              <w:rPr>
                <w:sz w:val="20"/>
                <w:szCs w:val="20"/>
                <w:color w:val="auto"/>
              </w:rPr>
            </w:pPr>
            <w:r>
              <w:rPr>
                <w:rFonts w:ascii="Arial" w:cs="Arial" w:eastAsia="Arial" w:hAnsi="Arial"/>
                <w:sz w:val="18"/>
                <w:szCs w:val="18"/>
                <w:color w:val="auto"/>
              </w:rPr>
              <w:t>Comment</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i w:val="1"/>
                <w:iCs w:val="1"/>
                <w:color w:val="auto"/>
              </w:rPr>
              <w:t>(millions of dollars)</w:t>
            </w: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Papua New Guinea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Papua LNG</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246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Evaluating/progressing development plans.</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P'nyang</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115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2012 - 2018</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Evaluating/progressing development plans.</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Republic of Congo</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80" w:type="dxa"/>
            <w:vAlign w:val="bottom"/>
            <w:tcBorders>
              <w:left w:val="single" w:sz="8" w:color="auto"/>
            </w:tcBorders>
          </w:tcPr>
          <w:p>
            <w:pPr>
              <w:spacing w:after="0"/>
              <w:rPr>
                <w:sz w:val="16"/>
                <w:szCs w:val="16"/>
                <w:color w:val="auto"/>
              </w:rPr>
            </w:pPr>
          </w:p>
        </w:tc>
        <w:tc>
          <w:tcPr>
            <w:tcW w:w="2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Mer Tres Profonde Sud</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56</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2000 - 2007</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development alternatives, while continuing discussions with the</w:t>
            </w:r>
          </w:p>
        </w:tc>
      </w:tr>
      <w:tr>
        <w:trPr>
          <w:trHeight w:val="230"/>
        </w:trPr>
        <w:tc>
          <w:tcPr>
            <w:tcW w:w="80" w:type="dxa"/>
            <w:vAlign w:val="bottom"/>
            <w:tcBorders>
              <w:left w:val="single" w:sz="8" w:color="auto"/>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government regarding development plan.</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Romania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Neptun Deep</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536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2012 - 2016</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Continuing discussions with the government regarding development plan.</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Tanzania</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195"/>
        </w:trPr>
        <w:tc>
          <w:tcPr>
            <w:tcW w:w="80" w:type="dxa"/>
            <w:vAlign w:val="bottom"/>
            <w:tcBorders>
              <w:left w:val="single" w:sz="8" w:color="auto"/>
            </w:tcBorders>
          </w:tcPr>
          <w:p>
            <w:pPr>
              <w:spacing w:after="0"/>
              <w:rPr>
                <w:sz w:val="16"/>
                <w:szCs w:val="16"/>
                <w:color w:val="auto"/>
              </w:rPr>
            </w:pPr>
          </w:p>
        </w:tc>
        <w:tc>
          <w:tcPr>
            <w:tcW w:w="24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Tanzania Block 2</w:t>
            </w:r>
          </w:p>
        </w:tc>
        <w:tc>
          <w:tcPr>
            <w:tcW w:w="880" w:type="dxa"/>
            <w:vAlign w:val="bottom"/>
            <w:tcBorders>
              <w:right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537</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2012 - 2018</w:t>
            </w:r>
          </w:p>
        </w:tc>
        <w:tc>
          <w:tcPr>
            <w:tcW w:w="68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Evaluating development alternatives while continuing discussions with the</w:t>
            </w:r>
          </w:p>
        </w:tc>
      </w:tr>
      <w:tr>
        <w:trPr>
          <w:trHeight w:val="230"/>
        </w:trPr>
        <w:tc>
          <w:tcPr>
            <w:tcW w:w="80" w:type="dxa"/>
            <w:vAlign w:val="bottom"/>
            <w:tcBorders>
              <w:left w:val="single" w:sz="8" w:color="auto"/>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government regarding development plan.</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Vietnam</w:t>
            </w: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Blue Whale</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296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2011 - 2015</w:t>
            </w:r>
          </w:p>
        </w:tc>
        <w:tc>
          <w:tcPr>
            <w:tcW w:w="6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Evaluating/progressing development plans.</w:t>
            </w:r>
          </w:p>
        </w:tc>
      </w:tr>
      <w:tr>
        <w:trPr>
          <w:trHeight w:val="210"/>
        </w:trPr>
        <w:tc>
          <w:tcPr>
            <w:tcW w:w="8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 2019 (32 projects)</w:t>
            </w:r>
          </w:p>
        </w:tc>
        <w:tc>
          <w:tcPr>
            <w:tcW w:w="8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3,176</w:t>
            </w:r>
          </w:p>
        </w:tc>
        <w:tc>
          <w:tcPr>
            <w:tcW w:w="124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r>
      <w:tr>
        <w:trPr>
          <w:trHeight w:val="224"/>
        </w:trPr>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20" w:type="dxa"/>
            <w:vAlign w:val="bottom"/>
          </w:tcPr>
          <w:p>
            <w:pPr>
              <w:ind w:left="1020"/>
              <w:spacing w:after="0"/>
              <w:rPr>
                <w:sz w:val="20"/>
                <w:szCs w:val="20"/>
                <w:color w:val="auto"/>
              </w:rPr>
            </w:pPr>
            <w:r>
              <w:rPr>
                <w:rFonts w:ascii="Arial" w:cs="Arial" w:eastAsia="Arial" w:hAnsi="Arial"/>
                <w:sz w:val="18"/>
                <w:szCs w:val="18"/>
                <w:color w:val="auto"/>
              </w:rPr>
              <w:t>85</w:t>
            </w:r>
          </w:p>
        </w:tc>
      </w:tr>
      <w:tr>
        <w:trPr>
          <w:trHeight w:val="195"/>
        </w:trPr>
        <w:tc>
          <w:tcPr>
            <w:tcW w:w="80" w:type="dxa"/>
            <w:vAlign w:val="bottom"/>
            <w:tcBorders>
              <w:bottom w:val="single" w:sz="8" w:color="9A9A9A"/>
            </w:tcBorders>
          </w:tcPr>
          <w:p>
            <w:pPr>
              <w:spacing w:after="0"/>
              <w:rPr>
                <w:sz w:val="16"/>
                <w:szCs w:val="16"/>
                <w:color w:val="auto"/>
              </w:rPr>
            </w:pPr>
          </w:p>
        </w:tc>
        <w:tc>
          <w:tcPr>
            <w:tcW w:w="240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68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and its consolidated affiliates generally purchase the property, plant and equipment used in operations, but there are situations where assets are leased, primarily for drilling equipment, tankers, office buildings, railcars,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The portion of the fixed payment related to service costs for drilling equipment, tankers and finance leases is excluded from the calculation of right of use assets and lease liabilities. Generally assets are leased only for a portion of their useful lives, and are accounted for as operating leases. In limited situations assets are leased for nearly all of their useful lives, and are accounted for as finance leases.</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of the leasing affiliate. The Corporation’s activities as a lessor are not significant.</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adoption of the lease accounting change (see Note 2), on January 1, 2019, an operating lease liability of $3.3 billion was recorded and the operating lease right of use asset was $4.3 billion, including $1.0 billion of previously recorded prepaid leases. There was no cumulative earnings effect adjustment.</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tcPr>
          <w:p>
            <w:pPr>
              <w:jc w:val="right"/>
              <w:ind w:right="43"/>
              <w:spacing w:after="0"/>
              <w:rPr>
                <w:sz w:val="20"/>
                <w:szCs w:val="20"/>
                <w:color w:val="auto"/>
              </w:rPr>
            </w:pPr>
            <w:r>
              <w:rPr>
                <w:rFonts w:ascii="Arial" w:cs="Arial" w:eastAsia="Arial" w:hAnsi="Arial"/>
                <w:sz w:val="14"/>
                <w:szCs w:val="14"/>
                <w:b w:val="1"/>
                <w:bCs w:val="1"/>
                <w:color w:val="auto"/>
              </w:rPr>
              <w:t>Drilling Rigs</w:t>
            </w: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60" w:type="dxa"/>
            <w:vAlign w:val="bottom"/>
          </w:tcPr>
          <w:p>
            <w:pPr>
              <w:jc w:val="right"/>
              <w:ind w:right="43"/>
              <w:spacing w:after="0"/>
              <w:rPr>
                <w:sz w:val="20"/>
                <w:szCs w:val="20"/>
                <w:color w:val="auto"/>
              </w:rPr>
            </w:pPr>
            <w:r>
              <w:rPr>
                <w:rFonts w:ascii="Arial" w:cs="Arial" w:eastAsia="Arial" w:hAnsi="Arial"/>
                <w:sz w:val="14"/>
                <w:szCs w:val="14"/>
                <w:b w:val="1"/>
                <w:bCs w:val="1"/>
                <w:color w:val="auto"/>
              </w:rPr>
              <w:t>and Related</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60" w:type="dxa"/>
            <w:vAlign w:val="bottom"/>
          </w:tcPr>
          <w:p>
            <w:pPr>
              <w:jc w:val="right"/>
              <w:ind w:right="43"/>
              <w:spacing w:after="0"/>
              <w:rPr>
                <w:sz w:val="20"/>
                <w:szCs w:val="20"/>
                <w:color w:val="auto"/>
              </w:rPr>
            </w:pPr>
            <w:r>
              <w:rPr>
                <w:rFonts w:ascii="Arial" w:cs="Arial" w:eastAsia="Arial" w:hAnsi="Arial"/>
                <w:sz w:val="14"/>
                <w:szCs w:val="14"/>
                <w:b w:val="1"/>
                <w:bCs w:val="1"/>
                <w:color w:val="auto"/>
              </w:rPr>
              <w:t>Equipment</w:t>
            </w:r>
          </w:p>
        </w:tc>
        <w:tc>
          <w:tcPr>
            <w:tcW w:w="1260" w:type="dxa"/>
            <w:vAlign w:val="bottom"/>
          </w:tcPr>
          <w:p>
            <w:pPr>
              <w:jc w:val="right"/>
              <w:ind w:right="378"/>
              <w:spacing w:after="0"/>
              <w:rPr>
                <w:sz w:val="20"/>
                <w:szCs w:val="20"/>
                <w:color w:val="auto"/>
              </w:rPr>
            </w:pPr>
            <w:r>
              <w:rPr>
                <w:rFonts w:ascii="Arial" w:cs="Arial" w:eastAsia="Arial" w:hAnsi="Arial"/>
                <w:sz w:val="14"/>
                <w:szCs w:val="14"/>
                <w:b w:val="1"/>
                <w:bCs w:val="1"/>
                <w:color w:val="auto"/>
              </w:rPr>
              <w:t>Other</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jc w:val="center"/>
              <w:ind w:left="155"/>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4"/>
                <w:szCs w:val="14"/>
                <w:i w:val="1"/>
                <w:iCs w:val="1"/>
                <w:color w:val="auto"/>
                <w:w w:val="97"/>
              </w:rPr>
              <w:t>(millions of dollars)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Lease Cost</w:t>
            </w:r>
          </w:p>
        </w:tc>
        <w:tc>
          <w:tcPr>
            <w:tcW w:w="2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00" w:type="dxa"/>
            <w:vAlign w:val="bottom"/>
          </w:tcPr>
          <w:p>
            <w:pPr>
              <w:ind w:left="40"/>
              <w:spacing w:after="0" w:line="195" w:lineRule="exact"/>
              <w:rPr>
                <w:sz w:val="20"/>
                <w:szCs w:val="20"/>
                <w:color w:val="auto"/>
              </w:rPr>
            </w:pPr>
            <w:r>
              <w:rPr>
                <w:rFonts w:ascii="Arial" w:cs="Arial" w:eastAsia="Arial" w:hAnsi="Arial"/>
                <w:sz w:val="18"/>
                <w:szCs w:val="18"/>
                <w:color w:val="auto"/>
              </w:rPr>
              <w:t>Operating lease cost</w:t>
            </w:r>
          </w:p>
        </w:tc>
        <w:tc>
          <w:tcPr>
            <w:tcW w:w="3820" w:type="dxa"/>
            <w:vAlign w:val="bottom"/>
            <w:gridSpan w:val="2"/>
          </w:tcPr>
          <w:p>
            <w:pPr>
              <w:jc w:val="right"/>
              <w:ind w:right="103"/>
              <w:spacing w:after="0" w:line="195" w:lineRule="exact"/>
              <w:rPr>
                <w:sz w:val="20"/>
                <w:szCs w:val="20"/>
                <w:color w:val="auto"/>
              </w:rPr>
            </w:pPr>
            <w:r>
              <w:rPr>
                <w:rFonts w:ascii="Arial" w:cs="Arial" w:eastAsia="Arial" w:hAnsi="Arial"/>
                <w:sz w:val="18"/>
                <w:szCs w:val="18"/>
                <w:color w:val="auto"/>
              </w:rPr>
              <w:t>238</w:t>
            </w:r>
          </w:p>
        </w:tc>
        <w:tc>
          <w:tcPr>
            <w:tcW w:w="1260" w:type="dxa"/>
            <w:vAlign w:val="bottom"/>
          </w:tcPr>
          <w:p>
            <w:pPr>
              <w:jc w:val="right"/>
              <w:ind w:right="438"/>
              <w:spacing w:after="0" w:line="195" w:lineRule="exact"/>
              <w:rPr>
                <w:sz w:val="20"/>
                <w:szCs w:val="20"/>
                <w:color w:val="auto"/>
              </w:rPr>
            </w:pPr>
            <w:r>
              <w:rPr>
                <w:rFonts w:ascii="Arial" w:cs="Arial" w:eastAsia="Arial" w:hAnsi="Arial"/>
                <w:sz w:val="18"/>
                <w:szCs w:val="18"/>
                <w:color w:val="auto"/>
              </w:rPr>
              <w:t>1,196</w:t>
            </w:r>
          </w:p>
        </w:tc>
        <w:tc>
          <w:tcPr>
            <w:tcW w:w="500" w:type="dxa"/>
            <w:vAlign w:val="bottom"/>
          </w:tcPr>
          <w:p>
            <w:pPr>
              <w:jc w:val="right"/>
              <w:ind w:right="14"/>
              <w:spacing w:after="0" w:line="195" w:lineRule="exact"/>
              <w:rPr>
                <w:sz w:val="20"/>
                <w:szCs w:val="20"/>
                <w:color w:val="auto"/>
              </w:rPr>
            </w:pPr>
            <w:r>
              <w:rPr>
                <w:rFonts w:ascii="Arial" w:cs="Arial" w:eastAsia="Arial" w:hAnsi="Arial"/>
                <w:sz w:val="18"/>
                <w:szCs w:val="18"/>
                <w:color w:val="auto"/>
                <w:w w:val="84"/>
              </w:rPr>
              <w:t>1,434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18"/>
                <w:szCs w:val="18"/>
                <w:color w:val="auto"/>
              </w:rPr>
              <w:t>Short-term and other (net of sublease rental income)</w:t>
            </w:r>
          </w:p>
        </w:tc>
        <w:tc>
          <w:tcPr>
            <w:tcW w:w="3820" w:type="dxa"/>
            <w:vAlign w:val="bottom"/>
            <w:gridSpan w:val="2"/>
          </w:tcPr>
          <w:p>
            <w:pPr>
              <w:jc w:val="right"/>
              <w:ind w:right="103"/>
              <w:spacing w:after="0"/>
              <w:rPr>
                <w:sz w:val="20"/>
                <w:szCs w:val="20"/>
                <w:color w:val="auto"/>
              </w:rPr>
            </w:pPr>
            <w:r>
              <w:rPr>
                <w:rFonts w:ascii="Arial" w:cs="Arial" w:eastAsia="Arial" w:hAnsi="Arial"/>
                <w:sz w:val="18"/>
                <w:szCs w:val="18"/>
                <w:color w:val="auto"/>
              </w:rPr>
              <w:t>926</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1,116</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2,042</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00" w:type="dxa"/>
            <w:vAlign w:val="bottom"/>
          </w:tcPr>
          <w:p>
            <w:pPr>
              <w:ind w:left="40"/>
              <w:spacing w:after="0"/>
              <w:rPr>
                <w:sz w:val="20"/>
                <w:szCs w:val="20"/>
                <w:color w:val="auto"/>
              </w:rPr>
            </w:pPr>
            <w:r>
              <w:rPr>
                <w:rFonts w:ascii="Arial" w:cs="Arial" w:eastAsia="Arial" w:hAnsi="Arial"/>
                <w:sz w:val="18"/>
                <w:szCs w:val="18"/>
                <w:color w:val="auto"/>
              </w:rPr>
              <w:t>Amortization of right of use assets</w:t>
            </w:r>
          </w:p>
        </w:tc>
        <w:tc>
          <w:tcPr>
            <w:tcW w:w="2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center"/>
              <w:ind w:left="195"/>
              <w:spacing w:after="0"/>
              <w:rPr>
                <w:sz w:val="20"/>
                <w:szCs w:val="20"/>
                <w:color w:val="auto"/>
              </w:rPr>
            </w:pPr>
            <w:r>
              <w:rPr>
                <w:rFonts w:ascii="Arial" w:cs="Arial" w:eastAsia="Arial" w:hAnsi="Arial"/>
                <w:sz w:val="18"/>
                <w:szCs w:val="18"/>
                <w:color w:val="auto"/>
                <w:w w:val="93"/>
              </w:rPr>
              <w:t>121</w:t>
            </w: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18"/>
                <w:szCs w:val="18"/>
                <w:color w:val="auto"/>
              </w:rPr>
              <w:t>Interest on lease liabilities</w:t>
            </w:r>
          </w:p>
        </w:tc>
        <w:tc>
          <w:tcPr>
            <w:tcW w:w="24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10"/>
        </w:trPr>
        <w:tc>
          <w:tcPr>
            <w:tcW w:w="4900" w:type="dxa"/>
            <w:vAlign w:val="bottom"/>
          </w:tcPr>
          <w:p>
            <w:pPr>
              <w:ind w:left="26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8"/>
                <w:szCs w:val="18"/>
                <w:color w:val="auto"/>
              </w:rPr>
            </w:pP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color w:val="auto"/>
              </w:rPr>
              <w:t>1,164</w:t>
            </w: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8"/>
                <w:szCs w:val="18"/>
                <w:color w:val="auto"/>
              </w:rPr>
              <w:t>2,312</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3,476</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93"/>
              </w:rPr>
              <w:t>254</w:t>
            </w:r>
          </w:p>
        </w:tc>
        <w:tc>
          <w:tcPr>
            <w:tcW w:w="0" w:type="dxa"/>
            <w:vAlign w:val="bottom"/>
          </w:tcPr>
          <w:p>
            <w:pPr>
              <w:spacing w:after="0"/>
              <w:rPr>
                <w:sz w:val="1"/>
                <w:szCs w:val="1"/>
                <w:color w:val="auto"/>
              </w:rPr>
            </w:pPr>
          </w:p>
        </w:tc>
      </w:tr>
      <w:tr>
        <w:trPr>
          <w:trHeight w:val="669"/>
        </w:trPr>
        <w:tc>
          <w:tcPr>
            <w:tcW w:w="4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Arial" w:cs="Arial" w:eastAsia="Arial" w:hAnsi="Arial"/>
                <w:sz w:val="14"/>
                <w:szCs w:val="14"/>
                <w:b w:val="1"/>
                <w:bCs w:val="1"/>
                <w:color w:val="auto"/>
              </w:rPr>
              <w:t>Drilling Rigs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center"/>
              <w:ind w:left="155"/>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4"/>
                <w:szCs w:val="14"/>
                <w:b w:val="1"/>
                <w:bCs w:val="1"/>
                <w:color w:val="auto"/>
              </w:rPr>
              <w:t>and Related</w:t>
            </w: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Equipment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i w:val="1"/>
                <w:iCs w:val="1"/>
                <w:color w:val="auto"/>
                <w:w w:val="97"/>
              </w:rPr>
              <w:t>(millions of dollars)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w:t>
            </w:r>
          </w:p>
        </w:tc>
        <w:tc>
          <w:tcPr>
            <w:tcW w:w="2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00" w:type="dxa"/>
            <w:vAlign w:val="bottom"/>
          </w:tcPr>
          <w:p>
            <w:pPr>
              <w:spacing w:after="0" w:line="195" w:lineRule="exact"/>
              <w:rPr>
                <w:sz w:val="20"/>
                <w:szCs w:val="20"/>
                <w:color w:val="auto"/>
              </w:rPr>
            </w:pPr>
            <w:r>
              <w:rPr>
                <w:rFonts w:ascii="Arial" w:cs="Arial" w:eastAsia="Arial" w:hAnsi="Arial"/>
                <w:sz w:val="18"/>
                <w:szCs w:val="18"/>
                <w:color w:val="auto"/>
              </w:rPr>
              <w:t>Right of use assets</w:t>
            </w:r>
          </w:p>
        </w:tc>
        <w:tc>
          <w:tcPr>
            <w:tcW w:w="2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Other assets, including intangibles - net</w:t>
            </w:r>
          </w:p>
        </w:tc>
        <w:tc>
          <w:tcPr>
            <w:tcW w:w="3820" w:type="dxa"/>
            <w:vAlign w:val="bottom"/>
            <w:gridSpan w:val="2"/>
          </w:tcPr>
          <w:p>
            <w:pPr>
              <w:ind w:left="3420"/>
              <w:spacing w:after="0"/>
              <w:rPr>
                <w:sz w:val="20"/>
                <w:szCs w:val="20"/>
                <w:color w:val="auto"/>
              </w:rPr>
            </w:pPr>
            <w:r>
              <w:rPr>
                <w:rFonts w:ascii="Arial" w:cs="Arial" w:eastAsia="Arial" w:hAnsi="Arial"/>
                <w:sz w:val="18"/>
                <w:szCs w:val="18"/>
                <w:color w:val="auto"/>
              </w:rPr>
              <w:t>572</w:t>
            </w:r>
          </w:p>
        </w:tc>
        <w:tc>
          <w:tcPr>
            <w:tcW w:w="1260" w:type="dxa"/>
            <w:vAlign w:val="bottom"/>
          </w:tcPr>
          <w:p>
            <w:pPr>
              <w:jc w:val="right"/>
              <w:ind w:right="398"/>
              <w:spacing w:after="0"/>
              <w:rPr>
                <w:sz w:val="20"/>
                <w:szCs w:val="20"/>
                <w:color w:val="auto"/>
              </w:rPr>
            </w:pPr>
            <w:r>
              <w:rPr>
                <w:rFonts w:ascii="Arial" w:cs="Arial" w:eastAsia="Arial" w:hAnsi="Arial"/>
                <w:sz w:val="18"/>
                <w:szCs w:val="18"/>
                <w:color w:val="auto"/>
              </w:rPr>
              <w:t>6,061</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6,633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Property, plant and equipment - net</w:t>
            </w:r>
          </w:p>
        </w:tc>
        <w:tc>
          <w:tcPr>
            <w:tcW w:w="24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0"/>
        </w:trPr>
        <w:tc>
          <w:tcPr>
            <w:tcW w:w="4900" w:type="dxa"/>
            <w:vAlign w:val="bottom"/>
          </w:tcPr>
          <w:p>
            <w:pPr>
              <w:ind w:left="440"/>
              <w:spacing w:after="0"/>
              <w:rPr>
                <w:sz w:val="20"/>
                <w:szCs w:val="20"/>
                <w:color w:val="auto"/>
              </w:rPr>
            </w:pPr>
            <w:r>
              <w:rPr>
                <w:rFonts w:ascii="Arial" w:cs="Arial" w:eastAsia="Arial" w:hAnsi="Arial"/>
                <w:sz w:val="18"/>
                <w:szCs w:val="18"/>
                <w:color w:val="auto"/>
              </w:rPr>
              <w:t>Total right of use assets</w:t>
            </w:r>
          </w:p>
        </w:tc>
        <w:tc>
          <w:tcPr>
            <w:tcW w:w="2460" w:type="dxa"/>
            <w:vAlign w:val="bottom"/>
          </w:tcPr>
          <w:p>
            <w:pPr>
              <w:spacing w:after="0"/>
              <w:rPr>
                <w:sz w:val="18"/>
                <w:szCs w:val="18"/>
                <w:color w:val="auto"/>
              </w:rPr>
            </w:pPr>
          </w:p>
        </w:tc>
        <w:tc>
          <w:tcPr>
            <w:tcW w:w="13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572</w:t>
            </w:r>
          </w:p>
        </w:tc>
        <w:tc>
          <w:tcPr>
            <w:tcW w:w="126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6,061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6,633</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411"/>
        </w:trPr>
        <w:tc>
          <w:tcPr>
            <w:tcW w:w="4900" w:type="dxa"/>
            <w:vAlign w:val="bottom"/>
          </w:tcPr>
          <w:p>
            <w:pPr>
              <w:spacing w:after="0"/>
              <w:rPr>
                <w:sz w:val="20"/>
                <w:szCs w:val="20"/>
                <w:color w:val="auto"/>
              </w:rPr>
            </w:pPr>
            <w:r>
              <w:rPr>
                <w:rFonts w:ascii="Arial" w:cs="Arial" w:eastAsia="Arial" w:hAnsi="Arial"/>
                <w:sz w:val="18"/>
                <w:szCs w:val="18"/>
                <w:color w:val="auto"/>
              </w:rPr>
              <w:t>Lease liability due within one year</w:t>
            </w:r>
          </w:p>
        </w:tc>
        <w:tc>
          <w:tcPr>
            <w:tcW w:w="2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Accounts payable and accrued liabilities</w:t>
            </w:r>
          </w:p>
        </w:tc>
        <w:tc>
          <w:tcPr>
            <w:tcW w:w="3820" w:type="dxa"/>
            <w:vAlign w:val="bottom"/>
            <w:gridSpan w:val="2"/>
          </w:tcPr>
          <w:p>
            <w:pPr>
              <w:ind w:left="3420"/>
              <w:spacing w:after="0"/>
              <w:rPr>
                <w:sz w:val="20"/>
                <w:szCs w:val="20"/>
                <w:color w:val="auto"/>
              </w:rPr>
            </w:pPr>
            <w:r>
              <w:rPr>
                <w:rFonts w:ascii="Arial" w:cs="Arial" w:eastAsia="Arial" w:hAnsi="Arial"/>
                <w:sz w:val="18"/>
                <w:szCs w:val="18"/>
                <w:color w:val="auto"/>
              </w:rPr>
              <w:t>221</w:t>
            </w:r>
          </w:p>
        </w:tc>
        <w:tc>
          <w:tcPr>
            <w:tcW w:w="1260" w:type="dxa"/>
            <w:vAlign w:val="bottom"/>
          </w:tcPr>
          <w:p>
            <w:pPr>
              <w:jc w:val="right"/>
              <w:ind w:right="398"/>
              <w:spacing w:after="0"/>
              <w:rPr>
                <w:sz w:val="20"/>
                <w:szCs w:val="20"/>
                <w:color w:val="auto"/>
              </w:rPr>
            </w:pPr>
            <w:r>
              <w:rPr>
                <w:rFonts w:ascii="Arial" w:cs="Arial" w:eastAsia="Arial" w:hAnsi="Arial"/>
                <w:sz w:val="18"/>
                <w:szCs w:val="18"/>
                <w:color w:val="auto"/>
              </w:rPr>
              <w:t>990</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1,211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Notes and loans payable</w:t>
            </w:r>
          </w:p>
        </w:tc>
        <w:tc>
          <w:tcPr>
            <w:tcW w:w="2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2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Other long-term obligations</w:t>
            </w:r>
          </w:p>
        </w:tc>
        <w:tc>
          <w:tcPr>
            <w:tcW w:w="3820" w:type="dxa"/>
            <w:vAlign w:val="bottom"/>
            <w:gridSpan w:val="2"/>
          </w:tcPr>
          <w:p>
            <w:pPr>
              <w:ind w:left="3420"/>
              <w:spacing w:after="0"/>
              <w:rPr>
                <w:sz w:val="20"/>
                <w:szCs w:val="20"/>
                <w:color w:val="auto"/>
              </w:rPr>
            </w:pPr>
            <w:r>
              <w:rPr>
                <w:rFonts w:ascii="Arial" w:cs="Arial" w:eastAsia="Arial" w:hAnsi="Arial"/>
                <w:sz w:val="18"/>
                <w:szCs w:val="18"/>
                <w:color w:val="auto"/>
              </w:rPr>
              <w:t>330</w:t>
            </w:r>
          </w:p>
        </w:tc>
        <w:tc>
          <w:tcPr>
            <w:tcW w:w="1260" w:type="dxa"/>
            <w:vAlign w:val="bottom"/>
          </w:tcPr>
          <w:p>
            <w:pPr>
              <w:jc w:val="right"/>
              <w:ind w:right="398"/>
              <w:spacing w:after="0"/>
              <w:rPr>
                <w:sz w:val="20"/>
                <w:szCs w:val="20"/>
                <w:color w:val="auto"/>
              </w:rPr>
            </w:pPr>
            <w:r>
              <w:rPr>
                <w:rFonts w:ascii="Arial" w:cs="Arial" w:eastAsia="Arial" w:hAnsi="Arial"/>
                <w:sz w:val="18"/>
                <w:szCs w:val="18"/>
                <w:color w:val="auto"/>
              </w:rPr>
              <w:t>4,152</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4,482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Long-term debt</w:t>
            </w:r>
          </w:p>
        </w:tc>
        <w:tc>
          <w:tcPr>
            <w:tcW w:w="2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Arial" w:cs="Arial" w:eastAsia="Arial" w:hAnsi="Arial"/>
                <w:sz w:val="18"/>
                <w:szCs w:val="18"/>
                <w:color w:val="auto"/>
              </w:rPr>
              <w:t>Included in Long-term obligations to equity companies</w:t>
            </w:r>
          </w:p>
        </w:tc>
        <w:tc>
          <w:tcPr>
            <w:tcW w:w="24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4900" w:type="dxa"/>
            <w:vAlign w:val="bottom"/>
          </w:tcPr>
          <w:p>
            <w:pPr>
              <w:ind w:left="440"/>
              <w:spacing w:after="0"/>
              <w:rPr>
                <w:sz w:val="20"/>
                <w:szCs w:val="20"/>
                <w:color w:val="auto"/>
              </w:rPr>
            </w:pPr>
            <w:r>
              <w:rPr>
                <w:rFonts w:ascii="Arial" w:cs="Arial" w:eastAsia="Arial" w:hAnsi="Arial"/>
                <w:sz w:val="18"/>
                <w:szCs w:val="18"/>
                <w:color w:val="auto"/>
              </w:rPr>
              <w:t>Total lease liability</w:t>
            </w:r>
          </w:p>
        </w:tc>
        <w:tc>
          <w:tcPr>
            <w:tcW w:w="2460" w:type="dxa"/>
            <w:vAlign w:val="bottom"/>
          </w:tcPr>
          <w:p>
            <w:pPr>
              <w:spacing w:after="0"/>
              <w:rPr>
                <w:sz w:val="18"/>
                <w:szCs w:val="18"/>
                <w:color w:val="auto"/>
              </w:rPr>
            </w:pPr>
          </w:p>
        </w:tc>
        <w:tc>
          <w:tcPr>
            <w:tcW w:w="13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551</w:t>
            </w:r>
          </w:p>
        </w:tc>
        <w:tc>
          <w:tcPr>
            <w:tcW w:w="126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5,142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5,693</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2460" w:type="dxa"/>
            <w:vAlign w:val="bottom"/>
          </w:tcPr>
          <w:p>
            <w:pPr>
              <w:jc w:val="right"/>
              <w:ind w:right="1470"/>
              <w:spacing w:after="0"/>
              <w:rPr>
                <w:sz w:val="20"/>
                <w:szCs w:val="20"/>
                <w:color w:val="auto"/>
              </w:rPr>
            </w:pPr>
            <w:r>
              <w:rPr>
                <w:rFonts w:ascii="Arial" w:cs="Arial" w:eastAsia="Arial" w:hAnsi="Arial"/>
                <w:sz w:val="18"/>
                <w:szCs w:val="18"/>
                <w:color w:val="auto"/>
              </w:rPr>
              <w:t>86</w:t>
            </w: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9A9A9A"/>
            </w:tcBorders>
          </w:tcPr>
          <w:p>
            <w:pPr>
              <w:spacing w:after="0"/>
              <w:rPr>
                <w:sz w:val="17"/>
                <w:szCs w:val="17"/>
                <w:color w:val="auto"/>
              </w:rPr>
            </w:pPr>
          </w:p>
        </w:tc>
        <w:tc>
          <w:tcPr>
            <w:tcW w:w="24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40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b w:val="1"/>
                <w:bCs w:val="1"/>
                <w:color w:val="auto"/>
              </w:rPr>
              <w:t>Operating Leases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Drilling Rigs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05"/>
        </w:trPr>
        <w:tc>
          <w:tcPr>
            <w:tcW w:w="7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and Related</w:t>
            </w: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Equipment</w:t>
            </w:r>
          </w:p>
        </w:tc>
        <w:tc>
          <w:tcPr>
            <w:tcW w:w="1040" w:type="dxa"/>
            <w:vAlign w:val="bottom"/>
            <w:tcBorders>
              <w:bottom w:val="single" w:sz="8" w:color="auto"/>
            </w:tcBorders>
          </w:tcPr>
          <w:p>
            <w:pPr>
              <w:jc w:val="center"/>
              <w:ind w:left="174"/>
              <w:spacing w:after="0"/>
              <w:rPr>
                <w:sz w:val="20"/>
                <w:szCs w:val="20"/>
                <w:color w:val="auto"/>
              </w:rPr>
            </w:pPr>
            <w:r>
              <w:rPr>
                <w:rFonts w:ascii="Arial" w:cs="Arial" w:eastAsia="Arial" w:hAnsi="Arial"/>
                <w:sz w:val="14"/>
                <w:szCs w:val="14"/>
                <w:b w:val="1"/>
                <w:bCs w:val="1"/>
                <w:color w:val="auto"/>
              </w:rPr>
              <w:t>Other</w:t>
            </w:r>
          </w:p>
        </w:tc>
        <w:tc>
          <w:tcPr>
            <w:tcW w:w="9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1"/>
        </w:trPr>
        <w:tc>
          <w:tcPr>
            <w:tcW w:w="7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center"/>
              <w:ind w:right="640"/>
              <w:spacing w:after="0"/>
              <w:rPr>
                <w:sz w:val="20"/>
                <w:szCs w:val="20"/>
                <w:color w:val="auto"/>
              </w:rPr>
            </w:pPr>
            <w:r>
              <w:rPr>
                <w:rFonts w:ascii="Arial" w:cs="Arial" w:eastAsia="Arial" w:hAnsi="Arial"/>
                <w:sz w:val="14"/>
                <w:szCs w:val="14"/>
                <w:i w:val="1"/>
                <w:iCs w:val="1"/>
                <w:color w:val="auto"/>
                <w:w w:val="97"/>
              </w:rPr>
              <w:t>(millions of dollars)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Maturity Analysis of Lease Liabilities</w:t>
            </w:r>
          </w:p>
        </w:tc>
        <w:tc>
          <w:tcPr>
            <w:tcW w:w="1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1"/>
              </w:rPr>
              <w:t>December 31, 2019</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60" w:type="dxa"/>
            <w:vAlign w:val="bottom"/>
          </w:tcPr>
          <w:p>
            <w:pPr>
              <w:spacing w:after="0" w:line="195" w:lineRule="exact"/>
              <w:rPr>
                <w:sz w:val="20"/>
                <w:szCs w:val="20"/>
                <w:color w:val="auto"/>
              </w:rPr>
            </w:pPr>
            <w:r>
              <w:rPr>
                <w:rFonts w:ascii="Arial" w:cs="Arial" w:eastAsia="Arial" w:hAnsi="Arial"/>
                <w:sz w:val="18"/>
                <w:szCs w:val="18"/>
                <w:color w:val="auto"/>
              </w:rPr>
              <w:t>2020</w:t>
            </w:r>
          </w:p>
        </w:tc>
        <w:tc>
          <w:tcPr>
            <w:tcW w:w="1360" w:type="dxa"/>
            <w:vAlign w:val="bottom"/>
          </w:tcPr>
          <w:p>
            <w:pPr>
              <w:jc w:val="right"/>
              <w:ind w:right="55"/>
              <w:spacing w:after="0" w:line="195" w:lineRule="exact"/>
              <w:rPr>
                <w:sz w:val="20"/>
                <w:szCs w:val="20"/>
                <w:color w:val="auto"/>
              </w:rPr>
            </w:pPr>
            <w:r>
              <w:rPr>
                <w:rFonts w:ascii="Arial" w:cs="Arial" w:eastAsia="Arial" w:hAnsi="Arial"/>
                <w:sz w:val="18"/>
                <w:szCs w:val="18"/>
                <w:color w:val="auto"/>
              </w:rPr>
              <w:t>234</w:t>
            </w:r>
          </w:p>
        </w:tc>
        <w:tc>
          <w:tcPr>
            <w:tcW w:w="1040" w:type="dxa"/>
            <w:vAlign w:val="bottom"/>
          </w:tcPr>
          <w:p>
            <w:pPr>
              <w:jc w:val="right"/>
              <w:ind w:right="174"/>
              <w:spacing w:after="0" w:line="195" w:lineRule="exact"/>
              <w:rPr>
                <w:sz w:val="20"/>
                <w:szCs w:val="20"/>
                <w:color w:val="auto"/>
              </w:rPr>
            </w:pPr>
            <w:r>
              <w:rPr>
                <w:rFonts w:ascii="Arial" w:cs="Arial" w:eastAsia="Arial" w:hAnsi="Arial"/>
                <w:sz w:val="18"/>
                <w:szCs w:val="18"/>
                <w:color w:val="auto"/>
              </w:rPr>
              <w:t>1,127</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1,361</w:t>
            </w:r>
          </w:p>
        </w:tc>
        <w:tc>
          <w:tcPr>
            <w:tcW w:w="22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2021</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134</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886</w:t>
            </w: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2022</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625</w:t>
            </w: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468</w:t>
            </w: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2024</w:t>
            </w: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30</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425</w:t>
            </w:r>
          </w:p>
        </w:tc>
        <w:tc>
          <w:tcPr>
            <w:tcW w:w="720" w:type="dxa"/>
            <w:vAlign w:val="bottom"/>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2025 and beyond</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72</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2,681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195"/>
        </w:trPr>
        <w:tc>
          <w:tcPr>
            <w:tcW w:w="7360" w:type="dxa"/>
            <w:vAlign w:val="bottom"/>
          </w:tcPr>
          <w:p>
            <w:pPr>
              <w:ind w:left="220"/>
              <w:spacing w:after="0" w:line="195" w:lineRule="exact"/>
              <w:rPr>
                <w:sz w:val="20"/>
                <w:szCs w:val="20"/>
                <w:color w:val="auto"/>
              </w:rPr>
            </w:pPr>
            <w:r>
              <w:rPr>
                <w:rFonts w:ascii="Arial" w:cs="Arial" w:eastAsia="Arial" w:hAnsi="Arial"/>
                <w:sz w:val="18"/>
                <w:szCs w:val="18"/>
                <w:color w:val="auto"/>
              </w:rPr>
              <w:t>Total lease payments</w:t>
            </w:r>
          </w:p>
        </w:tc>
        <w:tc>
          <w:tcPr>
            <w:tcW w:w="1360" w:type="dxa"/>
            <w:vAlign w:val="bottom"/>
          </w:tcPr>
          <w:p>
            <w:pPr>
              <w:jc w:val="right"/>
              <w:ind w:right="55"/>
              <w:spacing w:after="0" w:line="195" w:lineRule="exact"/>
              <w:rPr>
                <w:sz w:val="20"/>
                <w:szCs w:val="20"/>
                <w:color w:val="auto"/>
              </w:rPr>
            </w:pPr>
            <w:r>
              <w:rPr>
                <w:rFonts w:ascii="Arial" w:cs="Arial" w:eastAsia="Arial" w:hAnsi="Arial"/>
                <w:sz w:val="18"/>
                <w:szCs w:val="18"/>
                <w:color w:val="auto"/>
              </w:rPr>
              <w:t>588</w:t>
            </w:r>
          </w:p>
        </w:tc>
        <w:tc>
          <w:tcPr>
            <w:tcW w:w="1040" w:type="dxa"/>
            <w:vAlign w:val="bottom"/>
          </w:tcPr>
          <w:p>
            <w:pPr>
              <w:jc w:val="right"/>
              <w:ind w:right="174"/>
              <w:spacing w:after="0" w:line="195" w:lineRule="exact"/>
              <w:rPr>
                <w:sz w:val="20"/>
                <w:szCs w:val="20"/>
                <w:color w:val="auto"/>
              </w:rPr>
            </w:pPr>
            <w:r>
              <w:rPr>
                <w:rFonts w:ascii="Arial" w:cs="Arial" w:eastAsia="Arial" w:hAnsi="Arial"/>
                <w:sz w:val="18"/>
                <w:szCs w:val="18"/>
                <w:color w:val="auto"/>
              </w:rPr>
              <w:t>6,212</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6,800</w:t>
            </w:r>
          </w:p>
        </w:tc>
        <w:tc>
          <w:tcPr>
            <w:tcW w:w="22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Discount to present value</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(1,070)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720" w:type="dxa"/>
            <w:vAlign w:val="bottom"/>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0"/>
        </w:trPr>
        <w:tc>
          <w:tcPr>
            <w:tcW w:w="7360" w:type="dxa"/>
            <w:vAlign w:val="bottom"/>
          </w:tcPr>
          <w:p>
            <w:pPr>
              <w:ind w:left="220"/>
              <w:spacing w:after="0"/>
              <w:rPr>
                <w:sz w:val="20"/>
                <w:szCs w:val="20"/>
                <w:color w:val="auto"/>
              </w:rPr>
            </w:pPr>
            <w:r>
              <w:rPr>
                <w:rFonts w:ascii="Arial" w:cs="Arial" w:eastAsia="Arial" w:hAnsi="Arial"/>
                <w:sz w:val="18"/>
                <w:szCs w:val="18"/>
                <w:color w:val="auto"/>
              </w:rPr>
              <w:t>Total lease liability</w:t>
            </w:r>
          </w:p>
        </w:tc>
        <w:tc>
          <w:tcPr>
            <w:tcW w:w="13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551</w:t>
            </w:r>
          </w:p>
        </w:tc>
        <w:tc>
          <w:tcPr>
            <w:tcW w:w="10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rPr>
              <w:t>5,142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411"/>
        </w:trPr>
        <w:tc>
          <w:tcPr>
            <w:tcW w:w="7360" w:type="dxa"/>
            <w:vAlign w:val="bottom"/>
          </w:tcPr>
          <w:p>
            <w:pPr>
              <w:spacing w:after="0"/>
              <w:rPr>
                <w:sz w:val="20"/>
                <w:szCs w:val="20"/>
                <w:color w:val="auto"/>
              </w:rPr>
            </w:pPr>
            <w:r>
              <w:rPr>
                <w:rFonts w:ascii="Arial" w:cs="Arial" w:eastAsia="Arial" w:hAnsi="Arial"/>
                <w:sz w:val="18"/>
                <w:szCs w:val="18"/>
                <w:color w:val="auto"/>
              </w:rPr>
              <w:t>Weighted average remaining lease term -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Weighted average discount rate - percent</w:t>
            </w: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lease liabilities in the table immediately above, at December 31, 2019, undiscounted commitments for leases not yet commenced totaled $848 million for operating leases and $3,721 million for finance leases. The finance leases relate to floating production storage and offloading vessels, LNG transportation vessels, and a long-term hydrogen purchase agreement. The underlying assets for these finance leases were primarily designed by, and are being constructed by, the lessors.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60" w:type="dxa"/>
            <w:vAlign w:val="bottom"/>
          </w:tcPr>
          <w:p>
            <w:pPr>
              <w:spacing w:after="0"/>
              <w:rPr>
                <w:sz w:val="19"/>
                <w:szCs w:val="19"/>
                <w:color w:val="auto"/>
              </w:rPr>
            </w:pPr>
          </w:p>
        </w:tc>
        <w:tc>
          <w:tcPr>
            <w:tcW w:w="1340" w:type="dxa"/>
            <w:vAlign w:val="bottom"/>
          </w:tcPr>
          <w:p>
            <w:pPr>
              <w:jc w:val="right"/>
              <w:ind w:right="20"/>
              <w:spacing w:after="0"/>
              <w:rPr>
                <w:sz w:val="20"/>
                <w:szCs w:val="20"/>
                <w:color w:val="auto"/>
              </w:rPr>
            </w:pPr>
            <w:r>
              <w:rPr>
                <w:rFonts w:ascii="Arial" w:cs="Arial" w:eastAsia="Arial" w:hAnsi="Arial"/>
                <w:sz w:val="14"/>
                <w:szCs w:val="14"/>
                <w:b w:val="1"/>
                <w:bCs w:val="1"/>
                <w:color w:val="auto"/>
              </w:rPr>
              <w:t>Drilling Rigs</w:t>
            </w: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05"/>
        </w:trPr>
        <w:tc>
          <w:tcPr>
            <w:tcW w:w="73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4"/>
                <w:szCs w:val="14"/>
                <w:b w:val="1"/>
                <w:bCs w:val="1"/>
                <w:color w:val="auto"/>
              </w:rPr>
              <w:t>and Related</w:t>
            </w: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60" w:type="dxa"/>
            <w:vAlign w:val="bottom"/>
          </w:tcPr>
          <w:p>
            <w:pPr>
              <w:spacing w:after="0"/>
              <w:rPr>
                <w:sz w:val="18"/>
                <w:szCs w:val="18"/>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Equipment</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1"/>
        </w:trPr>
        <w:tc>
          <w:tcPr>
            <w:tcW w:w="7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Other Information</w:t>
            </w: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60" w:type="dxa"/>
            <w:vAlign w:val="bottom"/>
          </w:tcPr>
          <w:p>
            <w:pPr>
              <w:ind w:left="40"/>
              <w:spacing w:after="0" w:line="19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60"/>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8"/>
                <w:szCs w:val="18"/>
                <w:color w:val="auto"/>
              </w:rPr>
              <w:t>1,116</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1,116</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360" w:type="dxa"/>
            <w:vAlign w:val="bottom"/>
          </w:tcPr>
          <w:p>
            <w:pPr>
              <w:ind w:left="260"/>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jc w:val="right"/>
              <w:ind w:right="80"/>
              <w:spacing w:after="0"/>
              <w:rPr>
                <w:sz w:val="20"/>
                <w:szCs w:val="20"/>
                <w:color w:val="auto"/>
              </w:rPr>
            </w:pPr>
            <w:r>
              <w:rPr>
                <w:rFonts w:ascii="Arial" w:cs="Arial" w:eastAsia="Arial" w:hAnsi="Arial"/>
                <w:sz w:val="18"/>
                <w:szCs w:val="18"/>
                <w:color w:val="auto"/>
              </w:rPr>
              <w:t>258</w:t>
            </w:r>
          </w:p>
        </w:tc>
        <w:tc>
          <w:tcPr>
            <w:tcW w:w="12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18"/>
        </w:trPr>
        <w:tc>
          <w:tcPr>
            <w:tcW w:w="7360" w:type="dxa"/>
            <w:vAlign w:val="bottom"/>
          </w:tcPr>
          <w:p>
            <w:pPr>
              <w:ind w:left="40"/>
              <w:spacing w:after="0"/>
              <w:rPr>
                <w:sz w:val="20"/>
                <w:szCs w:val="20"/>
                <w:color w:val="auto"/>
              </w:rPr>
            </w:pPr>
            <w:r>
              <w:rPr>
                <w:rFonts w:ascii="Arial" w:cs="Arial" w:eastAsia="Arial" w:hAnsi="Arial"/>
                <w:sz w:val="18"/>
                <w:szCs w:val="18"/>
                <w:color w:val="auto"/>
              </w:rPr>
              <w:t>Noncash right of use assets recorded for lease liabilities</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60"/>
              <w:spacing w:after="0"/>
              <w:rPr>
                <w:sz w:val="20"/>
                <w:szCs w:val="20"/>
                <w:color w:val="auto"/>
              </w:rPr>
            </w:pPr>
            <w:r>
              <w:rPr>
                <w:rFonts w:ascii="Arial" w:cs="Arial" w:eastAsia="Arial" w:hAnsi="Arial"/>
                <w:sz w:val="18"/>
                <w:szCs w:val="18"/>
                <w:color w:val="auto"/>
              </w:rPr>
              <w:t xml:space="preserve">For January 1 adoption of </w:t>
            </w:r>
            <w:r>
              <w:rPr>
                <w:rFonts w:ascii="Arial" w:cs="Arial" w:eastAsia="Arial" w:hAnsi="Arial"/>
                <w:sz w:val="18"/>
                <w:szCs w:val="18"/>
                <w:i w:val="1"/>
                <w:iCs w:val="1"/>
                <w:color w:val="auto"/>
              </w:rPr>
              <w:t>Topic 842</w:t>
            </w:r>
          </w:p>
        </w:tc>
        <w:tc>
          <w:tcPr>
            <w:tcW w:w="1340" w:type="dxa"/>
            <w:vAlign w:val="bottom"/>
          </w:tcPr>
          <w:p>
            <w:pPr>
              <w:jc w:val="right"/>
              <w:ind w:right="80"/>
              <w:spacing w:after="0"/>
              <w:rPr>
                <w:sz w:val="20"/>
                <w:szCs w:val="20"/>
                <w:color w:val="auto"/>
              </w:rPr>
            </w:pPr>
            <w:r>
              <w:rPr>
                <w:rFonts w:ascii="Arial" w:cs="Arial" w:eastAsia="Arial" w:hAnsi="Arial"/>
                <w:sz w:val="18"/>
                <w:szCs w:val="18"/>
                <w:color w:val="auto"/>
              </w:rPr>
              <w:t>445</w:t>
            </w:r>
          </w:p>
        </w:tc>
        <w:tc>
          <w:tcPr>
            <w:tcW w:w="1280" w:type="dxa"/>
            <w:vAlign w:val="bottom"/>
          </w:tcPr>
          <w:p>
            <w:pPr>
              <w:jc w:val="right"/>
              <w:ind w:right="439"/>
              <w:spacing w:after="0"/>
              <w:rPr>
                <w:sz w:val="20"/>
                <w:szCs w:val="20"/>
                <w:color w:val="auto"/>
              </w:rPr>
            </w:pPr>
            <w:r>
              <w:rPr>
                <w:rFonts w:ascii="Arial" w:cs="Arial" w:eastAsia="Arial" w:hAnsi="Arial"/>
                <w:sz w:val="18"/>
                <w:szCs w:val="18"/>
                <w:color w:val="auto"/>
              </w:rPr>
              <w:t>2,818</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3,263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In exchange for new lease liabilities during the period</w:t>
            </w:r>
          </w:p>
        </w:tc>
        <w:tc>
          <w:tcPr>
            <w:tcW w:w="1340" w:type="dxa"/>
            <w:vAlign w:val="bottom"/>
          </w:tcPr>
          <w:p>
            <w:pPr>
              <w:jc w:val="right"/>
              <w:ind w:right="80"/>
              <w:spacing w:after="0"/>
              <w:rPr>
                <w:sz w:val="20"/>
                <w:szCs w:val="20"/>
                <w:color w:val="auto"/>
              </w:rPr>
            </w:pPr>
            <w:r>
              <w:rPr>
                <w:rFonts w:ascii="Arial" w:cs="Arial" w:eastAsia="Arial" w:hAnsi="Arial"/>
                <w:sz w:val="18"/>
                <w:szCs w:val="18"/>
                <w:color w:val="auto"/>
              </w:rPr>
              <w:t>350</w:t>
            </w:r>
          </w:p>
        </w:tc>
        <w:tc>
          <w:tcPr>
            <w:tcW w:w="1280" w:type="dxa"/>
            <w:vAlign w:val="bottom"/>
          </w:tcPr>
          <w:p>
            <w:pPr>
              <w:jc w:val="right"/>
              <w:ind w:right="439"/>
              <w:spacing w:after="0"/>
              <w:rPr>
                <w:sz w:val="20"/>
                <w:szCs w:val="20"/>
                <w:color w:val="auto"/>
              </w:rPr>
            </w:pPr>
            <w:r>
              <w:rPr>
                <w:rFonts w:ascii="Arial" w:cs="Arial" w:eastAsia="Arial" w:hAnsi="Arial"/>
                <w:sz w:val="18"/>
                <w:szCs w:val="18"/>
                <w:color w:val="auto"/>
              </w:rPr>
              <w:t>3,313</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3,663</w:t>
            </w: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under the previous lease standard (ASC 840)</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Net rental cost incurred under both cancelable and noncancelable operating leases was $2,715 million in 2018 and $2,618 million in 2017. At December 31, 2018, minimum undiscounted lease commitments under noncancelable operating leases and charters for 2019 and beyond were $6,112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Earnings per common share</w:t>
            </w:r>
          </w:p>
        </w:tc>
        <w:tc>
          <w:tcPr>
            <w:tcW w:w="2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r>
      <w:tr>
        <w:trPr>
          <w:trHeight w:val="426"/>
        </w:trPr>
        <w:tc>
          <w:tcPr>
            <w:tcW w:w="6740" w:type="dxa"/>
            <w:vAlign w:val="bottom"/>
          </w:tcPr>
          <w:p>
            <w:pPr>
              <w:spacing w:after="0"/>
              <w:rPr>
                <w:sz w:val="20"/>
                <w:szCs w:val="20"/>
                <w:color w:val="auto"/>
              </w:rPr>
            </w:pPr>
            <w:r>
              <w:rPr>
                <w:rFonts w:ascii="Arial" w:cs="Arial" w:eastAsia="Arial" w:hAnsi="Arial"/>
                <w:sz w:val="18"/>
                <w:szCs w:val="18"/>
                <w:color w:val="auto"/>
              </w:rPr>
              <w:t xml:space="preserve">Net income attributable to ExxonMobil </w:t>
            </w:r>
            <w:r>
              <w:rPr>
                <w:rFonts w:ascii="Arial" w:cs="Arial" w:eastAsia="Arial" w:hAnsi="Arial"/>
                <w:sz w:val="18"/>
                <w:szCs w:val="18"/>
                <w:i w:val="1"/>
                <w:iCs w:val="1"/>
                <w:color w:val="auto"/>
              </w:rPr>
              <w:t>(millions of dollars)</w:t>
            </w:r>
          </w:p>
        </w:tc>
        <w:tc>
          <w:tcPr>
            <w:tcW w:w="2180" w:type="dxa"/>
            <w:vAlign w:val="bottom"/>
          </w:tcPr>
          <w:p>
            <w:pPr>
              <w:jc w:val="right"/>
              <w:ind w:right="414"/>
              <w:spacing w:after="0"/>
              <w:rPr>
                <w:sz w:val="20"/>
                <w:szCs w:val="20"/>
                <w:color w:val="auto"/>
              </w:rPr>
            </w:pPr>
            <w:r>
              <w:rPr>
                <w:rFonts w:ascii="Arial" w:cs="Arial" w:eastAsia="Arial" w:hAnsi="Arial"/>
                <w:sz w:val="18"/>
                <w:szCs w:val="18"/>
                <w:color w:val="auto"/>
              </w:rPr>
              <w:t>14,340</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20,840</w:t>
            </w:r>
          </w:p>
        </w:tc>
        <w:tc>
          <w:tcPr>
            <w:tcW w:w="1040" w:type="dxa"/>
            <w:vAlign w:val="bottom"/>
          </w:tcPr>
          <w:p>
            <w:pPr>
              <w:jc w:val="right"/>
              <w:spacing w:after="0"/>
              <w:rPr>
                <w:sz w:val="20"/>
                <w:szCs w:val="20"/>
                <w:color w:val="auto"/>
              </w:rPr>
            </w:pPr>
            <w:r>
              <w:rPr>
                <w:rFonts w:ascii="Arial" w:cs="Arial" w:eastAsia="Arial" w:hAnsi="Arial"/>
                <w:sz w:val="18"/>
                <w:szCs w:val="18"/>
                <w:color w:val="auto"/>
              </w:rPr>
              <w:t>19,710</w:t>
            </w: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i w:val="1"/>
                <w:iCs w:val="1"/>
                <w:color w:val="auto"/>
              </w:rPr>
              <w:t>(millions of shares)</w:t>
            </w:r>
          </w:p>
        </w:tc>
        <w:tc>
          <w:tcPr>
            <w:tcW w:w="2180" w:type="dxa"/>
            <w:vAlign w:val="bottom"/>
          </w:tcPr>
          <w:p>
            <w:pPr>
              <w:jc w:val="right"/>
              <w:ind w:right="414"/>
              <w:spacing w:after="0"/>
              <w:rPr>
                <w:sz w:val="20"/>
                <w:szCs w:val="20"/>
                <w:color w:val="auto"/>
              </w:rPr>
            </w:pPr>
            <w:r>
              <w:rPr>
                <w:rFonts w:ascii="Arial" w:cs="Arial" w:eastAsia="Arial" w:hAnsi="Arial"/>
                <w:sz w:val="18"/>
                <w:szCs w:val="18"/>
                <w:color w:val="auto"/>
              </w:rPr>
              <w:t>4,270</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4,270</w:t>
            </w:r>
          </w:p>
        </w:tc>
        <w:tc>
          <w:tcPr>
            <w:tcW w:w="1040" w:type="dxa"/>
            <w:vAlign w:val="bottom"/>
          </w:tcPr>
          <w:p>
            <w:pPr>
              <w:jc w:val="right"/>
              <w:spacing w:after="0"/>
              <w:rPr>
                <w:sz w:val="20"/>
                <w:szCs w:val="20"/>
                <w:color w:val="auto"/>
              </w:rPr>
            </w:pPr>
            <w:r>
              <w:rPr>
                <w:rFonts w:ascii="Arial" w:cs="Arial" w:eastAsia="Arial" w:hAnsi="Arial"/>
                <w:sz w:val="18"/>
                <w:szCs w:val="18"/>
                <w:color w:val="auto"/>
              </w:rPr>
              <w:t>4,256</w:t>
            </w: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4"/>
                <w:szCs w:val="14"/>
                <w:i w:val="1"/>
                <w:iCs w:val="1"/>
                <w:color w:val="auto"/>
              </w:rPr>
              <w:t>(1)</w:t>
            </w:r>
          </w:p>
        </w:tc>
        <w:tc>
          <w:tcPr>
            <w:tcW w:w="2180" w:type="dxa"/>
            <w:vAlign w:val="bottom"/>
          </w:tcPr>
          <w:p>
            <w:pPr>
              <w:jc w:val="right"/>
              <w:ind w:right="414"/>
              <w:spacing w:after="0"/>
              <w:rPr>
                <w:sz w:val="20"/>
                <w:szCs w:val="20"/>
                <w:color w:val="auto"/>
              </w:rPr>
            </w:pPr>
            <w:r>
              <w:rPr>
                <w:rFonts w:ascii="Arial" w:cs="Arial" w:eastAsia="Arial" w:hAnsi="Arial"/>
                <w:sz w:val="18"/>
                <w:szCs w:val="18"/>
                <w:color w:val="auto"/>
              </w:rPr>
              <w:t>3.36</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4.88</w:t>
            </w:r>
          </w:p>
        </w:tc>
        <w:tc>
          <w:tcPr>
            <w:tcW w:w="10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 xml:space="preserve">Dividends paid per common share </w:t>
            </w:r>
            <w:r>
              <w:rPr>
                <w:rFonts w:ascii="Arial" w:cs="Arial" w:eastAsia="Arial" w:hAnsi="Arial"/>
                <w:sz w:val="18"/>
                <w:szCs w:val="18"/>
                <w:i w:val="1"/>
                <w:iCs w:val="1"/>
                <w:color w:val="auto"/>
              </w:rPr>
              <w:t>(dollars)</w:t>
            </w:r>
          </w:p>
        </w:tc>
        <w:tc>
          <w:tcPr>
            <w:tcW w:w="2180" w:type="dxa"/>
            <w:vAlign w:val="bottom"/>
          </w:tcPr>
          <w:p>
            <w:pPr>
              <w:jc w:val="right"/>
              <w:ind w:right="414"/>
              <w:spacing w:after="0"/>
              <w:rPr>
                <w:sz w:val="20"/>
                <w:szCs w:val="20"/>
                <w:color w:val="auto"/>
              </w:rPr>
            </w:pPr>
            <w:r>
              <w:rPr>
                <w:rFonts w:ascii="Arial" w:cs="Arial" w:eastAsia="Arial" w:hAnsi="Arial"/>
                <w:sz w:val="18"/>
                <w:szCs w:val="18"/>
                <w:color w:val="auto"/>
              </w:rPr>
              <w:t>3.43</w:t>
            </w:r>
          </w:p>
        </w:tc>
        <w:tc>
          <w:tcPr>
            <w:tcW w:w="1460" w:type="dxa"/>
            <w:vAlign w:val="bottom"/>
          </w:tcPr>
          <w:p>
            <w:pPr>
              <w:jc w:val="right"/>
              <w:ind w:right="394"/>
              <w:spacing w:after="0"/>
              <w:rPr>
                <w:sz w:val="20"/>
                <w:szCs w:val="20"/>
                <w:color w:val="auto"/>
              </w:rPr>
            </w:pPr>
            <w:r>
              <w:rPr>
                <w:rFonts w:ascii="Arial" w:cs="Arial" w:eastAsia="Arial" w:hAnsi="Arial"/>
                <w:sz w:val="18"/>
                <w:szCs w:val="18"/>
                <w:color w:val="auto"/>
              </w:rPr>
              <w:t>3.23</w:t>
            </w: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r>
    </w:tbl>
    <w:p>
      <w:pPr>
        <w:spacing w:after="0" w:line="94" w:lineRule="exact"/>
        <w:rPr>
          <w:sz w:val="20"/>
          <w:szCs w:val="20"/>
          <w:color w:val="auto"/>
        </w:rPr>
      </w:pPr>
    </w:p>
    <w:p>
      <w:pPr>
        <w:ind w:left="5620" w:right="2160" w:hanging="5612"/>
        <w:spacing w:after="0" w:line="293" w:lineRule="auto"/>
        <w:tabs>
          <w:tab w:leader="none" w:pos="53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earnings per common share and earnings per common share - assuming dilution are the same in each period shown. </w:t>
      </w: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and Derivatives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The estimated fair value of financial instruments at December 31, 2019 and December 31, 2018, and the related hierarchy level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measurement is as follows: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2"/>
              </w:rPr>
              <w:t>At December 31, 2019</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center"/>
              <w:ind w:left="268"/>
              <w:spacing w:after="0"/>
              <w:rPr>
                <w:sz w:val="20"/>
                <w:szCs w:val="20"/>
                <w:color w:val="auto"/>
              </w:rPr>
            </w:pPr>
            <w:r>
              <w:rPr>
                <w:rFonts w:ascii="Arial" w:cs="Arial" w:eastAsia="Arial" w:hAnsi="Arial"/>
                <w:sz w:val="14"/>
                <w:szCs w:val="14"/>
                <w:i w:val="1"/>
                <w:iCs w:val="1"/>
                <w:color w:val="auto"/>
                <w:w w:val="97"/>
              </w:rPr>
              <w:t>(millions of dollars)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9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Difference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Gross</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Effect of</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of</w:t>
            </w:r>
          </w:p>
        </w:tc>
        <w:tc>
          <w:tcPr>
            <w:tcW w:w="1120" w:type="dxa"/>
            <w:vAlign w:val="bottom"/>
            <w:gridSpan w:val="2"/>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 Carrying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Collateral</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and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&amp; Liabilities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3"/>
        </w:trPr>
        <w:tc>
          <w:tcPr>
            <w:tcW w:w="2960" w:type="dxa"/>
            <w:vAlign w:val="bottom"/>
            <w:vMerge w:val="continue"/>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14"/>
                <w:szCs w:val="14"/>
                <w:i w:val="1"/>
                <w:iCs w:val="1"/>
                <w:color w:val="auto"/>
              </w:rPr>
              <w:t>(1)</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102</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635</w:t>
            </w: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Advances to/receivables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460"/>
              <w:spacing w:after="0"/>
              <w:rPr>
                <w:sz w:val="20"/>
                <w:szCs w:val="20"/>
                <w:color w:val="auto"/>
              </w:rPr>
            </w:pPr>
            <w:r>
              <w:rPr>
                <w:rFonts w:ascii="Arial" w:cs="Arial" w:eastAsia="Arial" w:hAnsi="Arial"/>
                <w:sz w:val="14"/>
                <w:szCs w:val="14"/>
                <w:color w:val="auto"/>
              </w:rPr>
              <w:t xml:space="preserve">from equity companies </w:t>
            </w:r>
            <w:r>
              <w:rPr>
                <w:rFonts w:ascii="Arial" w:cs="Arial" w:eastAsia="Arial" w:hAnsi="Arial"/>
                <w:sz w:val="14"/>
                <w:szCs w:val="14"/>
                <w:i w:val="1"/>
                <w:iCs w:val="1"/>
                <w:color w:val="auto"/>
              </w:rPr>
              <w:t>(2)(7)</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1,941</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6,729</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8,670</w:t>
            </w:r>
          </w:p>
        </w:tc>
        <w:tc>
          <w:tcPr>
            <w:tcW w:w="12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8,542</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Other long-term</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460"/>
              <w:spacing w:after="0"/>
              <w:rPr>
                <w:sz w:val="20"/>
                <w:szCs w:val="20"/>
                <w:color w:val="auto"/>
              </w:rPr>
            </w:pPr>
            <w:r>
              <w:rPr>
                <w:rFonts w:ascii="Arial" w:cs="Arial" w:eastAsia="Arial" w:hAnsi="Arial"/>
                <w:sz w:val="14"/>
                <w:szCs w:val="14"/>
                <w:color w:val="auto"/>
              </w:rPr>
              <w:t xml:space="preserve">financial assets </w:t>
            </w:r>
            <w:r>
              <w:rPr>
                <w:rFonts w:ascii="Arial" w:cs="Arial" w:eastAsia="Arial" w:hAnsi="Arial"/>
                <w:sz w:val="14"/>
                <w:szCs w:val="14"/>
                <w:i w:val="1"/>
                <w:iCs w:val="1"/>
                <w:color w:val="auto"/>
              </w:rPr>
              <w:t>(3)</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14"/>
                <w:szCs w:val="14"/>
                <w:i w:val="1"/>
                <w:iCs w:val="1"/>
                <w:color w:val="auto"/>
              </w:rPr>
              <w:t>(4)</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638</w:t>
            </w: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4"/>
                <w:szCs w:val="14"/>
                <w:i w:val="1"/>
                <w:iCs w:val="1"/>
                <w:color w:val="auto"/>
              </w:rPr>
              <w:t>(5)</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25,652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25,789</w:t>
            </w: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(1,117)</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24,672</w:t>
            </w: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Long-term obligations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60"/>
              <w:spacing w:after="0" w:line="149" w:lineRule="exact"/>
              <w:rPr>
                <w:sz w:val="20"/>
                <w:szCs w:val="20"/>
                <w:color w:val="auto"/>
              </w:rPr>
            </w:pPr>
            <w:r>
              <w:rPr>
                <w:rFonts w:ascii="Arial" w:cs="Arial" w:eastAsia="Arial" w:hAnsi="Arial"/>
                <w:sz w:val="14"/>
                <w:szCs w:val="14"/>
                <w:color w:val="auto"/>
              </w:rPr>
              <w:t xml:space="preserve">to equity companies </w:t>
            </w:r>
            <w:r>
              <w:rPr>
                <w:rFonts w:ascii="Arial" w:cs="Arial" w:eastAsia="Arial" w:hAnsi="Arial"/>
                <w:sz w:val="14"/>
                <w:szCs w:val="14"/>
                <w:i w:val="1"/>
                <w:iCs w:val="1"/>
                <w:color w:val="auto"/>
              </w:rPr>
              <w:t>(7)</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4,245</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4,245</w:t>
            </w: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149"/>
        </w:trPr>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Other long-term</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 xml:space="preserve">financial liabilities </w:t>
            </w:r>
            <w:r>
              <w:rPr>
                <w:rFonts w:ascii="Arial" w:cs="Arial" w:eastAsia="Arial" w:hAnsi="Arial"/>
                <w:sz w:val="14"/>
                <w:szCs w:val="14"/>
                <w:i w:val="1"/>
                <w:iCs w:val="1"/>
                <w:color w:val="auto"/>
              </w:rPr>
              <w:t>(6)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392"/>
        </w:trPr>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2"/>
              </w:rPr>
              <w:t>At December 31, 2018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jc w:val="center"/>
              <w:ind w:left="268"/>
              <w:spacing w:after="0"/>
              <w:rPr>
                <w:sz w:val="20"/>
                <w:szCs w:val="20"/>
                <w:color w:val="auto"/>
              </w:rPr>
            </w:pPr>
            <w:r>
              <w:rPr>
                <w:rFonts w:ascii="Arial" w:cs="Arial" w:eastAsia="Arial" w:hAnsi="Arial"/>
                <w:sz w:val="14"/>
                <w:szCs w:val="14"/>
                <w:i w:val="1"/>
                <w:iCs w:val="1"/>
                <w:color w:val="auto"/>
                <w:w w:val="97"/>
              </w:rPr>
              <w:t>(millions of dollars)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9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Difference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Gross</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Effect of</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of</w:t>
            </w:r>
          </w:p>
        </w:tc>
        <w:tc>
          <w:tcPr>
            <w:tcW w:w="1120" w:type="dxa"/>
            <w:vAlign w:val="bottom"/>
            <w:gridSpan w:val="2"/>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 Carrying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Counterparty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Collateral</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and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&amp; Liabilities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3"/>
        </w:trPr>
        <w:tc>
          <w:tcPr>
            <w:tcW w:w="2960" w:type="dxa"/>
            <w:vAlign w:val="bottom"/>
            <w:vMerge w:val="continue"/>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14"/>
                <w:szCs w:val="14"/>
                <w:i w:val="1"/>
                <w:iCs w:val="1"/>
                <w:color w:val="auto"/>
              </w:rPr>
              <w:t>(1)</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297</w:t>
            </w: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Advances to/receivables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from equity companies </w:t>
            </w:r>
            <w:r>
              <w:rPr>
                <w:rFonts w:ascii="Arial" w:cs="Arial" w:eastAsia="Arial" w:hAnsi="Arial"/>
                <w:sz w:val="14"/>
                <w:szCs w:val="14"/>
                <w:i w:val="1"/>
                <w:iCs w:val="1"/>
                <w:color w:val="auto"/>
              </w:rPr>
              <w:t>(2)(7)</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2,100</w:t>
            </w: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6,293</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8,393</w:t>
            </w: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8,608</w:t>
            </w: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Other long-term</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580"/>
              <w:spacing w:after="0"/>
              <w:rPr>
                <w:sz w:val="20"/>
                <w:szCs w:val="20"/>
                <w:color w:val="auto"/>
              </w:rPr>
            </w:pPr>
            <w:r>
              <w:rPr>
                <w:rFonts w:ascii="Arial" w:cs="Arial" w:eastAsia="Arial" w:hAnsi="Arial"/>
                <w:sz w:val="14"/>
                <w:szCs w:val="14"/>
                <w:color w:val="auto"/>
              </w:rPr>
              <w:t xml:space="preserve">financial assets </w:t>
            </w:r>
            <w:r>
              <w:rPr>
                <w:rFonts w:ascii="Arial" w:cs="Arial" w:eastAsia="Arial" w:hAnsi="Arial"/>
                <w:sz w:val="14"/>
                <w:szCs w:val="14"/>
                <w:i w:val="1"/>
                <w:iCs w:val="1"/>
                <w:color w:val="auto"/>
              </w:rPr>
              <w:t>(3)</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1,934</w:t>
            </w:r>
          </w:p>
        </w:tc>
        <w:tc>
          <w:tcPr>
            <w:tcW w:w="0" w:type="dxa"/>
            <w:vAlign w:val="bottom"/>
          </w:tcPr>
          <w:p>
            <w:pPr>
              <w:spacing w:after="0"/>
              <w:rPr>
                <w:sz w:val="1"/>
                <w:szCs w:val="1"/>
                <w:color w:val="auto"/>
              </w:rPr>
            </w:pPr>
          </w:p>
        </w:tc>
      </w:tr>
      <w:tr>
        <w:trPr>
          <w:trHeight w:val="263"/>
        </w:trPr>
        <w:tc>
          <w:tcPr>
            <w:tcW w:w="29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14"/>
                <w:szCs w:val="14"/>
                <w:i w:val="1"/>
                <w:iCs w:val="1"/>
                <w:color w:val="auto"/>
              </w:rPr>
              <w:t>(4)</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4"/>
                <w:szCs w:val="14"/>
                <w:i w:val="1"/>
                <w:iCs w:val="1"/>
                <w:color w:val="auto"/>
              </w:rPr>
              <w:t>(5)</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19,029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117</w:t>
            </w:r>
          </w:p>
        </w:tc>
        <w:tc>
          <w:tcPr>
            <w:tcW w:w="10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19,150</w:t>
            </w: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19,235</w:t>
            </w: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Long-term obligations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to equity companies </w:t>
            </w:r>
            <w:r>
              <w:rPr>
                <w:rFonts w:ascii="Arial" w:cs="Arial" w:eastAsia="Arial" w:hAnsi="Arial"/>
                <w:sz w:val="14"/>
                <w:szCs w:val="14"/>
                <w:i w:val="1"/>
                <w:iCs w:val="1"/>
                <w:color w:val="auto"/>
              </w:rPr>
              <w:t>(7)</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4,330</w:t>
            </w:r>
          </w:p>
        </w:tc>
        <w:tc>
          <w:tcPr>
            <w:tcW w:w="100" w:type="dxa"/>
            <w:vAlign w:val="bottom"/>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4,330</w:t>
            </w:r>
          </w:p>
        </w:tc>
        <w:tc>
          <w:tcPr>
            <w:tcW w:w="120" w:type="dxa"/>
            <w:vAlign w:val="bottom"/>
          </w:tcPr>
          <w:p>
            <w:pPr>
              <w:spacing w:after="0"/>
              <w:rPr>
                <w:sz w:val="12"/>
                <w:szCs w:val="12"/>
                <w:color w:val="auto"/>
              </w:rPr>
            </w:pPr>
          </w:p>
        </w:tc>
        <w:tc>
          <w:tcPr>
            <w:tcW w:w="1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149"/>
        </w:trPr>
        <w:tc>
          <w:tcPr>
            <w:tcW w:w="2960" w:type="dxa"/>
            <w:vAlign w:val="bottom"/>
          </w:tcPr>
          <w:p>
            <w:pPr>
              <w:ind w:left="360"/>
              <w:spacing w:after="0" w:line="149" w:lineRule="exact"/>
              <w:rPr>
                <w:sz w:val="20"/>
                <w:szCs w:val="20"/>
                <w:color w:val="auto"/>
              </w:rPr>
            </w:pPr>
            <w:r>
              <w:rPr>
                <w:rFonts w:ascii="Arial" w:cs="Arial" w:eastAsia="Arial" w:hAnsi="Arial"/>
                <w:sz w:val="14"/>
                <w:szCs w:val="14"/>
                <w:color w:val="auto"/>
              </w:rPr>
              <w:t>Other long-term</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580"/>
              <w:spacing w:after="0"/>
              <w:rPr>
                <w:sz w:val="20"/>
                <w:szCs w:val="20"/>
                <w:color w:val="auto"/>
              </w:rPr>
            </w:pPr>
            <w:r>
              <w:rPr>
                <w:rFonts w:ascii="Arial" w:cs="Arial" w:eastAsia="Arial" w:hAnsi="Arial"/>
                <w:sz w:val="14"/>
                <w:szCs w:val="14"/>
                <w:color w:val="auto"/>
              </w:rPr>
              <w:t xml:space="preserve">financial liabilities </w:t>
            </w:r>
            <w:r>
              <w:rPr>
                <w:rFonts w:ascii="Arial" w:cs="Arial" w:eastAsia="Arial" w:hAnsi="Arial"/>
                <w:sz w:val="14"/>
                <w:szCs w:val="14"/>
                <w:i w:val="1"/>
                <w:iCs w:val="1"/>
                <w:color w:val="auto"/>
              </w:rPr>
              <w:t>(6)</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Notes and accounts receivable, less estimated doubtful amounts and Other assets, including intangibles, net</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 Investments, advances and long-term receivables</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Investments, advances and long term receivables and Other assets, including intangibles, net</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Accounts payable and accrued liabilities and Other long-term obligations</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finance lease obligations</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 Other long-term obligations</w:t>
      </w:r>
    </w:p>
    <w:p>
      <w:pPr>
        <w:spacing w:after="0" w:line="82" w:lineRule="exact"/>
        <w:rPr>
          <w:rFonts w:ascii="Arial" w:cs="Arial" w:eastAsia="Arial" w:hAnsi="Arial"/>
          <w:sz w:val="14"/>
          <w:szCs w:val="14"/>
          <w:i w:val="1"/>
          <w:iCs w:val="1"/>
          <w:color w:val="auto"/>
        </w:rPr>
      </w:pPr>
    </w:p>
    <w:p>
      <w:pPr>
        <w:ind w:left="120" w:right="20" w:hanging="112"/>
        <w:spacing w:after="0" w:line="345" w:lineRule="auto"/>
        <w:tabs>
          <w:tab w:leader="none" w:pos="2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estimated fair value and book value of long-term debt reflects the Corporation’s issuance of $7.0 billion of long-term debt in the third quarter of 2019.</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The Corporation’s size, strong capital structure, geographic diversity and the complementary nature of the Upstream, Downstream</w:t>
      </w:r>
      <w:r>
        <w:rPr>
          <w:rFonts w:ascii="Arial" w:cs="Arial" w:eastAsia="Arial" w:hAnsi="Arial"/>
          <w:sz w:val="18"/>
          <w:szCs w:val="18"/>
          <w:b w:val="1"/>
          <w:bCs w:val="1"/>
          <w:color w:val="auto"/>
        </w:rPr>
        <w:t xml:space="preserve"> </w:t>
      </w:r>
      <w:r>
        <w:rPr>
          <w:rFonts w:ascii="Arial" w:cs="Arial" w:eastAsia="Arial" w:hAnsi="Arial"/>
          <w:sz w:val="18"/>
          <w:szCs w:val="18"/>
          <w:color w:val="auto"/>
        </w:rPr>
        <w:t>and Chemical businesses reduce the Corporation’s enterprise-wide risk from changes in commodity prices, currency rates and interest rates. In addition, the Corporation uses commodity-based contracts, including derivatives, to manage commodity price risk and for trading purposes. Commodity contracts held for trading purposes are presented in the Consolidated Statement of Income on a net basis in the line “Sales and other operating revenue”. The Corporation’s commodity derivatives are not accounted for under hedge accounting. At times, the Corporation also enters into currency and interest rate derivatives, none of which are material to the Corporation’s financial position as of December 31, 2019 and 2018, or results of operations for the years ended 2019, 2018 and 2017.</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the net notional long/(short) position of derivative instruments was 57 million barrels for crude oil, (38) million barrels for products, and (165) million MMBtus of natural gas. At December 31, 2018, the net notional long/(short) position of derivative instruments was (19) million barrels for crude oil and was (9) million barrels for products.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and unrealized gains/(losses) on derivative instruments that were recognized in the Consolidated Statement of Income are included in the following lines on a before-tax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5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jc w:val="right"/>
              <w:ind w:right="717"/>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6"/>
        </w:trPr>
        <w:tc>
          <w:tcPr>
            <w:tcW w:w="40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40" w:type="dxa"/>
            <w:vAlign w:val="bottom"/>
          </w:tcPr>
          <w:p>
            <w:pPr>
              <w:jc w:val="right"/>
              <w:ind w:right="277"/>
              <w:spacing w:after="0"/>
              <w:rPr>
                <w:sz w:val="20"/>
                <w:szCs w:val="20"/>
                <w:color w:val="auto"/>
              </w:rPr>
            </w:pPr>
            <w:r>
              <w:rPr>
                <w:rFonts w:ascii="Arial" w:cs="Arial" w:eastAsia="Arial" w:hAnsi="Arial"/>
                <w:sz w:val="14"/>
                <w:szCs w:val="14"/>
                <w:i w:val="1"/>
                <w:iCs w:val="1"/>
                <w:color w:val="auto"/>
              </w:rPr>
              <w:t>(millions of dollars)</w:t>
            </w:r>
          </w:p>
        </w:tc>
        <w:tc>
          <w:tcPr>
            <w:tcW w:w="1040" w:type="dxa"/>
            <w:vAlign w:val="bottom"/>
          </w:tcPr>
          <w:p>
            <w:pPr>
              <w:spacing w:after="0"/>
              <w:rPr>
                <w:sz w:val="16"/>
                <w:szCs w:val="16"/>
                <w:color w:val="auto"/>
              </w:rPr>
            </w:pPr>
          </w:p>
        </w:tc>
      </w:tr>
      <w:tr>
        <w:trPr>
          <w:trHeight w:val="430"/>
        </w:trPr>
        <w:tc>
          <w:tcPr>
            <w:tcW w:w="4060" w:type="dxa"/>
            <w:vAlign w:val="bottom"/>
          </w:tcPr>
          <w:p>
            <w:pPr>
              <w:ind w:left="40"/>
              <w:spacing w:after="0"/>
              <w:rPr>
                <w:sz w:val="20"/>
                <w:szCs w:val="20"/>
                <w:color w:val="auto"/>
              </w:rPr>
            </w:pPr>
            <w:r>
              <w:rPr>
                <w:rFonts w:ascii="Arial" w:cs="Arial" w:eastAsia="Arial" w:hAnsi="Arial"/>
                <w:sz w:val="18"/>
                <w:szCs w:val="18"/>
                <w:color w:val="auto"/>
              </w:rPr>
              <w:t>Sales and other operating revenue</w:t>
            </w:r>
          </w:p>
        </w:tc>
        <w:tc>
          <w:tcPr>
            <w:tcW w:w="4580" w:type="dxa"/>
            <w:vAlign w:val="bottom"/>
            <w:gridSpan w:val="2"/>
          </w:tcPr>
          <w:p>
            <w:pPr>
              <w:jc w:val="right"/>
              <w:ind w:right="110"/>
              <w:spacing w:after="0"/>
              <w:rPr>
                <w:sz w:val="20"/>
                <w:szCs w:val="20"/>
                <w:color w:val="auto"/>
              </w:rPr>
            </w:pPr>
            <w:r>
              <w:rPr>
                <w:rFonts w:ascii="Arial" w:cs="Arial" w:eastAsia="Arial" w:hAnsi="Arial"/>
                <w:sz w:val="18"/>
                <w:szCs w:val="18"/>
                <w:color w:val="auto"/>
              </w:rPr>
              <w:t>(412)</w:t>
            </w:r>
          </w:p>
        </w:tc>
        <w:tc>
          <w:tcPr>
            <w:tcW w:w="1740" w:type="dxa"/>
            <w:vAlign w:val="bottom"/>
          </w:tcPr>
          <w:p>
            <w:pPr>
              <w:jc w:val="right"/>
              <w:ind w:right="437"/>
              <w:spacing w:after="0"/>
              <w:rPr>
                <w:sz w:val="20"/>
                <w:szCs w:val="20"/>
                <w:color w:val="auto"/>
              </w:rPr>
            </w:pPr>
            <w:r>
              <w:rPr>
                <w:rFonts w:ascii="Arial" w:cs="Arial" w:eastAsia="Arial" w:hAnsi="Arial"/>
                <w:sz w:val="18"/>
                <w:szCs w:val="18"/>
                <w:color w:val="auto"/>
              </w:rPr>
              <w:t>130</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Crude oil and product purchases</w:t>
            </w:r>
          </w:p>
        </w:tc>
        <w:tc>
          <w:tcPr>
            <w:tcW w:w="4580" w:type="dxa"/>
            <w:vAlign w:val="bottom"/>
            <w:gridSpan w:val="2"/>
          </w:tcPr>
          <w:p>
            <w:pPr>
              <w:jc w:val="right"/>
              <w:ind w:right="170"/>
              <w:spacing w:after="0"/>
              <w:rPr>
                <w:sz w:val="20"/>
                <w:szCs w:val="20"/>
                <w:color w:val="auto"/>
              </w:rPr>
            </w:pPr>
            <w:r>
              <w:rPr>
                <w:rFonts w:ascii="Arial" w:cs="Arial" w:eastAsia="Arial" w:hAnsi="Arial"/>
                <w:sz w:val="18"/>
                <w:szCs w:val="18"/>
                <w:color w:val="auto"/>
              </w:rPr>
              <w:t>179</w:t>
            </w:r>
          </w:p>
        </w:tc>
        <w:tc>
          <w:tcPr>
            <w:tcW w:w="1740" w:type="dxa"/>
            <w:vAlign w:val="bottom"/>
          </w:tcPr>
          <w:p>
            <w:pPr>
              <w:jc w:val="right"/>
              <w:ind w:right="377"/>
              <w:spacing w:after="0"/>
              <w:rPr>
                <w:sz w:val="20"/>
                <w:szCs w:val="20"/>
                <w:color w:val="auto"/>
              </w:rPr>
            </w:pPr>
            <w:r>
              <w:rPr>
                <w:rFonts w:ascii="Arial" w:cs="Arial" w:eastAsia="Arial" w:hAnsi="Arial"/>
                <w:sz w:val="18"/>
                <w:szCs w:val="18"/>
                <w:color w:val="auto"/>
              </w:rPr>
              <w:t>(120)</w:t>
            </w: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4060" w:type="dxa"/>
            <w:vAlign w:val="bottom"/>
          </w:tcPr>
          <w:p>
            <w:pPr>
              <w:ind w:left="620"/>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(233)</w:t>
            </w:r>
          </w:p>
        </w:tc>
        <w:tc>
          <w:tcPr>
            <w:tcW w:w="17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8"/>
                <w:szCs w:val="18"/>
                <w:color w:val="auto"/>
              </w:rPr>
              <w:t>10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871"/>
        </w:trPr>
        <w:tc>
          <w:tcPr>
            <w:tcW w:w="4060" w:type="dxa"/>
            <w:vAlign w:val="bottom"/>
          </w:tcPr>
          <w:p>
            <w:pPr>
              <w:spacing w:after="0"/>
              <w:rPr>
                <w:sz w:val="24"/>
                <w:szCs w:val="24"/>
                <w:color w:val="auto"/>
              </w:rPr>
            </w:pPr>
          </w:p>
        </w:tc>
        <w:tc>
          <w:tcPr>
            <w:tcW w:w="3380" w:type="dxa"/>
            <w:vAlign w:val="bottom"/>
          </w:tcPr>
          <w:p>
            <w:pPr>
              <w:jc w:val="right"/>
              <w:ind w:right="1554"/>
              <w:spacing w:after="0"/>
              <w:rPr>
                <w:sz w:val="20"/>
                <w:szCs w:val="20"/>
                <w:color w:val="auto"/>
              </w:rPr>
            </w:pPr>
            <w:r>
              <w:rPr>
                <w:rFonts w:ascii="Arial" w:cs="Arial" w:eastAsia="Arial" w:hAnsi="Arial"/>
                <w:sz w:val="18"/>
                <w:szCs w:val="18"/>
                <w:color w:val="auto"/>
              </w:rPr>
              <w:t>89</w:t>
            </w: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4060" w:type="dxa"/>
            <w:vAlign w:val="bottom"/>
            <w:tcBorders>
              <w:bottom w:val="single" w:sz="8" w:color="9A9A9A"/>
            </w:tcBorders>
          </w:tcPr>
          <w:p>
            <w:pPr>
              <w:spacing w:after="0"/>
              <w:rPr>
                <w:sz w:val="18"/>
                <w:szCs w:val="18"/>
                <w:color w:val="auto"/>
              </w:rPr>
            </w:pPr>
          </w:p>
        </w:tc>
        <w:tc>
          <w:tcPr>
            <w:tcW w:w="33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long-term debt consisted of $25,710 million due in U.S. dollars and $632 million representing the U.S. dollar equivalent at year-end exchange rates of amounts payable in foreign currencies. These amounts exclude that portion of long-term debt, totaling $1,617 million, which matures within one year and is included in current liabilities. The increase in the book value of long-term debt reflects the Corporation’s issuance of $7.0 billion of long-term debt in the third quarter of 2019. The amounts of long-term debt, excluding finance lease obligations, maturing in each of the four years after December 31, 2020, in millions of dollars, are: 2021 – $2,803; 2022 – $3,316; 2023 – $1,261; and 2024 – $2,130. At December 31, 2019, the Corporation’s unused long-term credit lines were $0.2 billion.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Summarized long-term debt at year-end 2019 and 2018 are shown in the table below:</w:t>
      </w:r>
    </w:p>
    <w:p>
      <w:pPr>
        <w:spacing w:after="0" w:line="149" w:lineRule="exact"/>
        <w:rPr>
          <w:sz w:val="20"/>
          <w:szCs w:val="20"/>
          <w:color w:val="auto"/>
        </w:rPr>
      </w:pPr>
    </w:p>
    <w:tbl>
      <w:tblPr>
        <w:tblLayout w:type="fixed"/>
        <w:tblInd w:w="150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980" w:type="dxa"/>
            <w:vAlign w:val="bottom"/>
          </w:tcPr>
          <w:p>
            <w:pPr>
              <w:jc w:val="right"/>
              <w:ind w:right="356"/>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4420" w:type="dxa"/>
            <w:vAlign w:val="bottom"/>
          </w:tcPr>
          <w:p>
            <w:pPr>
              <w:spacing w:after="0"/>
              <w:rPr>
                <w:sz w:val="16"/>
                <w:szCs w:val="16"/>
                <w:color w:val="auto"/>
              </w:rPr>
            </w:pPr>
          </w:p>
        </w:tc>
        <w:tc>
          <w:tcPr>
            <w:tcW w:w="1980" w:type="dxa"/>
            <w:vAlign w:val="bottom"/>
          </w:tcPr>
          <w:p>
            <w:pPr>
              <w:jc w:val="right"/>
              <w:ind w:right="356"/>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4"/>
                <w:szCs w:val="14"/>
                <w:i w:val="1"/>
                <w:iCs w:val="1"/>
                <w:color w:val="auto"/>
              </w:rPr>
              <w:t>(1)</w:t>
            </w:r>
          </w:p>
        </w:tc>
        <w:tc>
          <w:tcPr>
            <w:tcW w:w="11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r>
        <w:trPr>
          <w:trHeight w:val="26"/>
        </w:trPr>
        <w:tc>
          <w:tcPr>
            <w:tcW w:w="4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r>
      <w:tr>
        <w:trPr>
          <w:trHeight w:val="184"/>
        </w:trPr>
        <w:tc>
          <w:tcPr>
            <w:tcW w:w="4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40" w:type="dxa"/>
            <w:vAlign w:val="bottom"/>
            <w:gridSpan w:val="2"/>
          </w:tcPr>
          <w:p>
            <w:pPr>
              <w:jc w:val="right"/>
              <w:ind w:right="351"/>
              <w:spacing w:after="0"/>
              <w:rPr>
                <w:sz w:val="20"/>
                <w:szCs w:val="20"/>
                <w:color w:val="auto"/>
              </w:rPr>
            </w:pPr>
            <w:r>
              <w:rPr>
                <w:rFonts w:ascii="Arial" w:cs="Arial" w:eastAsia="Arial" w:hAnsi="Arial"/>
                <w:sz w:val="14"/>
                <w:szCs w:val="14"/>
                <w:i w:val="1"/>
                <w:iCs w:val="1"/>
                <w:color w:val="auto"/>
              </w:rPr>
              <w:t>(millions of dollars)</w:t>
            </w:r>
          </w:p>
        </w:tc>
      </w:tr>
      <w:tr>
        <w:trPr>
          <w:trHeight w:val="241"/>
        </w:trPr>
        <w:tc>
          <w:tcPr>
            <w:tcW w:w="4420" w:type="dxa"/>
            <w:vAlign w:val="bottom"/>
          </w:tcPr>
          <w:p>
            <w:pPr>
              <w:spacing w:after="0"/>
              <w:rPr>
                <w:sz w:val="20"/>
                <w:szCs w:val="20"/>
                <w:color w:val="auto"/>
              </w:rPr>
            </w:pPr>
            <w:r>
              <w:rPr>
                <w:rFonts w:ascii="Arial" w:cs="Arial" w:eastAsia="Arial" w:hAnsi="Arial"/>
                <w:sz w:val="18"/>
                <w:szCs w:val="18"/>
                <w:color w:val="auto"/>
              </w:rPr>
              <w:t>Exxon Mobil Corporation</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1.912% notes due 2020</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2.222% notes due 2021</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2,500</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2.397% notes due 2022 </w:t>
            </w:r>
            <w:r>
              <w:rPr>
                <w:rFonts w:ascii="Arial" w:cs="Arial" w:eastAsia="Arial" w:hAnsi="Arial"/>
                <w:sz w:val="18"/>
                <w:szCs w:val="18"/>
                <w:i w:val="1"/>
                <w:iCs w:val="1"/>
                <w:color w:val="auto"/>
              </w:rPr>
              <w:t>(Issued 2015)</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1,150</w:t>
            </w: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1.902% notes due 2022 </w:t>
            </w:r>
            <w:r>
              <w:rPr>
                <w:rFonts w:ascii="Arial" w:cs="Arial" w:eastAsia="Arial" w:hAnsi="Arial"/>
                <w:sz w:val="18"/>
                <w:szCs w:val="18"/>
                <w:i w:val="1"/>
                <w:iCs w:val="1"/>
                <w:color w:val="auto"/>
              </w:rPr>
              <w:t>(Issued 2019)</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750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Floating-rate notes due 2022 </w:t>
            </w:r>
            <w:r>
              <w:rPr>
                <w:rFonts w:ascii="Arial" w:cs="Arial" w:eastAsia="Arial" w:hAnsi="Arial"/>
                <w:sz w:val="18"/>
                <w:szCs w:val="18"/>
                <w:i w:val="1"/>
                <w:iCs w:val="1"/>
                <w:color w:val="auto"/>
              </w:rPr>
              <w:t>(Issued 2015)</w:t>
            </w:r>
          </w:p>
        </w:tc>
        <w:tc>
          <w:tcPr>
            <w:tcW w:w="1980" w:type="dxa"/>
            <w:vAlign w:val="bottom"/>
          </w:tcPr>
          <w:p>
            <w:pPr>
              <w:jc w:val="right"/>
              <w:ind w:right="356"/>
              <w:spacing w:after="0"/>
              <w:rPr>
                <w:sz w:val="20"/>
                <w:szCs w:val="20"/>
                <w:color w:val="auto"/>
              </w:rPr>
            </w:pPr>
            <w:r>
              <w:rPr>
                <w:rFonts w:ascii="Arial" w:cs="Arial" w:eastAsia="Arial" w:hAnsi="Arial"/>
                <w:sz w:val="18"/>
                <w:szCs w:val="18"/>
                <w:color w:val="auto"/>
              </w:rPr>
              <w:t>2.792%</w:t>
            </w: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500</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Floating-rate notes due 2022 </w:t>
            </w:r>
            <w:r>
              <w:rPr>
                <w:rFonts w:ascii="Arial" w:cs="Arial" w:eastAsia="Arial" w:hAnsi="Arial"/>
                <w:sz w:val="18"/>
                <w:szCs w:val="18"/>
                <w:i w:val="1"/>
                <w:iCs w:val="1"/>
                <w:color w:val="auto"/>
              </w:rPr>
              <w:t>(Issued 2019)</w:t>
            </w:r>
          </w:p>
        </w:tc>
        <w:tc>
          <w:tcPr>
            <w:tcW w:w="1980" w:type="dxa"/>
            <w:vAlign w:val="bottom"/>
          </w:tcPr>
          <w:p>
            <w:pPr>
              <w:jc w:val="right"/>
              <w:ind w:right="356"/>
              <w:spacing w:after="0"/>
              <w:rPr>
                <w:sz w:val="20"/>
                <w:szCs w:val="20"/>
                <w:color w:val="auto"/>
              </w:rPr>
            </w:pPr>
            <w:r>
              <w:rPr>
                <w:rFonts w:ascii="Arial" w:cs="Arial" w:eastAsia="Arial" w:hAnsi="Arial"/>
                <w:sz w:val="18"/>
                <w:szCs w:val="18"/>
                <w:color w:val="auto"/>
              </w:rPr>
              <w:t>2.414%</w:t>
            </w: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750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2.726% notes due 2023</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1,250</w:t>
            </w:r>
          </w:p>
        </w:tc>
        <w:tc>
          <w:tcPr>
            <w:tcW w:w="8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3.176% notes due 2024 </w:t>
            </w:r>
            <w:r>
              <w:rPr>
                <w:rFonts w:ascii="Arial" w:cs="Arial" w:eastAsia="Arial" w:hAnsi="Arial"/>
                <w:sz w:val="18"/>
                <w:szCs w:val="18"/>
                <w:i w:val="1"/>
                <w:iCs w:val="1"/>
                <w:color w:val="auto"/>
              </w:rPr>
              <w:t>(Issued 2014)</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2.019% notes due 2024 </w:t>
            </w:r>
            <w:r>
              <w:rPr>
                <w:rFonts w:ascii="Arial" w:cs="Arial" w:eastAsia="Arial" w:hAnsi="Arial"/>
                <w:sz w:val="18"/>
                <w:szCs w:val="18"/>
                <w:i w:val="1"/>
                <w:iCs w:val="1"/>
                <w:color w:val="auto"/>
              </w:rPr>
              <w:t>(Issued 2019)</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2.709% notes due 2025</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1,750</w:t>
            </w:r>
          </w:p>
        </w:tc>
        <w:tc>
          <w:tcPr>
            <w:tcW w:w="88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3.043% notes due 2026 </w:t>
            </w:r>
            <w:r>
              <w:rPr>
                <w:rFonts w:ascii="Arial" w:cs="Arial" w:eastAsia="Arial" w:hAnsi="Arial"/>
                <w:sz w:val="18"/>
                <w:szCs w:val="18"/>
                <w:i w:val="1"/>
                <w:iCs w:val="1"/>
                <w:color w:val="auto"/>
              </w:rPr>
              <w:t>(Issued 2016)</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2,500</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 xml:space="preserve">2.275% notes due 2026 </w:t>
            </w:r>
            <w:r>
              <w:rPr>
                <w:rFonts w:ascii="Arial" w:cs="Arial" w:eastAsia="Arial" w:hAnsi="Arial"/>
                <w:sz w:val="18"/>
                <w:szCs w:val="18"/>
                <w:i w:val="1"/>
                <w:iCs w:val="1"/>
                <w:color w:val="auto"/>
              </w:rPr>
              <w:t>(Issued 2019)</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2.440% notes due 2029</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1,250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2.995% notes due 2039</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750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3.567% notes due 2045</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4.114% notes due 2046</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2,500</w:t>
            </w: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3.095% notes due 2049</w:t>
            </w:r>
          </w:p>
        </w:tc>
        <w:tc>
          <w:tcPr>
            <w:tcW w:w="198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1,500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4420" w:type="dxa"/>
            <w:vAlign w:val="bottom"/>
          </w:tcPr>
          <w:p>
            <w:pPr>
              <w:spacing w:after="0"/>
              <w:rPr>
                <w:sz w:val="20"/>
                <w:szCs w:val="20"/>
                <w:color w:val="auto"/>
              </w:rPr>
            </w:pPr>
            <w:r>
              <w:rPr>
                <w:rFonts w:ascii="Arial" w:cs="Arial" w:eastAsia="Arial" w:hAnsi="Arial"/>
                <w:sz w:val="18"/>
                <w:szCs w:val="18"/>
                <w:color w:val="auto"/>
              </w:rPr>
              <w:t xml:space="preserve">XTO Energy Inc. </w:t>
            </w:r>
            <w:r>
              <w:rPr>
                <w:rFonts w:ascii="Arial" w:cs="Arial" w:eastAsia="Arial" w:hAnsi="Arial"/>
                <w:sz w:val="14"/>
                <w:szCs w:val="14"/>
                <w:i w:val="1"/>
                <w:iCs w:val="1"/>
                <w:color w:val="auto"/>
              </w:rPr>
              <w:t>(2)</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6.100% senior notes due 2036</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193</w:t>
            </w: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6.750% senior notes due 2037</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296</w:t>
            </w: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6.375% senior notes due 2038</w:t>
            </w:r>
          </w:p>
        </w:tc>
        <w:tc>
          <w:tcPr>
            <w:tcW w:w="198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229</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Mobil Corporation</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8.625% debentures due 2021</w:t>
            </w:r>
          </w:p>
        </w:tc>
        <w:tc>
          <w:tcPr>
            <w:tcW w:w="198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250</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Industrial revenue bonds due 2020-2051</w:t>
            </w:r>
          </w:p>
        </w:tc>
        <w:tc>
          <w:tcPr>
            <w:tcW w:w="1980" w:type="dxa"/>
            <w:vAlign w:val="bottom"/>
          </w:tcPr>
          <w:p>
            <w:pPr>
              <w:jc w:val="right"/>
              <w:ind w:right="356"/>
              <w:spacing w:after="0"/>
              <w:rPr>
                <w:sz w:val="20"/>
                <w:szCs w:val="20"/>
                <w:color w:val="auto"/>
              </w:rPr>
            </w:pPr>
            <w:r>
              <w:rPr>
                <w:rFonts w:ascii="Arial" w:cs="Arial" w:eastAsia="Arial" w:hAnsi="Arial"/>
                <w:sz w:val="18"/>
                <w:szCs w:val="18"/>
                <w:color w:val="auto"/>
              </w:rPr>
              <w:t>1.388%</w:t>
            </w: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2,461</w:t>
            </w:r>
          </w:p>
        </w:tc>
        <w:tc>
          <w:tcPr>
            <w:tcW w:w="88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U.S. dollar obligations</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89</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foreign currency obligations</w:t>
            </w:r>
          </w:p>
        </w:tc>
        <w:tc>
          <w:tcPr>
            <w:tcW w:w="1980" w:type="dxa"/>
            <w:vAlign w:val="bottom"/>
          </w:tcPr>
          <w:p>
            <w:pPr>
              <w:spacing w:after="0"/>
              <w:rPr>
                <w:sz w:val="18"/>
                <w:szCs w:val="18"/>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64</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1980" w:type="dxa"/>
            <w:vAlign w:val="bottom"/>
          </w:tcPr>
          <w:p>
            <w:pPr>
              <w:jc w:val="right"/>
              <w:ind w:right="356"/>
              <w:spacing w:after="0"/>
              <w:rPr>
                <w:sz w:val="20"/>
                <w:szCs w:val="20"/>
                <w:color w:val="auto"/>
              </w:rPr>
            </w:pPr>
            <w:r>
              <w:rPr>
                <w:rFonts w:ascii="Arial" w:cs="Arial" w:eastAsia="Arial" w:hAnsi="Arial"/>
                <w:sz w:val="18"/>
                <w:szCs w:val="18"/>
                <w:color w:val="auto"/>
              </w:rPr>
              <w:t>9.518%</w:t>
            </w:r>
          </w:p>
        </w:tc>
        <w:tc>
          <w:tcPr>
            <w:tcW w:w="1160" w:type="dxa"/>
            <w:vAlign w:val="bottom"/>
          </w:tcPr>
          <w:p>
            <w:pPr>
              <w:jc w:val="right"/>
              <w:ind w:right="311"/>
              <w:spacing w:after="0"/>
              <w:rPr>
                <w:sz w:val="20"/>
                <w:szCs w:val="20"/>
                <w:color w:val="auto"/>
              </w:rPr>
            </w:pPr>
            <w:r>
              <w:rPr>
                <w:rFonts w:ascii="Arial" w:cs="Arial" w:eastAsia="Arial" w:hAnsi="Arial"/>
                <w:sz w:val="18"/>
                <w:szCs w:val="18"/>
                <w:color w:val="auto"/>
              </w:rPr>
              <w:t>1,670</w:t>
            </w:r>
          </w:p>
        </w:tc>
        <w:tc>
          <w:tcPr>
            <w:tcW w:w="88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Debt issuance costs</w:t>
            </w:r>
          </w:p>
        </w:tc>
        <w:tc>
          <w:tcPr>
            <w:tcW w:w="1980" w:type="dxa"/>
            <w:vAlign w:val="bottom"/>
          </w:tcPr>
          <w:p>
            <w:pPr>
              <w:spacing w:after="0"/>
              <w:rPr>
                <w:sz w:val="20"/>
                <w:szCs w:val="20"/>
                <w:color w:val="auto"/>
              </w:rPr>
            </w:pP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4420" w:type="dxa"/>
            <w:vAlign w:val="bottom"/>
          </w:tcPr>
          <w:p>
            <w:pPr>
              <w:ind w:left="700"/>
              <w:spacing w:after="0"/>
              <w:rPr>
                <w:sz w:val="20"/>
                <w:szCs w:val="20"/>
                <w:color w:val="auto"/>
              </w:rPr>
            </w:pPr>
            <w:r>
              <w:rPr>
                <w:rFonts w:ascii="Arial" w:cs="Arial" w:eastAsia="Arial" w:hAnsi="Arial"/>
                <w:sz w:val="18"/>
                <w:szCs w:val="18"/>
                <w:color w:val="auto"/>
              </w:rPr>
              <w:t>Total long-term debt</w:t>
            </w:r>
          </w:p>
        </w:tc>
        <w:tc>
          <w:tcPr>
            <w:tcW w:w="1980" w:type="dxa"/>
            <w:vAlign w:val="bottom"/>
          </w:tcPr>
          <w:p>
            <w:pPr>
              <w:spacing w:after="0"/>
              <w:rPr>
                <w:sz w:val="18"/>
                <w:szCs w:val="18"/>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26,342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20,538</w:t>
            </w:r>
          </w:p>
        </w:tc>
      </w:tr>
    </w:tbl>
    <w:p>
      <w:pPr>
        <w:spacing w:after="0" w:line="20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Average effective interest rate for debt and average imputed interest rate for finance leases at December 31, 2019.</w:t>
      </w:r>
    </w:p>
    <w:p>
      <w:pPr>
        <w:spacing w:after="0" w:line="23" w:lineRule="exact"/>
        <w:rPr>
          <w:rFonts w:ascii="Arial" w:cs="Arial" w:eastAsia="Arial" w:hAnsi="Arial"/>
          <w:sz w:val="18"/>
          <w:szCs w:val="18"/>
          <w:i w:val="1"/>
          <w:iCs w:val="1"/>
          <w:color w:val="auto"/>
        </w:rPr>
      </w:pPr>
    </w:p>
    <w:p>
      <w:pPr>
        <w:ind w:left="540" w:hanging="532"/>
        <w:spacing w:after="0"/>
        <w:tabs>
          <w:tab w:leader="none" w:pos="5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premiums of $92 million in 2019 and $97 million in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Incentive Program</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2003 Incentive Program provides for grants of stock options, stock appreciation rights (SARs), restricted stock, and other forms of awards. Awards may be granted to eligible employees of the Corporation and those affiliates at least 50 percent owned. Outstanding awards are subject to certain forfeiture provisions contained in the program or award instrument. Options and SARs may be granted at prices not less than 100 percent of market value on the date of grant and have a maximum life of 10 years. The maximum number of shares of stock that may be issued under the 2003 Incentive Program is 220 million. Awards that are forfeited, expire, or are settled in cash, do not count against this maximum limit. The 2003 Incentive Program does not have a specified term. New awards may be made until the available shares are depleted, unless the Board terminates the plan early. At the end of 2019, remaining shares available for award under the 2003 Incentive Program were 76 million.</w:t>
      </w:r>
    </w:p>
    <w:p>
      <w:pPr>
        <w:spacing w:after="0" w:line="3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Restricted Stock and Restricted Stock Units. </w:t>
      </w:r>
      <w:r>
        <w:rPr>
          <w:rFonts w:ascii="Arial" w:cs="Arial" w:eastAsia="Arial" w:hAnsi="Arial"/>
          <w:sz w:val="16"/>
          <w:szCs w:val="16"/>
          <w:color w:val="auto"/>
        </w:rPr>
        <w:t>Awards totaling 8,936 thousand, 8,771 thousand, and 8,916 thousand of restricted (nonvested)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were granted in 2019, 2018, and 2017, respectively. Compensation expense for these awards is based on the price of the stock at the date of grant and is recognized in income over the requisite service period. Shares for these awards are issued to employees from treasury stock. The units that are settled in cash are recorded as liabilities and their changes in fair value are recognized over the vesting period. During the applicable restricted periods, the shares and units may not be sold or transferred and are subject to forfeiture. The majority of the awards have graded vesting periods, with 50 percent of the shares and units in each award vesting after three years and the remaining 50 percent vesting after seven years. Awards granted to a small number of senior executives have vesting periods of five years for 50 percent of the award and of 10 years or retirement, whichever occurs later, for the remaining 50 percent of the award.</w:t>
      </w:r>
    </w:p>
    <w:p>
      <w:pPr>
        <w:spacing w:after="0" w:line="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Corporation has purchased shares in the open market and through negotiated transactions to offset shares or units settled in shares issued in conjunction with benefit plans and programs. Purchases may be discontinued at any time without prior notice.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restricted stock and restricted stock units for the year ended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b w:val="1"/>
                <w:bCs w:val="1"/>
                <w:color w:val="auto"/>
              </w:rPr>
              <w:t>2019</w:t>
            </w:r>
          </w:p>
        </w:tc>
      </w:tr>
      <w:tr>
        <w:trPr>
          <w:trHeight w:val="184"/>
        </w:trPr>
        <w:tc>
          <w:tcPr>
            <w:tcW w:w="7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center"/>
              <w:ind w:left="399"/>
              <w:spacing w:after="0"/>
              <w:rPr>
                <w:sz w:val="20"/>
                <w:szCs w:val="20"/>
                <w:color w:val="auto"/>
              </w:rPr>
            </w:pPr>
            <w:r>
              <w:rPr>
                <w:rFonts w:ascii="Arial" w:cs="Arial" w:eastAsia="Arial" w:hAnsi="Arial"/>
                <w:sz w:val="14"/>
                <w:szCs w:val="14"/>
                <w:b w:val="1"/>
                <w:bCs w:val="1"/>
                <w:color w:val="auto"/>
                <w:w w:val="91"/>
              </w:rPr>
              <w:t>Weighted Average</w:t>
            </w:r>
          </w:p>
        </w:tc>
      </w:tr>
      <w:tr>
        <w:trPr>
          <w:trHeight w:val="203"/>
        </w:trPr>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jc w:val="center"/>
              <w:ind w:left="399"/>
              <w:spacing w:after="0"/>
              <w:rPr>
                <w:sz w:val="20"/>
                <w:szCs w:val="20"/>
                <w:color w:val="auto"/>
              </w:rPr>
            </w:pPr>
            <w:r>
              <w:rPr>
                <w:rFonts w:ascii="Arial" w:cs="Arial" w:eastAsia="Arial" w:hAnsi="Arial"/>
                <w:sz w:val="14"/>
                <w:szCs w:val="14"/>
                <w:b w:val="1"/>
                <w:bCs w:val="1"/>
                <w:color w:val="auto"/>
                <w:w w:val="99"/>
              </w:rPr>
              <w:t>Grant-Date</w:t>
            </w:r>
          </w:p>
        </w:tc>
      </w:tr>
      <w:tr>
        <w:trPr>
          <w:trHeight w:val="255"/>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Restricted stock and units outstanding</w:t>
            </w: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228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4"/>
              </w:rPr>
              <w:t>Fair Value per Share</w:t>
            </w:r>
          </w:p>
        </w:tc>
      </w:tr>
      <w:tr>
        <w:trPr>
          <w:trHeight w:val="238"/>
        </w:trPr>
        <w:tc>
          <w:tcPr>
            <w:tcW w:w="778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1"/>
              </w:rPr>
              <w:t>(thousands)</w:t>
            </w:r>
          </w:p>
        </w:tc>
        <w:tc>
          <w:tcPr>
            <w:tcW w:w="2280" w:type="dxa"/>
            <w:vAlign w:val="bottom"/>
          </w:tcPr>
          <w:p>
            <w:pPr>
              <w:jc w:val="center"/>
              <w:ind w:left="379"/>
              <w:spacing w:after="0"/>
              <w:rPr>
                <w:sz w:val="20"/>
                <w:szCs w:val="20"/>
                <w:color w:val="auto"/>
              </w:rPr>
            </w:pPr>
            <w:r>
              <w:rPr>
                <w:rFonts w:ascii="Arial" w:cs="Arial" w:eastAsia="Arial" w:hAnsi="Arial"/>
                <w:sz w:val="14"/>
                <w:szCs w:val="14"/>
                <w:i w:val="1"/>
                <w:iCs w:val="1"/>
                <w:color w:val="auto"/>
                <w:w w:val="98"/>
              </w:rPr>
              <w:t>(dollars)</w:t>
            </w:r>
          </w:p>
        </w:tc>
      </w:tr>
      <w:tr>
        <w:trPr>
          <w:trHeight w:val="403"/>
        </w:trPr>
        <w:tc>
          <w:tcPr>
            <w:tcW w:w="7780" w:type="dxa"/>
            <w:vAlign w:val="bottom"/>
          </w:tcPr>
          <w:p>
            <w:pPr>
              <w:spacing w:after="0"/>
              <w:rPr>
                <w:sz w:val="20"/>
                <w:szCs w:val="20"/>
                <w:color w:val="auto"/>
              </w:rPr>
            </w:pPr>
            <w:r>
              <w:rPr>
                <w:rFonts w:ascii="Arial" w:cs="Arial" w:eastAsia="Arial" w:hAnsi="Arial"/>
                <w:sz w:val="18"/>
                <w:szCs w:val="18"/>
                <w:color w:val="auto"/>
              </w:rPr>
              <w:t>Issued and outstanding at January 1</w:t>
            </w:r>
          </w:p>
        </w:tc>
        <w:tc>
          <w:tcPr>
            <w:tcW w:w="1040" w:type="dxa"/>
            <w:vAlign w:val="bottom"/>
          </w:tcPr>
          <w:p>
            <w:pPr>
              <w:jc w:val="right"/>
              <w:spacing w:after="0"/>
              <w:rPr>
                <w:sz w:val="20"/>
                <w:szCs w:val="20"/>
                <w:color w:val="auto"/>
              </w:rPr>
            </w:pPr>
            <w:r>
              <w:rPr>
                <w:rFonts w:ascii="Arial" w:cs="Arial" w:eastAsia="Arial" w:hAnsi="Arial"/>
                <w:sz w:val="18"/>
                <w:szCs w:val="18"/>
                <w:color w:val="auto"/>
              </w:rPr>
              <w:t>40,381</w:t>
            </w:r>
          </w:p>
        </w:tc>
        <w:tc>
          <w:tcPr>
            <w:tcW w:w="320" w:type="dxa"/>
            <w:vAlign w:val="bottom"/>
          </w:tcPr>
          <w:p>
            <w:pPr>
              <w:spacing w:after="0"/>
              <w:rPr>
                <w:sz w:val="24"/>
                <w:szCs w:val="24"/>
                <w:color w:val="auto"/>
              </w:rPr>
            </w:pPr>
          </w:p>
        </w:tc>
        <w:tc>
          <w:tcPr>
            <w:tcW w:w="2280" w:type="dxa"/>
            <w:vAlign w:val="bottom"/>
          </w:tcPr>
          <w:p>
            <w:pPr>
              <w:jc w:val="right"/>
              <w:ind w:right="439"/>
              <w:spacing w:after="0"/>
              <w:rPr>
                <w:sz w:val="20"/>
                <w:szCs w:val="20"/>
                <w:color w:val="auto"/>
              </w:rPr>
            </w:pPr>
            <w:r>
              <w:rPr>
                <w:rFonts w:ascii="Arial" w:cs="Arial" w:eastAsia="Arial" w:hAnsi="Arial"/>
                <w:sz w:val="18"/>
                <w:szCs w:val="18"/>
                <w:color w:val="auto"/>
              </w:rPr>
              <w:t>86.56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Awards issued in 2019</w:t>
            </w:r>
          </w:p>
        </w:tc>
        <w:tc>
          <w:tcPr>
            <w:tcW w:w="1040" w:type="dxa"/>
            <w:vAlign w:val="bottom"/>
          </w:tcPr>
          <w:p>
            <w:pPr>
              <w:jc w:val="right"/>
              <w:spacing w:after="0"/>
              <w:rPr>
                <w:sz w:val="20"/>
                <w:szCs w:val="20"/>
                <w:color w:val="auto"/>
              </w:rPr>
            </w:pPr>
            <w:r>
              <w:rPr>
                <w:rFonts w:ascii="Arial" w:cs="Arial" w:eastAsia="Arial" w:hAnsi="Arial"/>
                <w:sz w:val="18"/>
                <w:szCs w:val="18"/>
                <w:color w:val="auto"/>
              </w:rPr>
              <w:t>8,799</w:t>
            </w:r>
          </w:p>
        </w:tc>
        <w:tc>
          <w:tcPr>
            <w:tcW w:w="320" w:type="dxa"/>
            <w:vAlign w:val="bottom"/>
          </w:tcPr>
          <w:p>
            <w:pPr>
              <w:spacing w:after="0"/>
              <w:rPr>
                <w:sz w:val="18"/>
                <w:szCs w:val="18"/>
                <w:color w:val="auto"/>
              </w:rPr>
            </w:pPr>
          </w:p>
        </w:tc>
        <w:tc>
          <w:tcPr>
            <w:tcW w:w="2280" w:type="dxa"/>
            <w:vAlign w:val="bottom"/>
          </w:tcPr>
          <w:p>
            <w:pPr>
              <w:jc w:val="right"/>
              <w:ind w:right="439"/>
              <w:spacing w:after="0"/>
              <w:rPr>
                <w:sz w:val="20"/>
                <w:szCs w:val="20"/>
                <w:color w:val="auto"/>
              </w:rPr>
            </w:pPr>
            <w:r>
              <w:rPr>
                <w:rFonts w:ascii="Arial" w:cs="Arial" w:eastAsia="Arial" w:hAnsi="Arial"/>
                <w:sz w:val="18"/>
                <w:szCs w:val="18"/>
                <w:color w:val="auto"/>
              </w:rPr>
              <w:t>77.66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(9,427)</w:t>
            </w:r>
          </w:p>
        </w:tc>
        <w:tc>
          <w:tcPr>
            <w:tcW w:w="2280" w:type="dxa"/>
            <w:vAlign w:val="bottom"/>
          </w:tcPr>
          <w:p>
            <w:pPr>
              <w:jc w:val="right"/>
              <w:ind w:right="439"/>
              <w:spacing w:after="0"/>
              <w:rPr>
                <w:sz w:val="20"/>
                <w:szCs w:val="20"/>
                <w:color w:val="auto"/>
              </w:rPr>
            </w:pPr>
            <w:r>
              <w:rPr>
                <w:rFonts w:ascii="Arial" w:cs="Arial" w:eastAsia="Arial" w:hAnsi="Arial"/>
                <w:sz w:val="18"/>
                <w:szCs w:val="18"/>
                <w:color w:val="auto"/>
              </w:rPr>
              <w:t>86.94</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2280" w:type="dxa"/>
            <w:vAlign w:val="bottom"/>
          </w:tcPr>
          <w:p>
            <w:pPr>
              <w:jc w:val="right"/>
              <w:ind w:right="439"/>
              <w:spacing w:after="0"/>
              <w:rPr>
                <w:sz w:val="20"/>
                <w:szCs w:val="20"/>
                <w:color w:val="auto"/>
              </w:rPr>
            </w:pPr>
            <w:r>
              <w:rPr>
                <w:rFonts w:ascii="Arial" w:cs="Arial" w:eastAsia="Arial" w:hAnsi="Arial"/>
                <w:sz w:val="18"/>
                <w:szCs w:val="18"/>
                <w:color w:val="auto"/>
              </w:rPr>
              <w:t>85.35</w:t>
            </w:r>
          </w:p>
        </w:tc>
      </w:tr>
      <w:tr>
        <w:trPr>
          <w:trHeight w:val="210"/>
        </w:trPr>
        <w:tc>
          <w:tcPr>
            <w:tcW w:w="7780" w:type="dxa"/>
            <w:vAlign w:val="bottom"/>
          </w:tcPr>
          <w:p>
            <w:pPr>
              <w:spacing w:after="0"/>
              <w:rPr>
                <w:sz w:val="20"/>
                <w:szCs w:val="20"/>
                <w:color w:val="auto"/>
              </w:rPr>
            </w:pPr>
            <w:r>
              <w:rPr>
                <w:rFonts w:ascii="Arial" w:cs="Arial" w:eastAsia="Arial" w:hAnsi="Arial"/>
                <w:sz w:val="18"/>
                <w:szCs w:val="18"/>
                <w:color w:val="auto"/>
              </w:rPr>
              <w:t>Issued and outstanding at December 31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39,628</w:t>
            </w:r>
          </w:p>
        </w:tc>
        <w:tc>
          <w:tcPr>
            <w:tcW w:w="320" w:type="dxa"/>
            <w:vAlign w:val="bottom"/>
          </w:tcPr>
          <w:p>
            <w:pPr>
              <w:spacing w:after="0"/>
              <w:rPr>
                <w:sz w:val="18"/>
                <w:szCs w:val="18"/>
                <w:color w:val="auto"/>
              </w:rPr>
            </w:pPr>
          </w:p>
        </w:tc>
        <w:tc>
          <w:tcPr>
            <w:tcW w:w="2280" w:type="dxa"/>
            <w:vAlign w:val="bottom"/>
          </w:tcPr>
          <w:p>
            <w:pPr>
              <w:jc w:val="right"/>
              <w:ind w:right="439"/>
              <w:spacing w:after="0"/>
              <w:rPr>
                <w:sz w:val="20"/>
                <w:szCs w:val="20"/>
                <w:color w:val="auto"/>
              </w:rPr>
            </w:pPr>
            <w:r>
              <w:rPr>
                <w:rFonts w:ascii="Arial" w:cs="Arial" w:eastAsia="Arial" w:hAnsi="Arial"/>
                <w:sz w:val="18"/>
                <w:szCs w:val="18"/>
                <w:color w:val="auto"/>
              </w:rPr>
              <w:t>84.50</w:t>
            </w:r>
          </w:p>
        </w:tc>
      </w:tr>
    </w:tbl>
    <w:p>
      <w:pPr>
        <w:spacing w:after="0" w:line="198"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5"/>
          <w:szCs w:val="15"/>
          <w:b w:val="1"/>
          <w:bCs w:val="1"/>
          <w:color w:val="auto"/>
        </w:rPr>
        <w:t>Value of restricted stock units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Grant price </w:t>
      </w:r>
      <w:r>
        <w:rPr>
          <w:rFonts w:ascii="Arial" w:cs="Arial" w:eastAsia="Arial" w:hAnsi="Arial"/>
          <w:sz w:val="18"/>
          <w:szCs w:val="18"/>
          <w:i w:val="1"/>
          <w:iCs w:val="1"/>
          <w:color w:val="auto"/>
        </w:rPr>
        <w:t>(dollars)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Value at date of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Units settled in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settled in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value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7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r>
        <w:trPr>
          <w:trHeight w:val="230"/>
        </w:trPr>
        <w:tc>
          <w:tcPr>
            <w:tcW w:w="920" w:type="dxa"/>
            <w:vAlign w:val="bottom"/>
          </w:tcPr>
          <w:p>
            <w:pPr>
              <w:jc w:val="right"/>
              <w:ind w:right="174"/>
              <w:spacing w:after="0"/>
              <w:rPr>
                <w:sz w:val="20"/>
                <w:szCs w:val="20"/>
                <w:color w:val="auto"/>
              </w:rPr>
            </w:pPr>
            <w:r>
              <w:rPr>
                <w:rFonts w:ascii="Arial" w:cs="Arial" w:eastAsia="Arial" w:hAnsi="Arial"/>
                <w:sz w:val="18"/>
                <w:szCs w:val="18"/>
                <w:color w:val="auto"/>
              </w:rPr>
              <w:t>68.77</w:t>
            </w:r>
          </w:p>
        </w:tc>
        <w:tc>
          <w:tcPr>
            <w:tcW w:w="1780" w:type="dxa"/>
            <w:vAlign w:val="bottom"/>
          </w:tcPr>
          <w:p>
            <w:pPr>
              <w:jc w:val="right"/>
              <w:ind w:right="556"/>
              <w:spacing w:after="0"/>
              <w:rPr>
                <w:sz w:val="20"/>
                <w:szCs w:val="20"/>
                <w:color w:val="auto"/>
              </w:rPr>
            </w:pPr>
            <w:r>
              <w:rPr>
                <w:rFonts w:ascii="Arial" w:cs="Arial" w:eastAsia="Arial" w:hAnsi="Arial"/>
                <w:sz w:val="18"/>
                <w:szCs w:val="18"/>
                <w:color w:val="auto"/>
              </w:rPr>
              <w:t>77.66</w:t>
            </w:r>
          </w:p>
        </w:tc>
        <w:tc>
          <w:tcPr>
            <w:tcW w:w="820" w:type="dxa"/>
            <w:vAlign w:val="bottom"/>
          </w:tcPr>
          <w:p>
            <w:pPr>
              <w:jc w:val="right"/>
              <w:spacing w:after="0"/>
              <w:rPr>
                <w:sz w:val="20"/>
                <w:szCs w:val="20"/>
                <w:color w:val="auto"/>
              </w:rPr>
            </w:pPr>
            <w:r>
              <w:rPr>
                <w:rFonts w:ascii="Arial" w:cs="Arial" w:eastAsia="Arial" w:hAnsi="Arial"/>
                <w:sz w:val="18"/>
                <w:szCs w:val="18"/>
                <w:color w:val="auto"/>
              </w:rPr>
              <w:t>81.89</w:t>
            </w:r>
          </w:p>
        </w:tc>
      </w:tr>
      <w:tr>
        <w:trPr>
          <w:trHeight w:val="418"/>
        </w:trPr>
        <w:tc>
          <w:tcPr>
            <w:tcW w:w="920" w:type="dxa"/>
            <w:vAlign w:val="bottom"/>
          </w:tcPr>
          <w:p>
            <w:pPr>
              <w:spacing w:after="0"/>
              <w:rPr>
                <w:sz w:val="24"/>
                <w:szCs w:val="24"/>
                <w:color w:val="auto"/>
              </w:rPr>
            </w:pPr>
          </w:p>
        </w:tc>
        <w:tc>
          <w:tcPr>
            <w:tcW w:w="1780" w:type="dxa"/>
            <w:vAlign w:val="bottom"/>
          </w:tcPr>
          <w:p>
            <w:pPr>
              <w:jc w:val="right"/>
              <w:ind w:right="276"/>
              <w:spacing w:after="0"/>
              <w:rPr>
                <w:sz w:val="20"/>
                <w:szCs w:val="20"/>
                <w:color w:val="auto"/>
              </w:rPr>
            </w:pPr>
            <w:r>
              <w:rPr>
                <w:rFonts w:ascii="Arial" w:cs="Arial" w:eastAsia="Arial" w:hAnsi="Arial"/>
                <w:sz w:val="14"/>
                <w:szCs w:val="14"/>
                <w:i w:val="1"/>
                <w:iCs w:val="1"/>
                <w:color w:val="auto"/>
              </w:rPr>
              <w:t>(millions of dollars)</w:t>
            </w:r>
          </w:p>
        </w:tc>
        <w:tc>
          <w:tcPr>
            <w:tcW w:w="820" w:type="dxa"/>
            <w:vAlign w:val="bottom"/>
          </w:tcPr>
          <w:p>
            <w:pPr>
              <w:spacing w:after="0"/>
              <w:rPr>
                <w:sz w:val="24"/>
                <w:szCs w:val="24"/>
                <w:color w:val="auto"/>
              </w:rPr>
            </w:pPr>
          </w:p>
        </w:tc>
      </w:tr>
      <w:tr>
        <w:trPr>
          <w:trHeight w:val="216"/>
        </w:trPr>
        <w:tc>
          <w:tcPr>
            <w:tcW w:w="920" w:type="dxa"/>
            <w:vAlign w:val="bottom"/>
          </w:tcPr>
          <w:p>
            <w:pPr>
              <w:jc w:val="right"/>
              <w:ind w:right="174"/>
              <w:spacing w:after="0"/>
              <w:rPr>
                <w:sz w:val="20"/>
                <w:szCs w:val="20"/>
                <w:color w:val="auto"/>
              </w:rPr>
            </w:pPr>
            <w:r>
              <w:rPr>
                <w:rFonts w:ascii="Arial" w:cs="Arial" w:eastAsia="Arial" w:hAnsi="Arial"/>
                <w:sz w:val="18"/>
                <w:szCs w:val="18"/>
                <w:color w:val="auto"/>
              </w:rPr>
              <w:t>559</w:t>
            </w:r>
          </w:p>
        </w:tc>
        <w:tc>
          <w:tcPr>
            <w:tcW w:w="1780" w:type="dxa"/>
            <w:vAlign w:val="bottom"/>
          </w:tcPr>
          <w:p>
            <w:pPr>
              <w:jc w:val="right"/>
              <w:ind w:right="556"/>
              <w:spacing w:after="0"/>
              <w:rPr>
                <w:sz w:val="20"/>
                <w:szCs w:val="20"/>
                <w:color w:val="auto"/>
              </w:rPr>
            </w:pPr>
            <w:r>
              <w:rPr>
                <w:rFonts w:ascii="Arial" w:cs="Arial" w:eastAsia="Arial" w:hAnsi="Arial"/>
                <w:sz w:val="18"/>
                <w:szCs w:val="18"/>
                <w:color w:val="auto"/>
              </w:rPr>
              <w:t>620</w:t>
            </w:r>
          </w:p>
        </w:tc>
        <w:tc>
          <w:tcPr>
            <w:tcW w:w="8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55</w:t>
            </w:r>
          </w:p>
        </w:tc>
        <w:tc>
          <w:tcPr>
            <w:tcW w:w="178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61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614</w:t>
            </w:r>
          </w:p>
        </w:tc>
        <w:tc>
          <w:tcPr>
            <w:tcW w:w="178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681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-848360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21" w:right="239" w:bottom="1440" w:gutter="0" w:footer="0" w:header="0"/>
          <w:type w:val="continuous"/>
        </w:sectPr>
      </w:pP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there was $1,754 million of unrecognized compensation cost related to the nonvested restricted awards. This cost is expected to be recognized over a weighted-average period of 4.4 years. The compensation cost charged against income for the restricted stock and restricted stock units was $741 million, $774 million, and $856 million for 2019, 2018, and 2017, respectively. The income tax benefit recognized in income related to this compensation expense was $51 million, $42 million, and $78 million for the same periods, respectively. The fair value of shares and units vested in 2019, 2018, and 2017 was $647 million, $722 million, and $826 million, respectively. Cash payments of $56 million, $61 million, and $64 million for vested restricted stock units settled in cash were made in 2019, 2018, and 2017, respectively.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 and Other Contingencies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Litigation. </w:t>
      </w:r>
      <w:r>
        <w:rPr>
          <w:rFonts w:ascii="Arial" w:cs="Arial" w:eastAsia="Arial" w:hAnsi="Arial"/>
          <w:sz w:val="17"/>
          <w:szCs w:val="17"/>
          <w:color w:val="auto"/>
        </w:rPr>
        <w:t>A variety of claims have been made against ExxonMobil and certain of its consolidated subsidiaries in a number of pending lawsuits.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ExxonMobil will continue to defend itself vigorously in these matters.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w:t>
      </w:r>
    </w:p>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Contingencies. </w:t>
      </w:r>
      <w:r>
        <w:rPr>
          <w:rFonts w:ascii="Arial" w:cs="Arial" w:eastAsia="Arial" w:hAnsi="Arial"/>
          <w:sz w:val="18"/>
          <w:szCs w:val="18"/>
          <w:color w:val="auto"/>
        </w:rPr>
        <w:t>The Corporation and certain of its consolidated subsidiaries were contingently liable at December 31, 2019, for guarantees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notes, loans and performance under contracts. Where guarantees for environmental remediation and other similar matters do not include a stated cap, the amounts reflect management’s estimate of the maximum potential exposure.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December 31, 2019</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1940" w:type="dxa"/>
            <w:vAlign w:val="bottom"/>
          </w:tcPr>
          <w:p>
            <w:pPr>
              <w:jc w:val="right"/>
              <w:ind w:right="358"/>
              <w:spacing w:after="0" w:line="119" w:lineRule="exact"/>
              <w:rPr>
                <w:sz w:val="20"/>
                <w:szCs w:val="20"/>
                <w:color w:val="auto"/>
              </w:rPr>
            </w:pPr>
            <w:r>
              <w:rPr>
                <w:rFonts w:ascii="Arial" w:cs="Arial" w:eastAsia="Arial" w:hAnsi="Arial"/>
                <w:sz w:val="13"/>
                <w:szCs w:val="13"/>
                <w:b w:val="1"/>
                <w:bCs w:val="1"/>
                <w:color w:val="auto"/>
              </w:rPr>
              <w:t>Equity Company</w:t>
            </w:r>
          </w:p>
        </w:tc>
        <w:tc>
          <w:tcPr>
            <w:tcW w:w="2160" w:type="dxa"/>
            <w:vAlign w:val="bottom"/>
          </w:tcPr>
          <w:p>
            <w:pPr>
              <w:jc w:val="center"/>
              <w:ind w:right="161"/>
              <w:spacing w:after="0" w:line="119" w:lineRule="exact"/>
              <w:rPr>
                <w:sz w:val="20"/>
                <w:szCs w:val="20"/>
                <w:color w:val="auto"/>
              </w:rPr>
            </w:pPr>
            <w:r>
              <w:rPr>
                <w:rFonts w:ascii="Arial" w:cs="Arial" w:eastAsia="Arial" w:hAnsi="Arial"/>
                <w:sz w:val="13"/>
                <w:szCs w:val="13"/>
                <w:b w:val="1"/>
                <w:bCs w:val="1"/>
                <w:color w:val="auto"/>
              </w:rPr>
              <w:t>Other Third-Party</w:t>
            </w:r>
          </w:p>
        </w:tc>
        <w:tc>
          <w:tcPr>
            <w:tcW w:w="11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14"/>
                <w:szCs w:val="14"/>
                <w:i w:val="1"/>
                <w:iCs w:val="1"/>
                <w:color w:val="auto"/>
              </w:rPr>
              <w:t>(1)</w:t>
            </w:r>
          </w:p>
        </w:tc>
        <w:tc>
          <w:tcPr>
            <w:tcW w:w="2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Obligations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200" w:type="dxa"/>
            <w:vAlign w:val="bottom"/>
            <w:vMerge w:val="restart"/>
          </w:tcPr>
          <w:p>
            <w:pPr>
              <w:spacing w:after="0"/>
              <w:rPr>
                <w:sz w:val="20"/>
                <w:szCs w:val="20"/>
                <w:color w:val="auto"/>
              </w:rPr>
            </w:pPr>
            <w:r>
              <w:rPr>
                <w:rFonts w:ascii="Arial" w:cs="Arial" w:eastAsia="Arial" w:hAnsi="Arial"/>
                <w:sz w:val="18"/>
                <w:szCs w:val="18"/>
                <w:color w:val="auto"/>
              </w:rPr>
              <w:t>Guarantees</w:t>
            </w:r>
          </w:p>
        </w:tc>
        <w:tc>
          <w:tcPr>
            <w:tcW w:w="1940" w:type="dxa"/>
            <w:vAlign w:val="bottom"/>
          </w:tcPr>
          <w:p>
            <w:pPr>
              <w:spacing w:after="0"/>
              <w:rPr>
                <w:sz w:val="19"/>
                <w:szCs w:val="19"/>
                <w:color w:val="auto"/>
              </w:rPr>
            </w:pPr>
          </w:p>
        </w:tc>
        <w:tc>
          <w:tcPr>
            <w:tcW w:w="2160" w:type="dxa"/>
            <w:vAlign w:val="bottom"/>
          </w:tcPr>
          <w:p>
            <w:pPr>
              <w:jc w:val="center"/>
              <w:ind w:right="161"/>
              <w:spacing w:after="0"/>
              <w:rPr>
                <w:sz w:val="20"/>
                <w:szCs w:val="20"/>
                <w:color w:val="auto"/>
              </w:rPr>
            </w:pPr>
            <w:r>
              <w:rPr>
                <w:rFonts w:ascii="Arial" w:cs="Arial" w:eastAsia="Arial" w:hAnsi="Arial"/>
                <w:sz w:val="14"/>
                <w:szCs w:val="14"/>
                <w:i w:val="1"/>
                <w:iCs w:val="1"/>
                <w:color w:val="auto"/>
                <w:w w:val="99"/>
              </w:rPr>
              <w:t>(millions of dollars)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Debt-related</w:t>
            </w:r>
          </w:p>
        </w:tc>
        <w:tc>
          <w:tcPr>
            <w:tcW w:w="1940" w:type="dxa"/>
            <w:vAlign w:val="bottom"/>
          </w:tcPr>
          <w:p>
            <w:pPr>
              <w:jc w:val="right"/>
              <w:ind w:right="318"/>
              <w:spacing w:after="0"/>
              <w:rPr>
                <w:sz w:val="20"/>
                <w:szCs w:val="20"/>
                <w:color w:val="auto"/>
              </w:rPr>
            </w:pPr>
            <w:r>
              <w:rPr>
                <w:rFonts w:ascii="Arial" w:cs="Arial" w:eastAsia="Arial" w:hAnsi="Arial"/>
                <w:sz w:val="18"/>
                <w:szCs w:val="18"/>
                <w:color w:val="auto"/>
              </w:rPr>
              <w:t>827</w:t>
            </w:r>
          </w:p>
        </w:tc>
        <w:tc>
          <w:tcPr>
            <w:tcW w:w="2160" w:type="dxa"/>
            <w:vAlign w:val="bottom"/>
          </w:tcPr>
          <w:p>
            <w:pPr>
              <w:jc w:val="right"/>
              <w:ind w:right="561"/>
              <w:spacing w:after="0"/>
              <w:rPr>
                <w:sz w:val="20"/>
                <w:szCs w:val="20"/>
                <w:color w:val="auto"/>
              </w:rPr>
            </w:pPr>
            <w:r>
              <w:rPr>
                <w:rFonts w:ascii="Arial" w:cs="Arial" w:eastAsia="Arial" w:hAnsi="Arial"/>
                <w:sz w:val="18"/>
                <w:szCs w:val="18"/>
                <w:color w:val="auto"/>
              </w:rPr>
              <w:t>104</w:t>
            </w:r>
          </w:p>
        </w:tc>
        <w:tc>
          <w:tcPr>
            <w:tcW w:w="112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873</w:t>
            </w:r>
          </w:p>
        </w:tc>
        <w:tc>
          <w:tcPr>
            <w:tcW w:w="2160" w:type="dxa"/>
            <w:vAlign w:val="bottom"/>
            <w:tcBorders>
              <w:bottom w:val="single" w:sz="8" w:color="auto"/>
            </w:tcBorders>
          </w:tcPr>
          <w:p>
            <w:pPr>
              <w:jc w:val="right"/>
              <w:ind w:right="561"/>
              <w:spacing w:after="0"/>
              <w:rPr>
                <w:sz w:val="20"/>
                <w:szCs w:val="20"/>
                <w:color w:val="auto"/>
              </w:rPr>
            </w:pPr>
            <w:r>
              <w:rPr>
                <w:rFonts w:ascii="Arial" w:cs="Arial" w:eastAsia="Arial" w:hAnsi="Arial"/>
                <w:sz w:val="18"/>
                <w:szCs w:val="18"/>
                <w:color w:val="auto"/>
              </w:rPr>
              <w:t>5,151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10"/>
        </w:trPr>
        <w:tc>
          <w:tcPr>
            <w:tcW w:w="6200" w:type="dxa"/>
            <w:vAlign w:val="bottom"/>
          </w:tcPr>
          <w:p>
            <w:pPr>
              <w:ind w:left="72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1,700</w:t>
            </w:r>
          </w:p>
        </w:tc>
        <w:tc>
          <w:tcPr>
            <w:tcW w:w="2160" w:type="dxa"/>
            <w:vAlign w:val="bottom"/>
            <w:tcBorders>
              <w:bottom w:val="single" w:sz="8" w:color="auto"/>
            </w:tcBorders>
          </w:tcPr>
          <w:p>
            <w:pPr>
              <w:jc w:val="right"/>
              <w:ind w:right="561"/>
              <w:spacing w:after="0"/>
              <w:rPr>
                <w:sz w:val="20"/>
                <w:szCs w:val="20"/>
                <w:color w:val="auto"/>
              </w:rPr>
            </w:pPr>
            <w:r>
              <w:rPr>
                <w:rFonts w:ascii="Arial" w:cs="Arial" w:eastAsia="Arial" w:hAnsi="Arial"/>
                <w:sz w:val="18"/>
                <w:szCs w:val="18"/>
                <w:color w:val="auto"/>
              </w:rPr>
              <w:t>5,255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ExxonMobil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 Venezuelan nationalization decree issued in February 2007, a subsidiary of the Venezuelan National Oil Company (PdVSA) assumed the operatorship of the Cerro Negro Heavy Oil Project. The decree also required conversion of the Cerro Negro Project into a “mixed enterprise” and an increase in PdVSA’s or one of its affiliate’s ownership interest in the Project. ExxonMobil refused to accede to the terms proffered by the government, and on June 27, 2007, the government expropriated ExxonMobil’s 41.67 percent interest in the Cerro Negro Project.</w:t>
      </w:r>
    </w:p>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ExxonMobil collected awards of $908 million in an arbitration against PdVSA under the rules of the International Chamber of Commerce in respect of an indemnity related to the Cerro Negro Project and $260 million in an arbitration for compensation due for the La Ceiba Project and for export curtailments at the Cerro Negro Project under rules of International Centre for Settlement of Investment Disputes (ICSID). An ICSID arbitration award relating to the Cerro Negro Project’s expropriation ($1.4 billion) was annulled based on a determination that a prior Tribunal failed to adequately explain why the cap on damages in the indemnity owed by PdVSA did not affect or limit the amount owed for the expropriation of the Cerro Negro Project. ExxonMobil filed a new claim seeking to restore the original award of damages for the Cerro Negro Project with ICSID on September 26, 2018.</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impact of this matter on the Corporation’s consolidated financial results cannot be reasonably estimated. Regardless, the Corporation does not expect the resolution to have a material effect upon the Corporation’s operations or financial condition.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affiliate of ExxonMobil is one of the Contractors under a Production Sharing Contract (PSC) with the Nigerian National Petroleum Corporation (NNPC) covering the Erha block located in the offshore waters of Nigeria. ExxonMobil's affiliate is the operator of the block and owns a 56.25 percent interest under the PSC. The Contractors are in dispute with NNPC regarding NNPC's lifting of crude oil in excess of its entitlement under the terms of the PSC. In accordance with the terms of the PSC, the Contractors initiated arbitration in Abuja, Nigeria, under the Nigerian Arbitration and Conciliation Act. On October 24, 2011, a three-member arbitral Tribunal issued an award upholding the Contractors' position in all material respects and awarding damages to the Contractors jointly in an amount of approximately $1.8 billion plus $234 million in accrued interest. The Contractors petitioned a Nigerian federal court for enforcement of the award, and NNPC petitioned the same court to have the award set aside. On May 22, 2012, the court set aside the award. The Contractors appealed that judgment to the Court of Appeal, Abuja Judicial Division. On July 22, 2016, the Court of Appeal upheld the decision of the lower court setting aside the award. On October 21, 2016, the Contractors appealed the decision to the Supreme Court of Nigeria. In June 2013, the Contractors filed a lawsuit against NNPC in the Nigerian federal high court in order to preserve their ability to seek enforcement of the PSC in the courts if necessary. Following dismissal by this court, the Contractors appealed to the Nigerian Court of Appeal in June 2016. In October 2014, the Contractors filed suit in the United States District Court for the Southern District of New York (SDNY) to enforce, if necessary, the arbitration award against NNPC assets residing within that jurisdiction. NNPC moved to dismiss the lawsuit. On September 4, 2019, the SDNY dismissed the Contractors’ petition to recognize and enforce the Erha arbitration award. The Contractors filed a notice of appeal in the Second Circuit on October 2, 2019. At this time, the net impact of this matter on the Corporation's consolidated financial results cannot be reasonably estimated. However, regardless of the outcome of enforcement proceedings, the Corporation does not expect the proceedings to have a material effect upon the Corporation's operations or financial condition.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Other Postretirement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and plan assets associated with the Corporation’s principal benefit plans are measured on December 31.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Benefits</w:t>
            </w: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U.S.</w:t>
            </w:r>
          </w:p>
        </w:tc>
        <w:tc>
          <w:tcPr>
            <w:tcW w:w="7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b w:val="1"/>
                <w:bCs w:val="1"/>
                <w:color w:val="auto"/>
                <w:w w:val="94"/>
              </w:rPr>
              <w:t>Non-U.S.</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center"/>
              <w:ind w:left="595"/>
              <w:spacing w:after="0"/>
              <w:rPr>
                <w:sz w:val="20"/>
                <w:szCs w:val="20"/>
                <w:color w:val="auto"/>
              </w:rPr>
            </w:pPr>
            <w:r>
              <w:rPr>
                <w:rFonts w:ascii="Arial" w:cs="Arial" w:eastAsia="Arial" w:hAnsi="Arial"/>
                <w:sz w:val="14"/>
                <w:szCs w:val="14"/>
                <w:i w:val="1"/>
                <w:iCs w:val="1"/>
                <w:color w:val="auto"/>
                <w:w w:val="92"/>
              </w:rPr>
              <w:t>(percent)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tcPr>
          <w:p>
            <w:pPr>
              <w:spacing w:after="0"/>
              <w:rPr>
                <w:sz w:val="20"/>
                <w:szCs w:val="20"/>
                <w:color w:val="auto"/>
              </w:rPr>
            </w:pPr>
            <w:r>
              <w:rPr>
                <w:rFonts w:ascii="Arial" w:cs="Arial" w:eastAsia="Arial" w:hAnsi="Arial"/>
                <w:sz w:val="18"/>
                <w:szCs w:val="18"/>
                <w:color w:val="auto"/>
              </w:rPr>
              <w:t>Weighted-average assumptions used to determine</w:t>
            </w: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benefit obligations at December 31</w:t>
            </w: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3.50</w:t>
            </w: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2.30</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3.50</w:t>
            </w:r>
          </w:p>
        </w:tc>
        <w:tc>
          <w:tcPr>
            <w:tcW w:w="68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Long-term rate of compensation increase</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5.75</w:t>
            </w: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360" w:type="dxa"/>
            <w:vAlign w:val="bottom"/>
          </w:tcPr>
          <w:p>
            <w:pPr>
              <w:spacing w:after="0"/>
              <w:rPr>
                <w:sz w:val="20"/>
                <w:szCs w:val="20"/>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4.80</w:t>
            </w: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20"/>
                <w:szCs w:val="20"/>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5.75</w:t>
            </w:r>
          </w:p>
        </w:tc>
        <w:tc>
          <w:tcPr>
            <w:tcW w:w="6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07"/>
        </w:trPr>
        <w:tc>
          <w:tcPr>
            <w:tcW w:w="4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9"/>
              </w:rPr>
              <w:t>(millions of dollars)</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62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Benefit obligation at January 1</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18,174</w:t>
            </w:r>
          </w:p>
        </w:tc>
        <w:tc>
          <w:tcPr>
            <w:tcW w:w="720" w:type="dxa"/>
            <w:vAlign w:val="bottom"/>
          </w:tcPr>
          <w:p>
            <w:pPr>
              <w:jc w:val="right"/>
              <w:spacing w:after="0"/>
              <w:rPr>
                <w:sz w:val="20"/>
                <w:szCs w:val="20"/>
                <w:color w:val="auto"/>
              </w:rPr>
            </w:pPr>
            <w:r>
              <w:rPr>
                <w:rFonts w:ascii="Arial" w:cs="Arial" w:eastAsia="Arial" w:hAnsi="Arial"/>
                <w:sz w:val="18"/>
                <w:szCs w:val="18"/>
                <w:color w:val="auto"/>
              </w:rPr>
              <w:t>19,310</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25,378</w:t>
            </w:r>
          </w:p>
        </w:tc>
        <w:tc>
          <w:tcPr>
            <w:tcW w:w="660" w:type="dxa"/>
            <w:vAlign w:val="bottom"/>
          </w:tcPr>
          <w:p>
            <w:pPr>
              <w:jc w:val="right"/>
              <w:spacing w:after="0"/>
              <w:rPr>
                <w:sz w:val="20"/>
                <w:szCs w:val="20"/>
                <w:color w:val="auto"/>
              </w:rPr>
            </w:pPr>
            <w:r>
              <w:rPr>
                <w:rFonts w:ascii="Arial" w:cs="Arial" w:eastAsia="Arial" w:hAnsi="Arial"/>
                <w:sz w:val="18"/>
                <w:szCs w:val="18"/>
                <w:color w:val="auto"/>
              </w:rPr>
              <w:t>27,963</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7,471</w:t>
            </w:r>
          </w:p>
        </w:tc>
        <w:tc>
          <w:tcPr>
            <w:tcW w:w="68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757</w:t>
            </w: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551</w:t>
            </w: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139</w:t>
            </w: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766</w:t>
            </w:r>
          </w:p>
        </w:tc>
        <w:tc>
          <w:tcPr>
            <w:tcW w:w="720" w:type="dxa"/>
            <w:vAlign w:val="bottom"/>
          </w:tcPr>
          <w:p>
            <w:pPr>
              <w:jc w:val="right"/>
              <w:spacing w:after="0"/>
              <w:rPr>
                <w:sz w:val="20"/>
                <w:szCs w:val="20"/>
                <w:color w:val="auto"/>
              </w:rPr>
            </w:pPr>
            <w:r>
              <w:rPr>
                <w:rFonts w:ascii="Arial" w:cs="Arial" w:eastAsia="Arial" w:hAnsi="Arial"/>
                <w:sz w:val="18"/>
                <w:szCs w:val="18"/>
                <w:color w:val="auto"/>
              </w:rPr>
              <w:t>721</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763</w:t>
            </w: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315</w:t>
            </w:r>
          </w:p>
        </w:tc>
        <w:tc>
          <w:tcPr>
            <w:tcW w:w="6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Actuarial loss/(gain)</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2,562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(957)</w:t>
            </w: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3,703</w:t>
            </w:r>
          </w:p>
        </w:tc>
        <w:tc>
          <w:tcPr>
            <w:tcW w:w="660" w:type="dxa"/>
            <w:vAlign w:val="bottom"/>
          </w:tcPr>
          <w:p>
            <w:pPr>
              <w:jc w:val="right"/>
              <w:spacing w:after="0"/>
              <w:rPr>
                <w:sz w:val="20"/>
                <w:szCs w:val="20"/>
                <w:color w:val="auto"/>
              </w:rPr>
            </w:pPr>
            <w:r>
              <w:rPr>
                <w:rFonts w:ascii="Arial" w:cs="Arial" w:eastAsia="Arial" w:hAnsi="Arial"/>
                <w:sz w:val="18"/>
                <w:szCs w:val="18"/>
                <w:color w:val="auto"/>
              </w:rPr>
              <w:t>(1,034)</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556</w:t>
            </w:r>
          </w:p>
        </w:tc>
        <w:tc>
          <w:tcPr>
            <w:tcW w:w="6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4"/>
                <w:szCs w:val="14"/>
                <w:i w:val="1"/>
                <w:iCs w:val="1"/>
                <w:color w:val="auto"/>
              </w:rPr>
              <w:t>(1) (2)</w:t>
            </w:r>
          </w:p>
        </w:tc>
        <w:tc>
          <w:tcPr>
            <w:tcW w:w="1300" w:type="dxa"/>
            <w:vAlign w:val="bottom"/>
          </w:tcPr>
          <w:p>
            <w:pPr>
              <w:jc w:val="right"/>
              <w:ind w:right="373"/>
              <w:spacing w:after="0"/>
              <w:rPr>
                <w:sz w:val="20"/>
                <w:szCs w:val="20"/>
                <w:color w:val="auto"/>
              </w:rPr>
            </w:pPr>
            <w:r>
              <w:rPr>
                <w:rFonts w:ascii="Arial" w:cs="Arial" w:eastAsia="Arial" w:hAnsi="Arial"/>
                <w:sz w:val="18"/>
                <w:szCs w:val="18"/>
                <w:color w:val="auto"/>
              </w:rPr>
              <w:t>(1,300)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(1,715)</w:t>
            </w:r>
          </w:p>
        </w:tc>
        <w:tc>
          <w:tcPr>
            <w:tcW w:w="1360" w:type="dxa"/>
            <w:vAlign w:val="bottom"/>
          </w:tcPr>
          <w:p>
            <w:pPr>
              <w:jc w:val="right"/>
              <w:ind w:right="455"/>
              <w:spacing w:after="0"/>
              <w:rPr>
                <w:sz w:val="20"/>
                <w:szCs w:val="20"/>
                <w:color w:val="auto"/>
              </w:rPr>
            </w:pPr>
            <w:r>
              <w:rPr>
                <w:rFonts w:ascii="Arial" w:cs="Arial" w:eastAsia="Arial" w:hAnsi="Arial"/>
                <w:sz w:val="18"/>
                <w:szCs w:val="18"/>
                <w:color w:val="auto"/>
              </w:rPr>
              <w:t>(1,196)</w:t>
            </w:r>
          </w:p>
        </w:tc>
        <w:tc>
          <w:tcPr>
            <w:tcW w:w="660" w:type="dxa"/>
            <w:vAlign w:val="bottom"/>
          </w:tcPr>
          <w:p>
            <w:pPr>
              <w:jc w:val="right"/>
              <w:spacing w:after="0"/>
              <w:rPr>
                <w:sz w:val="20"/>
                <w:szCs w:val="20"/>
                <w:color w:val="auto"/>
              </w:rPr>
            </w:pPr>
            <w:r>
              <w:rPr>
                <w:rFonts w:ascii="Arial" w:cs="Arial" w:eastAsia="Arial" w:hAnsi="Arial"/>
                <w:sz w:val="18"/>
                <w:szCs w:val="18"/>
                <w:color w:val="auto"/>
              </w:rPr>
              <w:t>(1,284)</w:t>
            </w:r>
          </w:p>
        </w:tc>
        <w:tc>
          <w:tcPr>
            <w:tcW w:w="340" w:type="dxa"/>
            <w:vAlign w:val="bottom"/>
          </w:tcPr>
          <w:p>
            <w:pPr>
              <w:spacing w:after="0"/>
              <w:rPr>
                <w:sz w:val="18"/>
                <w:szCs w:val="18"/>
                <w:color w:val="auto"/>
              </w:rPr>
            </w:pPr>
          </w:p>
        </w:tc>
        <w:tc>
          <w:tcPr>
            <w:tcW w:w="1380" w:type="dxa"/>
            <w:vAlign w:val="bottom"/>
          </w:tcPr>
          <w:p>
            <w:pPr>
              <w:jc w:val="right"/>
              <w:ind w:right="454"/>
              <w:spacing w:after="0"/>
              <w:rPr>
                <w:sz w:val="20"/>
                <w:szCs w:val="20"/>
                <w:color w:val="auto"/>
              </w:rPr>
            </w:pPr>
            <w:r>
              <w:rPr>
                <w:rFonts w:ascii="Arial" w:cs="Arial" w:eastAsia="Arial" w:hAnsi="Arial"/>
                <w:sz w:val="18"/>
                <w:szCs w:val="18"/>
                <w:color w:val="auto"/>
              </w:rPr>
              <w:t>(517)</w:t>
            </w: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Foreign exchange rate changes</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391</w:t>
            </w:r>
          </w:p>
        </w:tc>
        <w:tc>
          <w:tcPr>
            <w:tcW w:w="660" w:type="dxa"/>
            <w:vAlign w:val="bottom"/>
          </w:tcPr>
          <w:p>
            <w:pPr>
              <w:jc w:val="right"/>
              <w:spacing w:after="0"/>
              <w:rPr>
                <w:sz w:val="20"/>
                <w:szCs w:val="20"/>
                <w:color w:val="auto"/>
              </w:rPr>
            </w:pPr>
            <w:r>
              <w:rPr>
                <w:rFonts w:ascii="Arial" w:cs="Arial" w:eastAsia="Arial" w:hAnsi="Arial"/>
                <w:sz w:val="18"/>
                <w:szCs w:val="18"/>
                <w:color w:val="auto"/>
              </w:rPr>
              <w:t>(1,664)</w:t>
            </w:r>
          </w:p>
        </w:tc>
        <w:tc>
          <w:tcPr>
            <w:tcW w:w="340" w:type="dxa"/>
            <w:vAlign w:val="bottom"/>
          </w:tcPr>
          <w:p>
            <w:pPr>
              <w:spacing w:after="0"/>
              <w:rPr>
                <w:sz w:val="18"/>
                <w:szCs w:val="18"/>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25</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620" w:type="dxa"/>
            <w:vAlign w:val="bottom"/>
          </w:tcPr>
          <w:p>
            <w:pPr>
              <w:ind w:left="120"/>
              <w:spacing w:after="0"/>
              <w:rPr>
                <w:sz w:val="20"/>
                <w:szCs w:val="20"/>
                <w:color w:val="auto"/>
              </w:rPr>
            </w:pPr>
            <w:r>
              <w:rPr>
                <w:rFonts w:ascii="Arial" w:cs="Arial" w:eastAsia="Arial" w:hAnsi="Arial"/>
                <w:sz w:val="18"/>
                <w:szCs w:val="18"/>
                <w:color w:val="auto"/>
              </w:rPr>
              <w:t>Amendments, divestments and other</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328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124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Benefit obligation at December 31</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20,959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29,918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25,378</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8,113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Accumulated benefit obligation at December 31</w:t>
            </w:r>
          </w:p>
        </w:tc>
        <w:tc>
          <w:tcPr>
            <w:tcW w:w="1300" w:type="dxa"/>
            <w:vAlign w:val="bottom"/>
          </w:tcPr>
          <w:p>
            <w:pPr>
              <w:jc w:val="right"/>
              <w:ind w:right="433"/>
              <w:spacing w:after="0"/>
              <w:rPr>
                <w:sz w:val="20"/>
                <w:szCs w:val="20"/>
                <w:color w:val="auto"/>
              </w:rPr>
            </w:pPr>
            <w:r>
              <w:rPr>
                <w:rFonts w:ascii="Arial" w:cs="Arial" w:eastAsia="Arial" w:hAnsi="Arial"/>
                <w:sz w:val="18"/>
                <w:szCs w:val="18"/>
                <w:color w:val="auto"/>
              </w:rPr>
              <w:t>16,387</w:t>
            </w:r>
          </w:p>
        </w:tc>
        <w:tc>
          <w:tcPr>
            <w:tcW w:w="720" w:type="dxa"/>
            <w:vAlign w:val="bottom"/>
          </w:tcPr>
          <w:p>
            <w:pPr>
              <w:jc w:val="right"/>
              <w:spacing w:after="0"/>
              <w:rPr>
                <w:sz w:val="20"/>
                <w:szCs w:val="20"/>
                <w:color w:val="auto"/>
              </w:rPr>
            </w:pPr>
            <w:r>
              <w:rPr>
                <w:rFonts w:ascii="Arial" w:cs="Arial" w:eastAsia="Arial" w:hAnsi="Arial"/>
                <w:sz w:val="18"/>
                <w:szCs w:val="18"/>
                <w:color w:val="auto"/>
              </w:rPr>
              <w:t>14,683</w:t>
            </w:r>
          </w:p>
        </w:tc>
        <w:tc>
          <w:tcPr>
            <w:tcW w:w="360" w:type="dxa"/>
            <w:vAlign w:val="bottom"/>
          </w:tcPr>
          <w:p>
            <w:pPr>
              <w:spacing w:after="0"/>
              <w:rPr>
                <w:sz w:val="19"/>
                <w:szCs w:val="19"/>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27,236</w:t>
            </w:r>
          </w:p>
        </w:tc>
        <w:tc>
          <w:tcPr>
            <w:tcW w:w="660" w:type="dxa"/>
            <w:vAlign w:val="bottom"/>
          </w:tcPr>
          <w:p>
            <w:pPr>
              <w:jc w:val="right"/>
              <w:spacing w:after="0"/>
              <w:rPr>
                <w:sz w:val="20"/>
                <w:szCs w:val="20"/>
                <w:color w:val="auto"/>
              </w:rPr>
            </w:pPr>
            <w:r>
              <w:rPr>
                <w:rFonts w:ascii="Arial" w:cs="Arial" w:eastAsia="Arial" w:hAnsi="Arial"/>
                <w:sz w:val="18"/>
                <w:szCs w:val="18"/>
                <w:color w:val="auto"/>
              </w:rPr>
              <w:t>23,350</w:t>
            </w:r>
          </w:p>
        </w:tc>
        <w:tc>
          <w:tcPr>
            <w:tcW w:w="340" w:type="dxa"/>
            <w:vAlign w:val="bottom"/>
          </w:tcPr>
          <w:p>
            <w:pPr>
              <w:spacing w:after="0"/>
              <w:rPr>
                <w:sz w:val="19"/>
                <w:szCs w:val="19"/>
                <w:color w:val="auto"/>
              </w:rPr>
            </w:pP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Benefit payments for funded and unfunded plans.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For 2019 and 2018, other postretirement benefits paid are net of $20 million and $13 million of Medicare subsidy receipts, respectively.</w:t>
      </w:r>
    </w:p>
    <w:p>
      <w:pPr>
        <w:spacing w:after="0" w:line="200" w:lineRule="exact"/>
        <w:rPr>
          <w:sz w:val="20"/>
          <w:szCs w:val="20"/>
          <w:color w:val="auto"/>
        </w:rPr>
      </w:pP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selection of the discount rate for U.S. plans, several sources of information are considered, including interest rate market indicators and the effective discount rate determined by use of a yield curve based on high-quality, noncallable bonds applied to the estimated cash outflows for benefit payments. For major non-U.S. plans, the discount rate is determined by using a spot yield curve of high-quality, local-currency-denominated bonds at an average maturity approximating that of the liabilities.</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measurement of the accumulated postretirement benefit obligation assumes a health care cost trend rate of 4.5 percent in 2021 and subsequent years. A one-percentage-point increase in the health care cost trend rate would increase service and interest cost by $85 million and the postretirement benefit obligation by $921 million. A one-percentage-point decrease in the health care cost trend rate would decrease service and interest cost by $63 million and the postretirement benefit obligation by $726 million.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20" w:type="dxa"/>
            <w:vAlign w:val="bottom"/>
            <w:gridSpan w:val="3"/>
          </w:tcPr>
          <w:p>
            <w:pPr>
              <w:jc w:val="right"/>
              <w:ind w:right="935"/>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Benefits</w:t>
            </w: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U.S.</w:t>
            </w:r>
          </w:p>
        </w:tc>
        <w:tc>
          <w:tcPr>
            <w:tcW w:w="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Non-U.S.</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3"/>
          </w:tcPr>
          <w:p>
            <w:pPr>
              <w:ind w:left="460"/>
              <w:spacing w:after="0"/>
              <w:rPr>
                <w:sz w:val="20"/>
                <w:szCs w:val="20"/>
                <w:color w:val="auto"/>
              </w:rPr>
            </w:pPr>
            <w:r>
              <w:rPr>
                <w:rFonts w:ascii="Arial" w:cs="Arial" w:eastAsia="Arial" w:hAnsi="Arial"/>
                <w:sz w:val="14"/>
                <w:szCs w:val="14"/>
                <w:i w:val="1"/>
                <w:iCs w:val="1"/>
                <w:color w:val="auto"/>
              </w:rPr>
              <w:t>(millions of dollars)</w:t>
            </w: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Fair value at January 1</w:t>
            </w:r>
          </w:p>
        </w:tc>
        <w:tc>
          <w:tcPr>
            <w:tcW w:w="1300" w:type="dxa"/>
            <w:vAlign w:val="bottom"/>
          </w:tcPr>
          <w:p>
            <w:pPr>
              <w:jc w:val="right"/>
              <w:ind w:right="434"/>
              <w:spacing w:after="0"/>
              <w:rPr>
                <w:sz w:val="20"/>
                <w:szCs w:val="20"/>
                <w:color w:val="auto"/>
              </w:rPr>
            </w:pPr>
            <w:r>
              <w:rPr>
                <w:rFonts w:ascii="Arial" w:cs="Arial" w:eastAsia="Arial" w:hAnsi="Arial"/>
                <w:sz w:val="18"/>
                <w:szCs w:val="18"/>
                <w:color w:val="auto"/>
              </w:rPr>
              <w:t>11,134</w:t>
            </w:r>
          </w:p>
        </w:tc>
        <w:tc>
          <w:tcPr>
            <w:tcW w:w="700" w:type="dxa"/>
            <w:vAlign w:val="bottom"/>
          </w:tcPr>
          <w:p>
            <w:pPr>
              <w:jc w:val="right"/>
              <w:spacing w:after="0"/>
              <w:rPr>
                <w:sz w:val="20"/>
                <w:szCs w:val="20"/>
                <w:color w:val="auto"/>
              </w:rPr>
            </w:pPr>
            <w:r>
              <w:rPr>
                <w:rFonts w:ascii="Arial" w:cs="Arial" w:eastAsia="Arial" w:hAnsi="Arial"/>
                <w:sz w:val="18"/>
                <w:szCs w:val="18"/>
                <w:color w:val="auto"/>
              </w:rPr>
              <w:t>12,782</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19,486</w:t>
            </w:r>
          </w:p>
        </w:tc>
        <w:tc>
          <w:tcPr>
            <w:tcW w:w="660" w:type="dxa"/>
            <w:vAlign w:val="bottom"/>
          </w:tcPr>
          <w:p>
            <w:pPr>
              <w:jc w:val="right"/>
              <w:spacing w:after="0"/>
              <w:rPr>
                <w:sz w:val="20"/>
                <w:szCs w:val="20"/>
                <w:color w:val="auto"/>
              </w:rPr>
            </w:pPr>
            <w:r>
              <w:rPr>
                <w:rFonts w:ascii="Arial" w:cs="Arial" w:eastAsia="Arial" w:hAnsi="Arial"/>
                <w:sz w:val="18"/>
                <w:szCs w:val="18"/>
                <w:color w:val="auto"/>
              </w:rPr>
              <w:t>21,461</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386</w:t>
            </w: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Actual return on plan assets</w:t>
            </w:r>
          </w:p>
        </w:tc>
        <w:tc>
          <w:tcPr>
            <w:tcW w:w="1300" w:type="dxa"/>
            <w:vAlign w:val="bottom"/>
          </w:tcPr>
          <w:p>
            <w:pPr>
              <w:jc w:val="right"/>
              <w:ind w:right="434"/>
              <w:spacing w:after="0"/>
              <w:rPr>
                <w:sz w:val="20"/>
                <w:szCs w:val="20"/>
                <w:color w:val="auto"/>
              </w:rPr>
            </w:pPr>
            <w:r>
              <w:rPr>
                <w:rFonts w:ascii="Arial" w:cs="Arial" w:eastAsia="Arial" w:hAnsi="Arial"/>
                <w:sz w:val="18"/>
                <w:szCs w:val="18"/>
                <w:color w:val="auto"/>
              </w:rPr>
              <w:t>2,521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(710)</w:t>
            </w: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3,210</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54</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Foreign exchange rate changes</w:t>
            </w:r>
          </w:p>
        </w:tc>
        <w:tc>
          <w:tcPr>
            <w:tcW w:w="130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513</w:t>
            </w:r>
          </w:p>
        </w:tc>
        <w:tc>
          <w:tcPr>
            <w:tcW w:w="660" w:type="dxa"/>
            <w:vAlign w:val="bottom"/>
          </w:tcPr>
          <w:p>
            <w:pPr>
              <w:jc w:val="right"/>
              <w:spacing w:after="0"/>
              <w:rPr>
                <w:sz w:val="20"/>
                <w:szCs w:val="20"/>
                <w:color w:val="auto"/>
              </w:rPr>
            </w:pPr>
            <w:r>
              <w:rPr>
                <w:rFonts w:ascii="Arial" w:cs="Arial" w:eastAsia="Arial" w:hAnsi="Arial"/>
                <w:sz w:val="18"/>
                <w:szCs w:val="18"/>
                <w:color w:val="auto"/>
              </w:rPr>
              <w:t>(1,320)</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Company contribution</w:t>
            </w:r>
          </w:p>
        </w:tc>
        <w:tc>
          <w:tcPr>
            <w:tcW w:w="1300" w:type="dxa"/>
            <w:vAlign w:val="bottom"/>
          </w:tcPr>
          <w:p>
            <w:pPr>
              <w:jc w:val="right"/>
              <w:ind w:right="434"/>
              <w:spacing w:after="0"/>
              <w:rPr>
                <w:sz w:val="20"/>
                <w:szCs w:val="20"/>
                <w:color w:val="auto"/>
              </w:rPr>
            </w:pPr>
            <w:r>
              <w:rPr>
                <w:rFonts w:ascii="Arial" w:cs="Arial" w:eastAsia="Arial" w:hAnsi="Arial"/>
                <w:sz w:val="18"/>
                <w:szCs w:val="18"/>
                <w:color w:val="auto"/>
              </w:rPr>
              <w:t>1,022</w:t>
            </w: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602</w:t>
            </w:r>
          </w:p>
        </w:tc>
        <w:tc>
          <w:tcPr>
            <w:tcW w:w="660" w:type="dxa"/>
            <w:vAlign w:val="bottom"/>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41</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4"/>
                <w:szCs w:val="14"/>
                <w:i w:val="1"/>
                <w:iCs w:val="1"/>
                <w:color w:val="auto"/>
              </w:rPr>
              <w:t>(1)</w:t>
            </w:r>
          </w:p>
        </w:tc>
        <w:tc>
          <w:tcPr>
            <w:tcW w:w="1300" w:type="dxa"/>
            <w:vAlign w:val="bottom"/>
          </w:tcPr>
          <w:p>
            <w:pPr>
              <w:jc w:val="right"/>
              <w:ind w:right="394"/>
              <w:spacing w:after="0"/>
              <w:rPr>
                <w:sz w:val="20"/>
                <w:szCs w:val="20"/>
                <w:color w:val="auto"/>
              </w:rPr>
            </w:pPr>
            <w:r>
              <w:rPr>
                <w:rFonts w:ascii="Arial" w:cs="Arial" w:eastAsia="Arial" w:hAnsi="Arial"/>
                <w:sz w:val="18"/>
                <w:szCs w:val="18"/>
                <w:color w:val="auto"/>
              </w:rPr>
              <w:t>(1,041)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(1,429)</w:t>
            </w:r>
          </w:p>
        </w:tc>
        <w:tc>
          <w:tcPr>
            <w:tcW w:w="1360" w:type="dxa"/>
            <w:vAlign w:val="bottom"/>
          </w:tcPr>
          <w:p>
            <w:pPr>
              <w:jc w:val="right"/>
              <w:ind w:right="455"/>
              <w:spacing w:after="0"/>
              <w:rPr>
                <w:sz w:val="20"/>
                <w:szCs w:val="20"/>
                <w:color w:val="auto"/>
              </w:rPr>
            </w:pPr>
            <w:r>
              <w:rPr>
                <w:rFonts w:ascii="Arial" w:cs="Arial" w:eastAsia="Arial" w:hAnsi="Arial"/>
                <w:sz w:val="18"/>
                <w:szCs w:val="18"/>
                <w:color w:val="auto"/>
              </w:rPr>
              <w:t>(883)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(903)</w:t>
            </w:r>
          </w:p>
        </w:tc>
        <w:tc>
          <w:tcPr>
            <w:tcW w:w="1380" w:type="dxa"/>
            <w:vAlign w:val="bottom"/>
          </w:tcPr>
          <w:p>
            <w:pPr>
              <w:jc w:val="right"/>
              <w:ind w:right="455"/>
              <w:spacing w:after="0"/>
              <w:rPr>
                <w:sz w:val="20"/>
                <w:szCs w:val="20"/>
                <w:color w:val="auto"/>
              </w:rPr>
            </w:pPr>
            <w:r>
              <w:rPr>
                <w:rFonts w:ascii="Arial" w:cs="Arial" w:eastAsia="Arial" w:hAnsi="Arial"/>
                <w:sz w:val="18"/>
                <w:szCs w:val="18"/>
                <w:color w:val="auto"/>
              </w:rPr>
              <w:t>(56)</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40" w:type="dxa"/>
            <w:vAlign w:val="bottom"/>
          </w:tcPr>
          <w:p>
            <w:pPr>
              <w:ind w:left="120"/>
              <w:spacing w:after="0"/>
              <w:rPr>
                <w:sz w:val="20"/>
                <w:szCs w:val="20"/>
                <w:color w:val="auto"/>
              </w:rPr>
            </w:pPr>
            <w:r>
              <w:rPr>
                <w:rFonts w:ascii="Arial" w:cs="Arial" w:eastAsia="Arial" w:hAnsi="Arial"/>
                <w:sz w:val="18"/>
                <w:szCs w:val="18"/>
                <w:color w:val="auto"/>
                <w:w w:val="88"/>
              </w:rPr>
              <w:t>Other</w:t>
            </w:r>
          </w:p>
        </w:tc>
        <w:tc>
          <w:tcPr>
            <w:tcW w:w="4100" w:type="dxa"/>
            <w:vAlign w:val="bottom"/>
          </w:tcPr>
          <w:p>
            <w:pPr>
              <w:spacing w:after="0"/>
              <w:rPr>
                <w:sz w:val="20"/>
                <w:szCs w:val="20"/>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(12)</w:t>
            </w: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(175)</w:t>
            </w: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Fair value at December 31</w:t>
            </w: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13,636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11,134</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22,916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19,486</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425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Arial" w:cs="Arial" w:eastAsia="Arial" w:hAnsi="Arial"/>
                <w:sz w:val="18"/>
                <w:szCs w:val="18"/>
                <w:i w:val="1"/>
                <w:iCs w:val="1"/>
                <w:color w:val="auto"/>
              </w:rPr>
              <w:t>(1)</w:t>
            </w:r>
          </w:p>
        </w:tc>
        <w:tc>
          <w:tcPr>
            <w:tcW w:w="4100" w:type="dxa"/>
            <w:vAlign w:val="bottom"/>
          </w:tcPr>
          <w:p>
            <w:pPr>
              <w:spacing w:after="0"/>
              <w:rPr>
                <w:sz w:val="20"/>
                <w:szCs w:val="20"/>
                <w:color w:val="auto"/>
              </w:rPr>
            </w:pPr>
            <w:r>
              <w:rPr>
                <w:rFonts w:ascii="Arial" w:cs="Arial" w:eastAsia="Arial" w:hAnsi="Arial"/>
                <w:sz w:val="18"/>
                <w:szCs w:val="18"/>
                <w:i w:val="1"/>
                <w:iCs w:val="1"/>
                <w:color w:val="auto"/>
              </w:rPr>
              <w:t>Benefit payments for funded plans.</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94</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9A9A9A"/>
            </w:tcBorders>
          </w:tcPr>
          <w:p>
            <w:pPr>
              <w:spacing w:after="0"/>
              <w:rPr>
                <w:sz w:val="17"/>
                <w:szCs w:val="17"/>
                <w:color w:val="auto"/>
              </w:rPr>
            </w:pPr>
          </w:p>
        </w:tc>
        <w:tc>
          <w:tcPr>
            <w:tcW w:w="410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funding levels of all qualified pension plans are in compliance with standards set by applicable law or regulation. As shown in the table below, certain smaller U.S. pension plans and a number of non-U.S. pension plans are not funded because local applicable tax rules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60" w:type="dxa"/>
            <w:vAlign w:val="bottom"/>
            <w:gridSpan w:val="3"/>
          </w:tcPr>
          <w:p>
            <w:pPr>
              <w:ind w:left="420"/>
              <w:spacing w:after="0"/>
              <w:rPr>
                <w:sz w:val="20"/>
                <w:szCs w:val="20"/>
                <w:color w:val="auto"/>
              </w:rPr>
            </w:pPr>
            <w:r>
              <w:rPr>
                <w:rFonts w:ascii="Arial" w:cs="Arial" w:eastAsia="Arial" w:hAnsi="Arial"/>
                <w:sz w:val="14"/>
                <w:szCs w:val="14"/>
                <w:b w:val="1"/>
                <w:bCs w:val="1"/>
                <w:color w:val="auto"/>
              </w:rPr>
              <w:t>Pension Benefits</w:t>
            </w:r>
          </w:p>
        </w:tc>
        <w:tc>
          <w:tcPr>
            <w:tcW w:w="640" w:type="dxa"/>
            <w:vAlign w:val="bottom"/>
          </w:tcPr>
          <w:p>
            <w:pPr>
              <w:spacing w:after="0"/>
              <w:rPr>
                <w:sz w:val="16"/>
                <w:szCs w:val="16"/>
                <w:color w:val="auto"/>
              </w:rPr>
            </w:pPr>
          </w:p>
        </w:tc>
      </w:tr>
      <w:tr>
        <w:trPr>
          <w:trHeight w:val="26"/>
        </w:trPr>
        <w:tc>
          <w:tcPr>
            <w:tcW w:w="68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U.S.</w:t>
            </w:r>
          </w:p>
        </w:tc>
        <w:tc>
          <w:tcPr>
            <w:tcW w:w="7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Non-U.S.</w:t>
            </w:r>
          </w:p>
        </w:tc>
        <w:tc>
          <w:tcPr>
            <w:tcW w:w="640" w:type="dxa"/>
            <w:vAlign w:val="bottom"/>
            <w:tcBorders>
              <w:bottom w:val="single" w:sz="8" w:color="auto"/>
            </w:tcBorders>
          </w:tcPr>
          <w:p>
            <w:pPr>
              <w:spacing w:after="0"/>
              <w:rPr>
                <w:sz w:val="16"/>
                <w:szCs w:val="16"/>
                <w:color w:val="auto"/>
              </w:rPr>
            </w:pPr>
          </w:p>
        </w:tc>
      </w:tr>
      <w:tr>
        <w:trPr>
          <w:trHeight w:val="196"/>
        </w:trPr>
        <w:tc>
          <w:tcPr>
            <w:tcW w:w="68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190"/>
        </w:trPr>
        <w:tc>
          <w:tcPr>
            <w:tcW w:w="6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60" w:type="dxa"/>
            <w:vAlign w:val="bottom"/>
            <w:gridSpan w:val="3"/>
          </w:tcPr>
          <w:p>
            <w:pPr>
              <w:ind w:left="360"/>
              <w:spacing w:after="0"/>
              <w:rPr>
                <w:sz w:val="20"/>
                <w:szCs w:val="20"/>
                <w:color w:val="auto"/>
              </w:rPr>
            </w:pPr>
            <w:r>
              <w:rPr>
                <w:rFonts w:ascii="Arial" w:cs="Arial" w:eastAsia="Arial" w:hAnsi="Arial"/>
                <w:sz w:val="14"/>
                <w:szCs w:val="14"/>
                <w:i w:val="1"/>
                <w:iCs w:val="1"/>
                <w:color w:val="auto"/>
              </w:rPr>
              <w:t>(millions of dollars)</w:t>
            </w:r>
          </w:p>
        </w:tc>
        <w:tc>
          <w:tcPr>
            <w:tcW w:w="640" w:type="dxa"/>
            <w:vAlign w:val="bottom"/>
          </w:tcPr>
          <w:p>
            <w:pPr>
              <w:spacing w:after="0"/>
              <w:rPr>
                <w:sz w:val="16"/>
                <w:szCs w:val="16"/>
                <w:color w:val="auto"/>
              </w:rPr>
            </w:pPr>
          </w:p>
        </w:tc>
      </w:tr>
      <w:tr>
        <w:trPr>
          <w:trHeight w:val="227"/>
        </w:trPr>
        <w:tc>
          <w:tcPr>
            <w:tcW w:w="6880" w:type="dxa"/>
            <w:vAlign w:val="bottom"/>
          </w:tcPr>
          <w:p>
            <w:pPr>
              <w:spacing w:after="0"/>
              <w:rPr>
                <w:sz w:val="20"/>
                <w:szCs w:val="20"/>
                <w:color w:val="auto"/>
              </w:rPr>
            </w:pPr>
            <w:r>
              <w:rPr>
                <w:rFonts w:ascii="Arial" w:cs="Arial" w:eastAsia="Arial" w:hAnsi="Arial"/>
                <w:sz w:val="18"/>
                <w:szCs w:val="18"/>
                <w:color w:val="auto"/>
              </w:rPr>
              <w:t>Assets in excess of/(less than) benefit obligation</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Balance at December 31</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Funded plans</w:t>
            </w:r>
          </w:p>
        </w:tc>
        <w:tc>
          <w:tcPr>
            <w:tcW w:w="1340" w:type="dxa"/>
            <w:vAlign w:val="bottom"/>
          </w:tcPr>
          <w:p>
            <w:pPr>
              <w:jc w:val="right"/>
              <w:ind w:right="437"/>
              <w:spacing w:after="0"/>
              <w:rPr>
                <w:sz w:val="20"/>
                <w:szCs w:val="20"/>
                <w:color w:val="auto"/>
              </w:rPr>
            </w:pPr>
            <w:r>
              <w:rPr>
                <w:rFonts w:ascii="Arial" w:cs="Arial" w:eastAsia="Arial" w:hAnsi="Arial"/>
                <w:sz w:val="18"/>
                <w:szCs w:val="18"/>
                <w:color w:val="auto"/>
              </w:rPr>
              <w:t>(4,656)</w:t>
            </w: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(4,604)</w:t>
            </w:r>
          </w:p>
        </w:tc>
        <w:tc>
          <w:tcPr>
            <w:tcW w:w="1400" w:type="dxa"/>
            <w:vAlign w:val="bottom"/>
          </w:tcPr>
          <w:p>
            <w:pPr>
              <w:ind w:left="280"/>
              <w:spacing w:after="0"/>
              <w:rPr>
                <w:sz w:val="20"/>
                <w:szCs w:val="20"/>
                <w:color w:val="auto"/>
              </w:rPr>
            </w:pPr>
            <w:r>
              <w:rPr>
                <w:rFonts w:ascii="Arial" w:cs="Arial" w:eastAsia="Arial" w:hAnsi="Arial"/>
                <w:sz w:val="18"/>
                <w:szCs w:val="18"/>
                <w:color w:val="auto"/>
              </w:rPr>
              <w:t>(1,728)</w:t>
            </w: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6880" w:type="dxa"/>
            <w:vAlign w:val="bottom"/>
          </w:tcPr>
          <w:p>
            <w:pPr>
              <w:ind w:left="120"/>
              <w:spacing w:after="0"/>
              <w:rPr>
                <w:sz w:val="20"/>
                <w:szCs w:val="20"/>
                <w:color w:val="auto"/>
              </w:rPr>
            </w:pPr>
            <w:r>
              <w:rPr>
                <w:rFonts w:ascii="Arial" w:cs="Arial" w:eastAsia="Arial" w:hAnsi="Arial"/>
                <w:sz w:val="18"/>
                <w:szCs w:val="18"/>
                <w:color w:val="auto"/>
              </w:rPr>
              <w:t>Unfunded plans</w:t>
            </w: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(2,667)</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(2,436)</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(5,274)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(7,323)</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(7,040)</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(7,002)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authoritative guidance for defined benefit pension and other postretirement plans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40" w:type="dxa"/>
            <w:vAlign w:val="bottom"/>
            <w:gridSpan w:val="3"/>
          </w:tcPr>
          <w:p>
            <w:pPr>
              <w:jc w:val="right"/>
              <w:ind w:right="935"/>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Benefits</w:t>
            </w: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U.S.</w:t>
            </w:r>
          </w:p>
        </w:tc>
        <w:tc>
          <w:tcPr>
            <w:tcW w:w="7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Non-U.S.</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3"/>
          </w:tcPr>
          <w:p>
            <w:pPr>
              <w:ind w:left="460"/>
              <w:spacing w:after="0"/>
              <w:rPr>
                <w:sz w:val="20"/>
                <w:szCs w:val="20"/>
                <w:color w:val="auto"/>
              </w:rPr>
            </w:pPr>
            <w:r>
              <w:rPr>
                <w:rFonts w:ascii="Arial" w:cs="Arial" w:eastAsia="Arial" w:hAnsi="Arial"/>
                <w:sz w:val="14"/>
                <w:szCs w:val="14"/>
                <w:i w:val="1"/>
                <w:iCs w:val="1"/>
                <w:color w:val="auto"/>
              </w:rPr>
              <w:t>(millions of dollars)</w:t>
            </w: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Assets in excess of/(less than) benefit obligation</w:t>
            </w: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 xml:space="preserve">Balance at December 31 </w:t>
            </w:r>
            <w:r>
              <w:rPr>
                <w:rFonts w:ascii="Arial" w:cs="Arial" w:eastAsia="Arial" w:hAnsi="Arial"/>
                <w:sz w:val="14"/>
                <w:szCs w:val="14"/>
                <w:i w:val="1"/>
                <w:iCs w:val="1"/>
                <w:color w:val="auto"/>
              </w:rPr>
              <w:t>(1)</w:t>
            </w: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(7,323)</w:t>
            </w: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(7,040)</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(7,002)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(7,688)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Amounts recorded in the consolidated balance</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sheet consist of:</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280" w:type="dxa"/>
            <w:vAlign w:val="bottom"/>
          </w:tcPr>
          <w:p>
            <w:pPr>
              <w:jc w:val="right"/>
              <w:ind w:right="4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1,151</w:t>
            </w:r>
          </w:p>
        </w:tc>
        <w:tc>
          <w:tcPr>
            <w:tcW w:w="660" w:type="dxa"/>
            <w:vAlign w:val="bottom"/>
          </w:tcPr>
          <w:p>
            <w:pPr>
              <w:jc w:val="right"/>
              <w:spacing w:after="0"/>
              <w:rPr>
                <w:sz w:val="20"/>
                <w:szCs w:val="20"/>
                <w:color w:val="auto"/>
              </w:rPr>
            </w:pPr>
            <w:r>
              <w:rPr>
                <w:rFonts w:ascii="Arial" w:cs="Arial" w:eastAsia="Arial" w:hAnsi="Arial"/>
                <w:sz w:val="18"/>
                <w:szCs w:val="18"/>
                <w:color w:val="auto"/>
              </w:rPr>
              <w:t>1,174</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jc w:val="right"/>
              <w:ind w:right="374"/>
              <w:spacing w:after="0"/>
              <w:rPr>
                <w:sz w:val="20"/>
                <w:szCs w:val="20"/>
                <w:color w:val="auto"/>
              </w:rPr>
            </w:pPr>
            <w:r>
              <w:rPr>
                <w:rFonts w:ascii="Arial" w:cs="Arial" w:eastAsia="Arial" w:hAnsi="Arial"/>
                <w:sz w:val="18"/>
                <w:szCs w:val="18"/>
                <w:color w:val="auto"/>
              </w:rPr>
              <w:t>(242)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(243)</w:t>
            </w:r>
          </w:p>
        </w:tc>
        <w:tc>
          <w:tcPr>
            <w:tcW w:w="1360" w:type="dxa"/>
            <w:vAlign w:val="bottom"/>
          </w:tcPr>
          <w:p>
            <w:pPr>
              <w:jc w:val="right"/>
              <w:ind w:right="455"/>
              <w:spacing w:after="0"/>
              <w:rPr>
                <w:sz w:val="20"/>
                <w:szCs w:val="20"/>
                <w:color w:val="auto"/>
              </w:rPr>
            </w:pPr>
            <w:r>
              <w:rPr>
                <w:rFonts w:ascii="Arial" w:cs="Arial" w:eastAsia="Arial" w:hAnsi="Arial"/>
                <w:sz w:val="18"/>
                <w:szCs w:val="18"/>
                <w:color w:val="auto"/>
              </w:rPr>
              <w:t>(267)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1380" w:type="dxa"/>
            <w:vAlign w:val="bottom"/>
          </w:tcPr>
          <w:p>
            <w:pPr>
              <w:jc w:val="right"/>
              <w:ind w:right="455"/>
              <w:spacing w:after="0"/>
              <w:rPr>
                <w:sz w:val="20"/>
                <w:szCs w:val="20"/>
                <w:color w:val="auto"/>
              </w:rPr>
            </w:pPr>
            <w:r>
              <w:rPr>
                <w:rFonts w:ascii="Arial" w:cs="Arial" w:eastAsia="Arial" w:hAnsi="Arial"/>
                <w:sz w:val="18"/>
                <w:szCs w:val="18"/>
                <w:color w:val="auto"/>
              </w:rPr>
              <w:t>(351)</w:t>
            </w: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Postretirement benefits reserves</w:t>
            </w: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(7,081)</w:t>
            </w: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(6,797)</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(7,886)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(7,337)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recorded</w:t>
            </w: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(7,323)</w:t>
            </w: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(7,040)</w:t>
            </w: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(7,002)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(7,688)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Amounts recorded in accumulated other</w:t>
            </w: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comprehensive income consist of:</w:t>
            </w: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Net actuarial loss/(gain)</w:t>
            </w:r>
          </w:p>
        </w:tc>
        <w:tc>
          <w:tcPr>
            <w:tcW w:w="1280" w:type="dxa"/>
            <w:vAlign w:val="bottom"/>
          </w:tcPr>
          <w:p>
            <w:pPr>
              <w:jc w:val="right"/>
              <w:ind w:right="414"/>
              <w:spacing w:after="0"/>
              <w:rPr>
                <w:sz w:val="20"/>
                <w:szCs w:val="20"/>
                <w:color w:val="auto"/>
              </w:rPr>
            </w:pPr>
            <w:r>
              <w:rPr>
                <w:rFonts w:ascii="Arial" w:cs="Arial" w:eastAsia="Arial" w:hAnsi="Arial"/>
                <w:sz w:val="18"/>
                <w:szCs w:val="18"/>
                <w:color w:val="auto"/>
              </w:rPr>
              <w:t>3,971</w:t>
            </w:r>
          </w:p>
        </w:tc>
        <w:tc>
          <w:tcPr>
            <w:tcW w:w="720" w:type="dxa"/>
            <w:vAlign w:val="bottom"/>
          </w:tcPr>
          <w:p>
            <w:pPr>
              <w:jc w:val="right"/>
              <w:spacing w:after="0"/>
              <w:rPr>
                <w:sz w:val="20"/>
                <w:szCs w:val="20"/>
                <w:color w:val="auto"/>
              </w:rPr>
            </w:pPr>
            <w:r>
              <w:rPr>
                <w:rFonts w:ascii="Arial" w:cs="Arial" w:eastAsia="Arial" w:hAnsi="Arial"/>
                <w:sz w:val="18"/>
                <w:szCs w:val="18"/>
                <w:color w:val="auto"/>
              </w:rPr>
              <w:t>3,831</w:t>
            </w:r>
          </w:p>
        </w:tc>
        <w:tc>
          <w:tcPr>
            <w:tcW w:w="360" w:type="dxa"/>
            <w:vAlign w:val="bottom"/>
          </w:tcPr>
          <w:p>
            <w:pPr>
              <w:spacing w:after="0"/>
              <w:rPr>
                <w:sz w:val="18"/>
                <w:szCs w:val="18"/>
                <w:color w:val="auto"/>
              </w:rPr>
            </w:pP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5,662</w:t>
            </w:r>
          </w:p>
        </w:tc>
        <w:tc>
          <w:tcPr>
            <w:tcW w:w="660" w:type="dxa"/>
            <w:vAlign w:val="bottom"/>
          </w:tcPr>
          <w:p>
            <w:pPr>
              <w:jc w:val="right"/>
              <w:spacing w:after="0"/>
              <w:rPr>
                <w:sz w:val="20"/>
                <w:szCs w:val="20"/>
                <w:color w:val="auto"/>
              </w:rPr>
            </w:pPr>
            <w:r>
              <w:rPr>
                <w:rFonts w:ascii="Arial" w:cs="Arial" w:eastAsia="Arial" w:hAnsi="Arial"/>
                <w:sz w:val="18"/>
                <w:szCs w:val="18"/>
                <w:color w:val="auto"/>
              </w:rPr>
              <w:t>4,713</w:t>
            </w:r>
          </w:p>
        </w:tc>
        <w:tc>
          <w:tcPr>
            <w:tcW w:w="340" w:type="dxa"/>
            <w:vAlign w:val="bottom"/>
          </w:tcPr>
          <w:p>
            <w:pPr>
              <w:spacing w:after="0"/>
              <w:rPr>
                <w:sz w:val="18"/>
                <w:szCs w:val="18"/>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1,339</w:t>
            </w:r>
          </w:p>
        </w:tc>
        <w:tc>
          <w:tcPr>
            <w:tcW w:w="68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Prior service cost</w:t>
            </w: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360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(315)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95"/>
        </w:trPr>
        <w:tc>
          <w:tcPr>
            <w:tcW w:w="4640" w:type="dxa"/>
            <w:vAlign w:val="bottom"/>
          </w:tcPr>
          <w:p>
            <w:pPr>
              <w:spacing w:after="0" w:line="195" w:lineRule="exact"/>
              <w:rPr>
                <w:sz w:val="20"/>
                <w:szCs w:val="20"/>
                <w:color w:val="auto"/>
              </w:rPr>
            </w:pPr>
            <w:r>
              <w:rPr>
                <w:rFonts w:ascii="Arial" w:cs="Arial" w:eastAsia="Arial" w:hAnsi="Arial"/>
                <w:sz w:val="18"/>
                <w:szCs w:val="18"/>
                <w:color w:val="auto"/>
              </w:rPr>
              <w:t>Total recorded in accumulated other</w:t>
            </w:r>
          </w:p>
        </w:tc>
        <w:tc>
          <w:tcPr>
            <w:tcW w:w="1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3,972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6,022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Fair value of assets less benefit obligation shown on the preceding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long-term expected rate of return on funded assets shown below is established for each benefit plan by developing a forward-looking, long-term return assumption for each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gridSpan w:val="3"/>
            <w:vMerge w:val="restart"/>
          </w:tcPr>
          <w:p>
            <w:pPr>
              <w:jc w:val="right"/>
              <w:ind w:right="192"/>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center"/>
              <w:ind w:right="153"/>
              <w:spacing w:after="0"/>
              <w:rPr>
                <w:sz w:val="20"/>
                <w:szCs w:val="20"/>
                <w:color w:val="auto"/>
              </w:rPr>
            </w:pPr>
            <w:r>
              <w:rPr>
                <w:rFonts w:ascii="Arial" w:cs="Arial" w:eastAsia="Arial" w:hAnsi="Arial"/>
                <w:sz w:val="14"/>
                <w:szCs w:val="14"/>
                <w:b w:val="1"/>
                <w:bCs w:val="1"/>
                <w:color w:val="auto"/>
              </w:rPr>
              <w:t>Other</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Postretirement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Non-U.S.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0"/>
              </w:rPr>
              <w:t>Benefits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Weighted-average assumptions used to</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determine net periodic benefit cost for</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years ended December 31</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i w:val="1"/>
                <w:iCs w:val="1"/>
                <w:color w:val="auto"/>
                <w:w w:val="92"/>
              </w:rPr>
              <w:t>(percent)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Discount rate</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4.40</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3.80</w:t>
            </w: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2.80</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3.80</w:t>
            </w:r>
          </w:p>
        </w:tc>
        <w:tc>
          <w:tcPr>
            <w:tcW w:w="5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Long-term rate of return on funded assets</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5.30</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6.00</w:t>
            </w: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4.70</w:t>
            </w: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4.60</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6.00</w:t>
            </w:r>
          </w:p>
        </w:tc>
        <w:tc>
          <w:tcPr>
            <w:tcW w:w="52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Long-term rate of compensation increase</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5.75</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5.75</w:t>
            </w: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4.30</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5.75</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5.75</w:t>
            </w:r>
          </w:p>
        </w:tc>
        <w:tc>
          <w:tcPr>
            <w:tcW w:w="52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757</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819</w:t>
            </w:r>
          </w:p>
        </w:tc>
        <w:tc>
          <w:tcPr>
            <w:tcW w:w="66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608</w:t>
            </w:r>
          </w:p>
        </w:tc>
        <w:tc>
          <w:tcPr>
            <w:tcW w:w="5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152</w:t>
            </w: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766</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721</w:t>
            </w:r>
          </w:p>
        </w:tc>
        <w:tc>
          <w:tcPr>
            <w:tcW w:w="66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763</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754</w:t>
            </w:r>
          </w:p>
        </w:tc>
        <w:tc>
          <w:tcPr>
            <w:tcW w:w="5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315</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301</w:t>
            </w:r>
          </w:p>
        </w:tc>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(568)</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(727)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700" w:type="dxa"/>
            <w:vAlign w:val="bottom"/>
          </w:tcPr>
          <w:p>
            <w:pPr>
              <w:jc w:val="right"/>
              <w:spacing w:after="0"/>
              <w:rPr>
                <w:sz w:val="20"/>
                <w:szCs w:val="20"/>
                <w:color w:val="auto"/>
              </w:rPr>
            </w:pPr>
            <w:r>
              <w:rPr>
                <w:rFonts w:ascii="Arial" w:cs="Arial" w:eastAsia="Arial" w:hAnsi="Arial"/>
                <w:sz w:val="18"/>
                <w:szCs w:val="18"/>
                <w:color w:val="auto"/>
              </w:rPr>
              <w:t>(777)</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(951)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Amortization of actuarial loss/(gain)</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305</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362</w:t>
            </w:r>
          </w:p>
        </w:tc>
        <w:tc>
          <w:tcPr>
            <w:tcW w:w="6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409</w:t>
            </w: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116</w:t>
            </w: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46</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Net pension enhancement and</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curtailment/settlement cost</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164</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1,429</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910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452</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506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844"/>
        </w:trPr>
        <w:tc>
          <w:tcPr>
            <w:tcW w:w="4500" w:type="dxa"/>
            <w:vAlign w:val="bottom"/>
            <w:gridSpan w:val="2"/>
          </w:tcPr>
          <w:p>
            <w:pPr>
              <w:spacing w:after="0"/>
              <w:rPr>
                <w:sz w:val="20"/>
                <w:szCs w:val="20"/>
                <w:color w:val="auto"/>
              </w:rPr>
            </w:pPr>
            <w:r>
              <w:rPr>
                <w:rFonts w:ascii="Arial" w:cs="Arial" w:eastAsia="Arial" w:hAnsi="Arial"/>
                <w:sz w:val="18"/>
                <w:szCs w:val="18"/>
                <w:color w:val="auto"/>
              </w:rPr>
              <w:t>Changes in amounts recorded in accumulated</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Net actuarial loss/(gain)</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609</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479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700" w:type="dxa"/>
            <w:vAlign w:val="bottom"/>
          </w:tcPr>
          <w:p>
            <w:pPr>
              <w:jc w:val="right"/>
              <w:spacing w:after="0"/>
              <w:rPr>
                <w:sz w:val="20"/>
                <w:szCs w:val="20"/>
                <w:color w:val="auto"/>
              </w:rPr>
            </w:pPr>
            <w:r>
              <w:rPr>
                <w:rFonts w:ascii="Arial" w:cs="Arial" w:eastAsia="Arial" w:hAnsi="Arial"/>
                <w:sz w:val="18"/>
                <w:szCs w:val="18"/>
                <w:color w:val="auto"/>
              </w:rPr>
              <w:t>1,268</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517</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(594)</w:t>
            </w: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Amortization of actuarial (loss)/gain</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(469)</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(630)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(453)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(116)</w:t>
            </w: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Prior service cost/(credit)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98</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Amortization of prior service (cost)/credit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Foreign exchange rate changes</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line="195" w:lineRule="exact"/>
              <w:rPr>
                <w:sz w:val="20"/>
                <w:szCs w:val="20"/>
                <w:color w:val="auto"/>
              </w:rPr>
            </w:pPr>
            <w:r>
              <w:rPr>
                <w:rFonts w:ascii="Arial" w:cs="Arial" w:eastAsia="Arial" w:hAnsi="Arial"/>
                <w:sz w:val="18"/>
                <w:szCs w:val="18"/>
                <w:color w:val="auto"/>
              </w:rPr>
              <w:t>Total recorded in other comprehensive income</w:t>
            </w:r>
          </w:p>
        </w:tc>
        <w:tc>
          <w:tcPr>
            <w:tcW w:w="84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135</w:t>
            </w:r>
          </w:p>
        </w:tc>
        <w:tc>
          <w:tcPr>
            <w:tcW w:w="800" w:type="dxa"/>
            <w:vAlign w:val="bottom"/>
          </w:tcPr>
          <w:p>
            <w:pPr>
              <w:jc w:val="right"/>
              <w:ind w:right="52"/>
              <w:spacing w:after="0" w:line="195" w:lineRule="exact"/>
              <w:rPr>
                <w:sz w:val="20"/>
                <w:szCs w:val="20"/>
                <w:color w:val="auto"/>
              </w:rPr>
            </w:pPr>
            <w:r>
              <w:rPr>
                <w:rFonts w:ascii="Arial" w:cs="Arial" w:eastAsia="Arial" w:hAnsi="Arial"/>
                <w:sz w:val="18"/>
                <w:szCs w:val="18"/>
                <w:color w:val="auto"/>
              </w:rPr>
              <w:t>(156)</w:t>
            </w:r>
          </w:p>
        </w:tc>
        <w:tc>
          <w:tcPr>
            <w:tcW w:w="7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(1,376)</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1,402</w:t>
            </w:r>
          </w:p>
        </w:tc>
        <w:tc>
          <w:tcPr>
            <w:tcW w:w="980" w:type="dxa"/>
            <w:vAlign w:val="bottom"/>
          </w:tcPr>
          <w:p>
            <w:pPr>
              <w:jc w:val="right"/>
              <w:ind w:right="113"/>
              <w:spacing w:after="0" w:line="195" w:lineRule="exact"/>
              <w:rPr>
                <w:sz w:val="20"/>
                <w:szCs w:val="20"/>
                <w:color w:val="auto"/>
              </w:rPr>
            </w:pPr>
            <w:r>
              <w:rPr>
                <w:rFonts w:ascii="Arial" w:cs="Arial" w:eastAsia="Arial" w:hAnsi="Arial"/>
                <w:sz w:val="18"/>
                <w:szCs w:val="18"/>
                <w:color w:val="auto"/>
              </w:rPr>
              <w:t>(823)</w:t>
            </w:r>
          </w:p>
        </w:tc>
        <w:tc>
          <w:tcPr>
            <w:tcW w:w="6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(63)</w:t>
            </w:r>
          </w:p>
        </w:tc>
        <w:tc>
          <w:tcPr>
            <w:tcW w:w="760" w:type="dxa"/>
            <w:vAlign w:val="bottom"/>
          </w:tcPr>
          <w:p>
            <w:pPr>
              <w:jc w:val="right"/>
              <w:ind w:right="52"/>
              <w:spacing w:after="0" w:line="195" w:lineRule="exact"/>
              <w:rPr>
                <w:sz w:val="20"/>
                <w:szCs w:val="20"/>
                <w:color w:val="auto"/>
              </w:rPr>
            </w:pPr>
            <w:r>
              <w:rPr>
                <w:rFonts w:ascii="Arial" w:cs="Arial" w:eastAsia="Arial" w:hAnsi="Arial"/>
                <w:sz w:val="18"/>
                <w:szCs w:val="18"/>
                <w:color w:val="auto"/>
              </w:rPr>
              <w:t>504</w:t>
            </w:r>
          </w:p>
        </w:tc>
        <w:tc>
          <w:tcPr>
            <w:tcW w:w="860" w:type="dxa"/>
            <w:vAlign w:val="bottom"/>
          </w:tcPr>
          <w:p>
            <w:pPr>
              <w:jc w:val="right"/>
              <w:ind w:right="73"/>
              <w:spacing w:after="0" w:line="195" w:lineRule="exact"/>
              <w:rPr>
                <w:sz w:val="20"/>
                <w:szCs w:val="20"/>
                <w:color w:val="auto"/>
              </w:rPr>
            </w:pPr>
            <w:r>
              <w:rPr>
                <w:rFonts w:ascii="Arial" w:cs="Arial" w:eastAsia="Arial" w:hAnsi="Arial"/>
                <w:sz w:val="18"/>
                <w:szCs w:val="18"/>
                <w:color w:val="auto"/>
              </w:rPr>
              <w:t>(678)</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Total recorded in net periodic benefit cost and</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other comprehensive income, before tax</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1,564</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1,292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956</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Costs for defined contribution plans were $422 million, $391 million and $384 million in 2019, 2018 and 2017, respectively.</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accumulated other comprehensive income is shown in the table below:</w:t>
      </w:r>
    </w:p>
    <w:p>
      <w:pPr>
        <w:spacing w:after="0" w:line="200" w:lineRule="exact"/>
        <w:rPr>
          <w:sz w:val="20"/>
          <w:szCs w:val="20"/>
          <w:color w:val="auto"/>
        </w:rPr>
      </w:pPr>
    </w:p>
    <w:p>
      <w:pPr>
        <w:spacing w:after="0" w:line="300"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Total Pension and</w:t>
      </w:r>
    </w:p>
    <w:p>
      <w:pPr>
        <w:spacing w:after="0" w:line="25"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25400</wp:posOffset>
            </wp:positionV>
            <wp:extent cx="1912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r>
      <w:tr>
        <w:trPr>
          <w:trHeight w:val="184"/>
        </w:trPr>
        <w:tc>
          <w:tcPr>
            <w:tcW w:w="8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i w:val="1"/>
                <w:iCs w:val="1"/>
                <w:color w:val="auto"/>
              </w:rPr>
              <w:t>(millions of dollars)</w:t>
            </w:r>
          </w:p>
        </w:tc>
        <w:tc>
          <w:tcPr>
            <w:tcW w:w="720" w:type="dxa"/>
            <w:vAlign w:val="bottom"/>
          </w:tcPr>
          <w:p>
            <w:pPr>
              <w:spacing w:after="0"/>
              <w:rPr>
                <w:sz w:val="16"/>
                <w:szCs w:val="16"/>
                <w:color w:val="auto"/>
              </w:rPr>
            </w:pPr>
          </w:p>
        </w:tc>
      </w:tr>
      <w:tr>
        <w:trPr>
          <w:trHeight w:val="227"/>
        </w:trPr>
        <w:tc>
          <w:tcPr>
            <w:tcW w:w="8400" w:type="dxa"/>
            <w:vAlign w:val="bottom"/>
          </w:tcPr>
          <w:p>
            <w:pPr>
              <w:spacing w:after="0"/>
              <w:rPr>
                <w:sz w:val="20"/>
                <w:szCs w:val="20"/>
                <w:color w:val="auto"/>
              </w:rPr>
            </w:pPr>
            <w:r>
              <w:rPr>
                <w:rFonts w:ascii="Arial" w:cs="Arial" w:eastAsia="Arial" w:hAnsi="Arial"/>
                <w:sz w:val="18"/>
                <w:szCs w:val="18"/>
                <w:color w:val="auto"/>
              </w:rPr>
              <w:t>(Charge)/credit to other comprehensive income, before tax</w:t>
            </w: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8"/>
                <w:szCs w:val="18"/>
                <w:color w:val="auto"/>
              </w:rPr>
              <w:t>U.S. pension</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156</w:t>
            </w:r>
          </w:p>
        </w:tc>
        <w:tc>
          <w:tcPr>
            <w:tcW w:w="72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16"/>
        </w:trPr>
        <w:tc>
          <w:tcPr>
            <w:tcW w:w="8400" w:type="dxa"/>
            <w:vAlign w:val="bottom"/>
          </w:tcPr>
          <w:p>
            <w:pPr>
              <w:ind w:left="120"/>
              <w:spacing w:after="0"/>
              <w:rPr>
                <w:sz w:val="20"/>
                <w:szCs w:val="20"/>
                <w:color w:val="auto"/>
              </w:rPr>
            </w:pPr>
            <w:r>
              <w:rPr>
                <w:rFonts w:ascii="Arial" w:cs="Arial" w:eastAsia="Arial" w:hAnsi="Arial"/>
                <w:sz w:val="18"/>
                <w:szCs w:val="18"/>
                <w:color w:val="auto"/>
              </w:rPr>
              <w:t>Non-U.S. pension</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(1,402)</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823</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400" w:type="dxa"/>
            <w:vAlign w:val="bottom"/>
          </w:tcPr>
          <w:p>
            <w:pPr>
              <w:ind w:left="120"/>
              <w:spacing w:after="0"/>
              <w:rPr>
                <w:sz w:val="20"/>
                <w:szCs w:val="20"/>
                <w:color w:val="auto"/>
              </w:rPr>
            </w:pPr>
            <w:r>
              <w:rPr>
                <w:rFonts w:ascii="Arial" w:cs="Arial" w:eastAsia="Arial" w:hAnsi="Arial"/>
                <w:sz w:val="18"/>
                <w:szCs w:val="18"/>
                <w:color w:val="auto"/>
              </w:rPr>
              <w:t>Other postretirement benefits</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678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195"/>
        </w:trPr>
        <w:tc>
          <w:tcPr>
            <w:tcW w:w="8400" w:type="dxa"/>
            <w:vAlign w:val="bottom"/>
          </w:tcPr>
          <w:p>
            <w:pPr>
              <w:spacing w:after="0" w:line="195" w:lineRule="exact"/>
              <w:rPr>
                <w:sz w:val="20"/>
                <w:szCs w:val="20"/>
                <w:color w:val="auto"/>
              </w:rPr>
            </w:pPr>
            <w:r>
              <w:rPr>
                <w:rFonts w:ascii="Arial" w:cs="Arial" w:eastAsia="Arial" w:hAnsi="Arial"/>
                <w:sz w:val="18"/>
                <w:szCs w:val="18"/>
                <w:color w:val="auto"/>
              </w:rPr>
              <w:t>Total (charge)/credit to other comprehensive income, before tax</w:t>
            </w:r>
          </w:p>
        </w:tc>
        <w:tc>
          <w:tcPr>
            <w:tcW w:w="820" w:type="dxa"/>
            <w:vAlign w:val="bottom"/>
          </w:tcPr>
          <w:p>
            <w:pPr>
              <w:jc w:val="right"/>
              <w:ind w:right="32"/>
              <w:spacing w:after="0" w:line="195" w:lineRule="exact"/>
              <w:rPr>
                <w:sz w:val="20"/>
                <w:szCs w:val="20"/>
                <w:color w:val="auto"/>
              </w:rPr>
            </w:pPr>
            <w:r>
              <w:rPr>
                <w:rFonts w:ascii="Arial" w:cs="Arial" w:eastAsia="Arial" w:hAnsi="Arial"/>
                <w:sz w:val="18"/>
                <w:szCs w:val="18"/>
                <w:color w:val="auto"/>
              </w:rPr>
              <w:t>(2,041)</w:t>
            </w:r>
          </w:p>
        </w:tc>
        <w:tc>
          <w:tcPr>
            <w:tcW w:w="1480" w:type="dxa"/>
            <w:vAlign w:val="bottom"/>
          </w:tcPr>
          <w:p>
            <w:pPr>
              <w:jc w:val="right"/>
              <w:ind w:right="413"/>
              <w:spacing w:after="0" w:line="195" w:lineRule="exact"/>
              <w:rPr>
                <w:sz w:val="20"/>
                <w:szCs w:val="20"/>
                <w:color w:val="auto"/>
              </w:rPr>
            </w:pPr>
            <w:r>
              <w:rPr>
                <w:rFonts w:ascii="Arial" w:cs="Arial" w:eastAsia="Arial" w:hAnsi="Arial"/>
                <w:sz w:val="18"/>
                <w:szCs w:val="18"/>
                <w:color w:val="auto"/>
              </w:rPr>
              <w:t>1,657</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1,279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(Charge)/credit to income tax (see Note 4)</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550</w:t>
            </w:r>
          </w:p>
        </w:tc>
        <w:tc>
          <w:tcPr>
            <w:tcW w:w="1480" w:type="dxa"/>
            <w:vAlign w:val="bottom"/>
          </w:tcPr>
          <w:p>
            <w:pPr>
              <w:jc w:val="right"/>
              <w:ind w:right="373"/>
              <w:spacing w:after="0"/>
              <w:rPr>
                <w:sz w:val="20"/>
                <w:szCs w:val="20"/>
                <w:color w:val="auto"/>
              </w:rPr>
            </w:pPr>
            <w:r>
              <w:rPr>
                <w:rFonts w:ascii="Arial" w:cs="Arial" w:eastAsia="Arial" w:hAnsi="Arial"/>
                <w:sz w:val="18"/>
                <w:szCs w:val="18"/>
                <w:color w:val="auto"/>
              </w:rPr>
              <w:t>(470)</w:t>
            </w: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(Charge)/credit to investment in equity companies</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195"/>
        </w:trPr>
        <w:tc>
          <w:tcPr>
            <w:tcW w:w="8400" w:type="dxa"/>
            <w:vAlign w:val="bottom"/>
          </w:tcPr>
          <w:p>
            <w:pPr>
              <w:spacing w:after="0" w:line="195" w:lineRule="exact"/>
              <w:rPr>
                <w:sz w:val="20"/>
                <w:szCs w:val="20"/>
                <w:color w:val="auto"/>
              </w:rPr>
            </w:pPr>
            <w:r>
              <w:rPr>
                <w:rFonts w:ascii="Arial" w:cs="Arial" w:eastAsia="Arial" w:hAnsi="Arial"/>
                <w:sz w:val="18"/>
                <w:szCs w:val="18"/>
                <w:color w:val="auto"/>
              </w:rPr>
              <w:t>(Charge)/credit to other comprehensive income including noncontrolling</w:t>
            </w:r>
          </w:p>
        </w:tc>
        <w:tc>
          <w:tcPr>
            <w:tcW w:w="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8"/>
                <w:szCs w:val="18"/>
                <w:color w:val="auto"/>
              </w:rPr>
              <w:t>interests, after tax</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(1,510)</w:t>
            </w:r>
          </w:p>
        </w:tc>
        <w:tc>
          <w:tcPr>
            <w:tcW w:w="1480" w:type="dxa"/>
            <w:vAlign w:val="bottom"/>
          </w:tcPr>
          <w:p>
            <w:pPr>
              <w:jc w:val="right"/>
              <w:ind w:right="413"/>
              <w:spacing w:after="0"/>
              <w:rPr>
                <w:sz w:val="20"/>
                <w:szCs w:val="20"/>
                <w:color w:val="auto"/>
              </w:rPr>
            </w:pPr>
            <w:r>
              <w:rPr>
                <w:rFonts w:ascii="Arial" w:cs="Arial" w:eastAsia="Arial" w:hAnsi="Arial"/>
                <w:sz w:val="18"/>
                <w:szCs w:val="18"/>
                <w:color w:val="auto"/>
              </w:rPr>
              <w:t>1,211</w:t>
            </w: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Charge/(credit) to equity of noncontrolling interests</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146</w:t>
            </w:r>
          </w:p>
        </w:tc>
        <w:tc>
          <w:tcPr>
            <w:tcW w:w="14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(114)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(Charge)/credit to other comprehensive income attributable to ExxonMobil</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(1,364)</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1,097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Corporation’s investment strategy for benefit plan assets reflects a long-term view, a careful assessment of the risks inherent in plan assets and liabilities and broad diversification to reduce the risk of the portfolio. The benefit plan assets are primarily invested in passive global equity and local currency fixed income index funds to diversify risk while minimizing costs. The equity funds hold ExxonMobil stock only to the extent necessary to replicate the relevant equity index. The fixed income funds are largely invested in investment grade corporate and government debt securities.</w:t>
      </w:r>
    </w:p>
    <w:p>
      <w:pPr>
        <w:spacing w:after="0" w:line="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Studies are periodically conducted to establish the preferred target asset allocation percentages. The target asset allocation for the U.S. benefit plans and the major non-U.S. plans is 30 percent equity securities and 70 percent debt securities. The equity targets for the U.S. and certain non-U.S. plans include a small allocation to private equity partnerships that primarily focus on early-stage venture capital of 4 percent and 3 percent, respectively.</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measurement levels are accounting terms that refer to different methods of valuing assets. The terms do not represent the relative risk or credit quality of an investment.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2019 fair value of the benefit plan assets, including the level within the fair value hierarchy, is shown in the tables below:</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8"/>
              </w:rPr>
              <w:t>U.S. Pension</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Non-U.S. Pension</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Fair Value Measurement</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Fair Value Measurement</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at December 31, 2019, Using:</w:t>
            </w: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at December 31, 2019, Using:</w:t>
            </w: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Asset</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2"/>
              </w:rPr>
              <w:t>Level 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3</w:t>
            </w:r>
          </w:p>
        </w:tc>
        <w:tc>
          <w:tcPr>
            <w:tcW w:w="9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268"/>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40" w:type="dxa"/>
            <w:vAlign w:val="bottom"/>
            <w:gridSpan w:val="2"/>
          </w:tcPr>
          <w:p>
            <w:pPr>
              <w:spacing w:after="0"/>
              <w:rPr>
                <w:sz w:val="20"/>
                <w:szCs w:val="20"/>
                <w:color w:val="auto"/>
              </w:rPr>
            </w:pPr>
            <w:r>
              <w:rPr>
                <w:rFonts w:ascii="Arial" w:cs="Arial" w:eastAsia="Arial" w:hAnsi="Arial"/>
                <w:sz w:val="18"/>
                <w:szCs w:val="18"/>
                <w:color w:val="auto"/>
              </w:rPr>
              <w:t>Asset category:</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1,960</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3,436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Non-U.S.</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1,656</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3,015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xml:space="preserve">4,932 </w:t>
            </w:r>
            <w:r>
              <w:rPr>
                <w:rFonts w:ascii="Arial" w:cs="Arial" w:eastAsia="Arial" w:hAnsi="Arial"/>
                <w:sz w:val="28"/>
                <w:szCs w:val="28"/>
                <w:i w:val="1"/>
                <w:iCs w:val="1"/>
                <w:color w:val="auto"/>
                <w:vertAlign w:val="superscript"/>
              </w:rPr>
              <w:t>(3)</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(3)</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vMerge w:val="continue"/>
          </w:tcPr>
          <w:p>
            <w:pPr>
              <w:spacing w:after="0"/>
              <w:rPr>
                <w:sz w:val="18"/>
                <w:szCs w:val="18"/>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vMerge w:val="continue"/>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Government</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4,470 </w:t>
            </w:r>
            <w:r>
              <w:rPr>
                <w:rFonts w:ascii="Arial" w:cs="Arial" w:eastAsia="Arial" w:hAnsi="Arial"/>
                <w:sz w:val="25"/>
                <w:szCs w:val="25"/>
                <w:i w:val="1"/>
                <w:iCs w:val="1"/>
                <w:color w:val="auto"/>
                <w:vertAlign w:val="superscript"/>
              </w:rPr>
              <w:t>(3)</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jc w:val="right"/>
              <w:spacing w:after="0"/>
              <w:rPr>
                <w:sz w:val="20"/>
                <w:szCs w:val="20"/>
                <w:color w:val="auto"/>
              </w:rPr>
            </w:pPr>
            <w:r>
              <w:rPr>
                <w:rFonts w:ascii="Arial" w:cs="Arial" w:eastAsia="Arial" w:hAnsi="Arial"/>
                <w:sz w:val="14"/>
                <w:szCs w:val="14"/>
                <w:i w:val="1"/>
                <w:iCs w:val="1"/>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Pr>
          <w:p>
            <w:pPr>
              <w:ind w:left="20"/>
              <w:spacing w:after="0"/>
              <w:rPr>
                <w:sz w:val="20"/>
                <w:szCs w:val="20"/>
                <w:color w:val="auto"/>
              </w:rPr>
            </w:pPr>
            <w:r>
              <w:rPr>
                <w:rFonts w:ascii="Arial" w:cs="Arial" w:eastAsia="Arial" w:hAnsi="Arial"/>
                <w:sz w:val="14"/>
                <w:szCs w:val="14"/>
                <w:i w:val="1"/>
                <w:iCs w:val="1"/>
                <w:color w:val="auto"/>
              </w:rPr>
              <w:t>(3)</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10,511</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Asset-backed</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ind w:left="20"/>
              <w:spacing w:after="0"/>
              <w:rPr>
                <w:sz w:val="20"/>
                <w:szCs w:val="20"/>
                <w:color w:val="auto"/>
              </w:rPr>
            </w:pPr>
            <w:r>
              <w:rPr>
                <w:rFonts w:ascii="Arial" w:cs="Arial" w:eastAsia="Arial" w:hAnsi="Arial"/>
                <w:sz w:val="14"/>
                <w:szCs w:val="14"/>
                <w:i w:val="1"/>
                <w:iCs w:val="1"/>
                <w:color w:val="auto"/>
              </w:rPr>
              <w:t>(3)</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5"/>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ind w:left="20"/>
              <w:spacing w:after="0"/>
              <w:rPr>
                <w:sz w:val="20"/>
                <w:szCs w:val="20"/>
                <w:color w:val="auto"/>
              </w:rPr>
            </w:pPr>
            <w:r>
              <w:rPr>
                <w:rFonts w:ascii="Arial" w:cs="Arial" w:eastAsia="Arial" w:hAnsi="Arial"/>
                <w:sz w:val="14"/>
                <w:szCs w:val="14"/>
                <w:i w:val="1"/>
                <w:iCs w:val="1"/>
                <w:color w:val="auto"/>
              </w:rPr>
              <w:t>(5)</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8"/>
                <w:szCs w:val="18"/>
                <w:color w:val="auto"/>
              </w:rPr>
              <w:t>Total at fair value</w:t>
            </w: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9,402</w:t>
            </w:r>
          </w:p>
        </w:tc>
        <w:tc>
          <w:tcPr>
            <w:tcW w:w="108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13,628</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22,210</w:t>
            </w: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195"/>
        </w:trPr>
        <w:tc>
          <w:tcPr>
            <w:tcW w:w="1960" w:type="dxa"/>
            <w:vAlign w:val="bottom"/>
          </w:tcPr>
          <w:p>
            <w:pPr>
              <w:ind w:left="120"/>
              <w:spacing w:after="0" w:line="195" w:lineRule="exact"/>
              <w:rPr>
                <w:sz w:val="20"/>
                <w:szCs w:val="20"/>
                <w:color w:val="auto"/>
              </w:rPr>
            </w:pPr>
            <w:r>
              <w:rPr>
                <w:rFonts w:ascii="Arial" w:cs="Arial" w:eastAsia="Arial" w:hAnsi="Arial"/>
                <w:sz w:val="18"/>
                <w:szCs w:val="18"/>
                <w:color w:val="auto"/>
              </w:rPr>
              <w:t>Insurance contracts</w:t>
            </w: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260"/>
              <w:spacing w:after="0"/>
              <w:rPr>
                <w:sz w:val="20"/>
                <w:szCs w:val="20"/>
                <w:color w:val="auto"/>
              </w:rPr>
            </w:pPr>
            <w:r>
              <w:rPr>
                <w:rFonts w:ascii="Arial" w:cs="Arial" w:eastAsia="Arial" w:hAnsi="Arial"/>
                <w:sz w:val="18"/>
                <w:szCs w:val="18"/>
                <w:color w:val="auto"/>
              </w:rPr>
              <w:t>at contract value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540" w:type="dxa"/>
            <w:vAlign w:val="bottom"/>
            <w:gridSpan w:val="2"/>
          </w:tcPr>
          <w:p>
            <w:pPr>
              <w:spacing w:after="0"/>
              <w:rPr>
                <w:sz w:val="20"/>
                <w:szCs w:val="20"/>
                <w:color w:val="auto"/>
              </w:rPr>
            </w:pPr>
            <w:r>
              <w:rPr>
                <w:rFonts w:ascii="Arial" w:cs="Arial" w:eastAsia="Arial" w:hAnsi="Arial"/>
                <w:sz w:val="18"/>
                <w:szCs w:val="18"/>
                <w:color w:val="auto"/>
              </w:rPr>
              <w:t>Total plan assets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13,636</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180" w:hanging="172"/>
        <w:spacing w:after="0" w:line="264" w:lineRule="auto"/>
        <w:tabs>
          <w:tab w:leader="none" w:pos="546"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Per ASU 2015-07, certain instruments that are measured at fair value using the Net Asset Value (NAV) per share practical expedient have not been categorized in the fair value hierarchy. The fair value amounts presented in this table are intended to permit reconciliation of the fair value hierarchy to the total value of plan assets.</w:t>
      </w:r>
    </w:p>
    <w:p>
      <w:pPr>
        <w:spacing w:after="0" w:line="19" w:lineRule="exact"/>
        <w:rPr>
          <w:rFonts w:ascii="Arial" w:cs="Arial" w:eastAsia="Arial" w:hAnsi="Arial"/>
          <w:sz w:val="18"/>
          <w:szCs w:val="18"/>
          <w:i w:val="1"/>
          <w:iCs w:val="1"/>
          <w:color w:val="auto"/>
        </w:rPr>
      </w:pPr>
    </w:p>
    <w:p>
      <w:pPr>
        <w:ind w:left="540" w:hanging="532"/>
        <w:spacing w:after="0"/>
        <w:tabs>
          <w:tab w:leader="none" w:pos="5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For non-U.S.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74" w:lineRule="exact"/>
        <w:rPr>
          <w:rFonts w:ascii="Arial" w:cs="Arial" w:eastAsia="Arial" w:hAnsi="Arial"/>
          <w:sz w:val="17"/>
          <w:szCs w:val="17"/>
          <w:i w:val="1"/>
          <w:iCs w:val="1"/>
          <w:color w:val="auto"/>
        </w:rPr>
      </w:pPr>
    </w:p>
    <w:p>
      <w:pPr>
        <w:ind w:left="540" w:hanging="532"/>
        <w:spacing w:after="0"/>
        <w:tabs>
          <w:tab w:leader="none" w:pos="5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For government debt securities that are traded on active exchanges, fair value is based on observable quoted prices.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For cash balances that are subject to withdrawal penalties or other adjustments, the fair value is treated as a Level 2 input.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Other Postretirement</w:t>
            </w:r>
          </w:p>
        </w:tc>
        <w:tc>
          <w:tcPr>
            <w:tcW w:w="1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80" w:type="dxa"/>
            <w:vAlign w:val="bottom"/>
            <w:gridSpan w:val="3"/>
          </w:tcPr>
          <w:p>
            <w:pPr>
              <w:jc w:val="right"/>
              <w:ind w:right="855"/>
              <w:spacing w:after="0"/>
              <w:rPr>
                <w:sz w:val="20"/>
                <w:szCs w:val="20"/>
                <w:color w:val="auto"/>
              </w:rPr>
            </w:pPr>
            <w:r>
              <w:rPr>
                <w:rFonts w:ascii="Arial" w:cs="Arial" w:eastAsia="Arial" w:hAnsi="Arial"/>
                <w:sz w:val="14"/>
                <w:szCs w:val="14"/>
                <w:b w:val="1"/>
                <w:bCs w:val="1"/>
                <w:color w:val="auto"/>
              </w:rPr>
              <w:t>Fair Value Measurement</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at December 31, 2019, Using:</w:t>
            </w:r>
          </w:p>
        </w:tc>
        <w:tc>
          <w:tcPr>
            <w:tcW w:w="150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3"/>
              </w:rPr>
              <w:t>Asset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0" w:type="dxa"/>
            <w:vAlign w:val="bottom"/>
          </w:tcPr>
          <w:p>
            <w:pPr>
              <w:jc w:val="right"/>
              <w:ind w:right="492"/>
              <w:spacing w:after="0"/>
              <w:rPr>
                <w:sz w:val="20"/>
                <w:szCs w:val="20"/>
                <w:color w:val="auto"/>
              </w:rPr>
            </w:pPr>
            <w:r>
              <w:rPr>
                <w:rFonts w:ascii="Arial" w:cs="Arial" w:eastAsia="Arial" w:hAnsi="Arial"/>
                <w:sz w:val="14"/>
                <w:szCs w:val="14"/>
                <w:b w:val="1"/>
                <w:bCs w:val="1"/>
                <w:color w:val="auto"/>
              </w:rPr>
              <w:t>Level 1</w:t>
            </w:r>
          </w:p>
        </w:tc>
        <w:tc>
          <w:tcPr>
            <w:tcW w:w="1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000" w:type="dxa"/>
            <w:vAlign w:val="bottom"/>
          </w:tcPr>
          <w:p>
            <w:pPr>
              <w:jc w:val="right"/>
              <w:ind w:right="535"/>
              <w:spacing w:after="0"/>
              <w:rPr>
                <w:sz w:val="20"/>
                <w:szCs w:val="20"/>
                <w:color w:val="auto"/>
              </w:rPr>
            </w:pPr>
            <w:r>
              <w:rPr>
                <w:rFonts w:ascii="Arial" w:cs="Arial" w:eastAsia="Arial" w:hAnsi="Arial"/>
                <w:sz w:val="14"/>
                <w:szCs w:val="14"/>
                <w:b w:val="1"/>
                <w:bCs w:val="1"/>
                <w:color w:val="auto"/>
              </w:rPr>
              <w:t>Level 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jc w:val="right"/>
              <w:ind w:right="455"/>
              <w:spacing w:after="0"/>
              <w:rPr>
                <w:sz w:val="20"/>
                <w:szCs w:val="20"/>
                <w:color w:val="auto"/>
              </w:rPr>
            </w:pPr>
            <w:r>
              <w:rPr>
                <w:rFonts w:ascii="Arial" w:cs="Arial" w:eastAsia="Arial" w:hAnsi="Arial"/>
                <w:sz w:val="14"/>
                <w:szCs w:val="14"/>
                <w:i w:val="1"/>
                <w:iCs w:val="1"/>
                <w:color w:val="auto"/>
              </w:rPr>
              <w:t>(millions of dollars)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80" w:type="dxa"/>
            <w:vAlign w:val="bottom"/>
          </w:tcPr>
          <w:p>
            <w:pPr>
              <w:spacing w:after="0"/>
              <w:rPr>
                <w:sz w:val="20"/>
                <w:szCs w:val="20"/>
                <w:color w:val="auto"/>
              </w:rPr>
            </w:pPr>
            <w:r>
              <w:rPr>
                <w:rFonts w:ascii="Arial" w:cs="Arial" w:eastAsia="Arial" w:hAnsi="Arial"/>
                <w:sz w:val="18"/>
                <w:szCs w:val="18"/>
                <w:color w:val="auto"/>
              </w:rPr>
              <w:t>Asset category:</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U.S.</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81</w:t>
            </w: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Non-U.S.</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49</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vMerge w:val="restart"/>
          </w:tcPr>
          <w:p>
            <w:pPr>
              <w:jc w:val="right"/>
              <w:ind w:right="108"/>
              <w:spacing w:after="0"/>
              <w:rPr>
                <w:sz w:val="20"/>
                <w:szCs w:val="20"/>
                <w:color w:val="auto"/>
              </w:rPr>
            </w:pPr>
            <w:r>
              <w:rPr>
                <w:rFonts w:ascii="Arial" w:cs="Arial" w:eastAsia="Arial" w:hAnsi="Arial"/>
                <w:sz w:val="14"/>
                <w:szCs w:val="14"/>
                <w:i w:val="1"/>
                <w:iCs w:val="1"/>
                <w:color w:val="auto"/>
                <w:w w:val="93"/>
              </w:rPr>
              <w:t>(2)</w:t>
            </w: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360" w:type="dxa"/>
            <w:vAlign w:val="bottom"/>
            <w:vMerge w:val="continue"/>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0"/>
        </w:trPr>
        <w:tc>
          <w:tcPr>
            <w:tcW w:w="3980" w:type="dxa"/>
            <w:vAlign w:val="bottom"/>
          </w:tcPr>
          <w:p>
            <w:pPr>
              <w:ind w:left="220"/>
              <w:spacing w:after="0"/>
              <w:rPr>
                <w:sz w:val="20"/>
                <w:szCs w:val="20"/>
                <w:color w:val="auto"/>
              </w:rPr>
            </w:pPr>
            <w:r>
              <w:rPr>
                <w:rFonts w:ascii="Arial" w:cs="Arial" w:eastAsia="Arial" w:hAnsi="Arial"/>
                <w:sz w:val="18"/>
                <w:szCs w:val="18"/>
                <w:color w:val="auto"/>
              </w:rPr>
              <w:t>Government</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jc w:val="right"/>
              <w:ind w:right="108"/>
              <w:spacing w:after="0"/>
              <w:rPr>
                <w:sz w:val="20"/>
                <w:szCs w:val="20"/>
                <w:color w:val="auto"/>
              </w:rPr>
            </w:pPr>
            <w:r>
              <w:rPr>
                <w:rFonts w:ascii="Arial" w:cs="Arial" w:eastAsia="Arial" w:hAnsi="Arial"/>
                <w:sz w:val="14"/>
                <w:szCs w:val="14"/>
                <w:i w:val="1"/>
                <w:iCs w:val="1"/>
                <w:color w:val="auto"/>
                <w:w w:val="93"/>
              </w:rPr>
              <w:t>(2)</w:t>
            </w: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Asset-backed</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Cash</w:t>
            </w:r>
          </w:p>
        </w:tc>
        <w:tc>
          <w:tcPr>
            <w:tcW w:w="16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Total at fair value</w:t>
            </w:r>
          </w:p>
        </w:tc>
        <w:tc>
          <w:tcPr>
            <w:tcW w:w="16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133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180" w:hanging="172"/>
        <w:spacing w:after="0" w:line="264" w:lineRule="auto"/>
        <w:tabs>
          <w:tab w:leader="none" w:pos="29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Per ASU 2015-07, certain instruments that are measured at fair value using the Net Asset Value (NAV) per share practical expedient have not been categorized in the fair value hierarchy. The fair value amounts presented in this table are intended to permit reconciliation of the fair value hierarchy to the total value of plan assets.</w:t>
      </w:r>
    </w:p>
    <w:p>
      <w:pPr>
        <w:spacing w:after="0" w:line="1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For corporate, government and asset-backed debt securities, fair value is based on observable inputs of comparable market transactions.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2018 fair value of the benefit plan assets, including the level within the fair value hierarchy, is shown in the tables below:</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8"/>
              </w:rPr>
              <w:t>U.S. Pension</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Non-U.S. Pension</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Fair Value Measurement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Fair Value Measurement</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at December 31, 2018, Using:</w:t>
            </w: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at December 31, 2018, Using:</w:t>
            </w: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Asset</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Asset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2"/>
              </w:rPr>
              <w:t>Level 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3</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ind w:right="108"/>
              <w:spacing w:after="0"/>
              <w:rPr>
                <w:sz w:val="20"/>
                <w:szCs w:val="20"/>
                <w:color w:val="auto"/>
              </w:rPr>
            </w:pPr>
            <w:r>
              <w:rPr>
                <w:rFonts w:ascii="Arial" w:cs="Arial" w:eastAsia="Arial" w:hAnsi="Arial"/>
                <w:sz w:val="14"/>
                <w:szCs w:val="14"/>
                <w:i w:val="1"/>
                <w:iCs w:val="1"/>
                <w:color w:val="auto"/>
              </w:rPr>
              <w:t>(millions of dollars)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40" w:type="dxa"/>
            <w:vAlign w:val="bottom"/>
            <w:gridSpan w:val="2"/>
          </w:tcPr>
          <w:p>
            <w:pPr>
              <w:spacing w:after="0"/>
              <w:rPr>
                <w:sz w:val="20"/>
                <w:szCs w:val="20"/>
                <w:color w:val="auto"/>
              </w:rPr>
            </w:pPr>
            <w:r>
              <w:rPr>
                <w:rFonts w:ascii="Arial" w:cs="Arial" w:eastAsia="Arial" w:hAnsi="Arial"/>
                <w:sz w:val="18"/>
                <w:szCs w:val="18"/>
                <w:color w:val="auto"/>
              </w:rPr>
              <w:t>Asset category:</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i w:val="1"/>
                <w:iCs w:val="1"/>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Non-U.S.</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0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2,436</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 xml:space="preserve">4,795 </w:t>
            </w:r>
            <w:r>
              <w:rPr>
                <w:rFonts w:ascii="Arial" w:cs="Arial" w:eastAsia="Arial" w:hAnsi="Arial"/>
                <w:sz w:val="28"/>
                <w:szCs w:val="28"/>
                <w:i w:val="1"/>
                <w:iCs w:val="1"/>
                <w:color w:val="auto"/>
                <w:vertAlign w:val="superscript"/>
              </w:rPr>
              <w:t>(3)</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i w:val="1"/>
                <w:iCs w:val="1"/>
                <w:color w:val="auto"/>
              </w:rPr>
              <w:t>(3)</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vMerge w:val="continue"/>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vMerge w:val="continue"/>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3,713</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Government</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3,085 </w:t>
            </w:r>
            <w:r>
              <w:rPr>
                <w:rFonts w:ascii="Arial" w:cs="Arial" w:eastAsia="Arial" w:hAnsi="Arial"/>
                <w:sz w:val="25"/>
                <w:szCs w:val="25"/>
                <w:i w:val="1"/>
                <w:iCs w:val="1"/>
                <w:color w:val="auto"/>
                <w:vertAlign w:val="superscript"/>
              </w:rPr>
              <w:t>(3)</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jc w:val="right"/>
              <w:ind w:right="28"/>
              <w:spacing w:after="0"/>
              <w:rPr>
                <w:sz w:val="20"/>
                <w:szCs w:val="20"/>
                <w:color w:val="auto"/>
              </w:rPr>
            </w:pPr>
            <w:r>
              <w:rPr>
                <w:rFonts w:ascii="Arial" w:cs="Arial" w:eastAsia="Arial" w:hAnsi="Arial"/>
                <w:sz w:val="14"/>
                <w:szCs w:val="14"/>
                <w:i w:val="1"/>
                <w:iCs w:val="1"/>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jc w:val="right"/>
              <w:ind w:right="68"/>
              <w:spacing w:after="0"/>
              <w:rPr>
                <w:sz w:val="20"/>
                <w:szCs w:val="20"/>
                <w:color w:val="auto"/>
              </w:rPr>
            </w:pPr>
            <w:r>
              <w:rPr>
                <w:rFonts w:ascii="Arial" w:cs="Arial" w:eastAsia="Arial" w:hAnsi="Arial"/>
                <w:sz w:val="14"/>
                <w:szCs w:val="14"/>
                <w:i w:val="1"/>
                <w:iCs w:val="1"/>
                <w:color w:val="auto"/>
              </w:rPr>
              <w:t>(3)</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9,326</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16"/>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Asset-backed</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68"/>
              <w:spacing w:after="0"/>
              <w:rPr>
                <w:sz w:val="20"/>
                <w:szCs w:val="20"/>
                <w:color w:val="auto"/>
              </w:rPr>
            </w:pPr>
            <w:r>
              <w:rPr>
                <w:rFonts w:ascii="Arial" w:cs="Arial" w:eastAsia="Arial" w:hAnsi="Arial"/>
                <w:sz w:val="14"/>
                <w:szCs w:val="14"/>
                <w:i w:val="1"/>
                <w:iCs w:val="1"/>
                <w:color w:val="auto"/>
              </w:rPr>
              <w:t>(3)</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5"/>
        </w:trPr>
        <w:tc>
          <w:tcPr>
            <w:tcW w:w="254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68"/>
              <w:spacing w:after="0"/>
              <w:rPr>
                <w:sz w:val="20"/>
                <w:szCs w:val="20"/>
                <w:color w:val="auto"/>
              </w:rPr>
            </w:pPr>
            <w:r>
              <w:rPr>
                <w:rFonts w:ascii="Arial" w:cs="Arial" w:eastAsia="Arial" w:hAnsi="Arial"/>
                <w:sz w:val="14"/>
                <w:szCs w:val="14"/>
                <w:i w:val="1"/>
                <w:iCs w:val="1"/>
                <w:color w:val="auto"/>
              </w:rPr>
              <w:t>(5)</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8"/>
                <w:szCs w:val="18"/>
                <w:color w:val="auto"/>
              </w:rPr>
              <w:t>Total at fair value</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7,880</w:t>
            </w:r>
          </w:p>
        </w:tc>
        <w:tc>
          <w:tcPr>
            <w:tcW w:w="106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11,126</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18,908</w:t>
            </w: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19,465</w:t>
            </w:r>
          </w:p>
        </w:tc>
        <w:tc>
          <w:tcPr>
            <w:tcW w:w="0" w:type="dxa"/>
            <w:vAlign w:val="bottom"/>
          </w:tcPr>
          <w:p>
            <w:pPr>
              <w:spacing w:after="0"/>
              <w:rPr>
                <w:sz w:val="1"/>
                <w:szCs w:val="1"/>
                <w:color w:val="auto"/>
              </w:rPr>
            </w:pPr>
          </w:p>
        </w:tc>
      </w:tr>
      <w:tr>
        <w:trPr>
          <w:trHeight w:val="195"/>
        </w:trPr>
        <w:tc>
          <w:tcPr>
            <w:tcW w:w="1960" w:type="dxa"/>
            <w:vAlign w:val="bottom"/>
          </w:tcPr>
          <w:p>
            <w:pPr>
              <w:ind w:left="120"/>
              <w:spacing w:after="0" w:line="195" w:lineRule="exact"/>
              <w:rPr>
                <w:sz w:val="20"/>
                <w:szCs w:val="20"/>
                <w:color w:val="auto"/>
              </w:rPr>
            </w:pPr>
            <w:r>
              <w:rPr>
                <w:rFonts w:ascii="Arial" w:cs="Arial" w:eastAsia="Arial" w:hAnsi="Arial"/>
                <w:sz w:val="18"/>
                <w:szCs w:val="18"/>
                <w:color w:val="auto"/>
              </w:rPr>
              <w:t>Insurance contracts</w:t>
            </w: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at contract value</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540" w:type="dxa"/>
            <w:vAlign w:val="bottom"/>
            <w:gridSpan w:val="2"/>
          </w:tcPr>
          <w:p>
            <w:pPr>
              <w:spacing w:after="0"/>
              <w:rPr>
                <w:sz w:val="20"/>
                <w:szCs w:val="20"/>
                <w:color w:val="auto"/>
              </w:rPr>
            </w:pPr>
            <w:r>
              <w:rPr>
                <w:rFonts w:ascii="Arial" w:cs="Arial" w:eastAsia="Arial" w:hAnsi="Arial"/>
                <w:sz w:val="18"/>
                <w:szCs w:val="18"/>
                <w:color w:val="auto"/>
              </w:rPr>
              <w:t>Total plan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180" w:hanging="172"/>
        <w:spacing w:after="0" w:line="264" w:lineRule="auto"/>
        <w:tabs>
          <w:tab w:leader="none" w:pos="54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Per ASU 2015-07, certain instruments that are measured at fair value using the Net Asset Value (NAV) per share practical expedient have not been categorized in the fair value hierarchy. The fair value amounts presented in this table are intended to permit reconciliation of the fair value hierarchy to the total value of plan assets.</w:t>
      </w:r>
    </w:p>
    <w:p>
      <w:pPr>
        <w:spacing w:after="0" w:line="19" w:lineRule="exact"/>
        <w:rPr>
          <w:rFonts w:ascii="Arial" w:cs="Arial" w:eastAsia="Arial" w:hAnsi="Arial"/>
          <w:sz w:val="18"/>
          <w:szCs w:val="18"/>
          <w:i w:val="1"/>
          <w:iCs w:val="1"/>
          <w:color w:val="auto"/>
        </w:rPr>
      </w:pPr>
    </w:p>
    <w:p>
      <w:pPr>
        <w:ind w:left="540" w:hanging="532"/>
        <w:spacing w:after="0"/>
        <w:tabs>
          <w:tab w:leader="none" w:pos="5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For non-U.S.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74" w:lineRule="exact"/>
        <w:rPr>
          <w:rFonts w:ascii="Arial" w:cs="Arial" w:eastAsia="Arial" w:hAnsi="Arial"/>
          <w:sz w:val="17"/>
          <w:szCs w:val="17"/>
          <w:i w:val="1"/>
          <w:iCs w:val="1"/>
          <w:color w:val="auto"/>
        </w:rPr>
      </w:pPr>
    </w:p>
    <w:p>
      <w:pPr>
        <w:ind w:left="540" w:hanging="532"/>
        <w:spacing w:after="0"/>
        <w:tabs>
          <w:tab w:leader="none" w:pos="5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For government debt securities that are traded on active exchanges, fair value is based on observable quoted prices.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Other Postretirement</w:t>
            </w:r>
          </w:p>
        </w:tc>
        <w:tc>
          <w:tcPr>
            <w:tcW w:w="1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80" w:type="dxa"/>
            <w:vAlign w:val="bottom"/>
            <w:gridSpan w:val="3"/>
          </w:tcPr>
          <w:p>
            <w:pPr>
              <w:jc w:val="right"/>
              <w:ind w:right="855"/>
              <w:spacing w:after="0"/>
              <w:rPr>
                <w:sz w:val="20"/>
                <w:szCs w:val="20"/>
                <w:color w:val="auto"/>
              </w:rPr>
            </w:pPr>
            <w:r>
              <w:rPr>
                <w:rFonts w:ascii="Arial" w:cs="Arial" w:eastAsia="Arial" w:hAnsi="Arial"/>
                <w:sz w:val="14"/>
                <w:szCs w:val="14"/>
                <w:b w:val="1"/>
                <w:bCs w:val="1"/>
                <w:color w:val="auto"/>
              </w:rPr>
              <w:t>Fair Value Measurement</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at December 31, 2018, Using:</w:t>
            </w:r>
          </w:p>
        </w:tc>
        <w:tc>
          <w:tcPr>
            <w:tcW w:w="150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3"/>
              </w:rPr>
              <w:t>Asset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00" w:type="dxa"/>
            <w:vAlign w:val="bottom"/>
          </w:tcPr>
          <w:p>
            <w:pPr>
              <w:jc w:val="right"/>
              <w:ind w:right="492"/>
              <w:spacing w:after="0"/>
              <w:rPr>
                <w:sz w:val="20"/>
                <w:szCs w:val="20"/>
                <w:color w:val="auto"/>
              </w:rPr>
            </w:pPr>
            <w:r>
              <w:rPr>
                <w:rFonts w:ascii="Arial" w:cs="Arial" w:eastAsia="Arial" w:hAnsi="Arial"/>
                <w:sz w:val="14"/>
                <w:szCs w:val="14"/>
                <w:b w:val="1"/>
                <w:bCs w:val="1"/>
                <w:color w:val="auto"/>
              </w:rPr>
              <w:t>Level 1</w:t>
            </w:r>
          </w:p>
        </w:tc>
        <w:tc>
          <w:tcPr>
            <w:tcW w:w="1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000" w:type="dxa"/>
            <w:vAlign w:val="bottom"/>
          </w:tcPr>
          <w:p>
            <w:pPr>
              <w:jc w:val="right"/>
              <w:ind w:right="535"/>
              <w:spacing w:after="0"/>
              <w:rPr>
                <w:sz w:val="20"/>
                <w:szCs w:val="20"/>
                <w:color w:val="auto"/>
              </w:rPr>
            </w:pPr>
            <w:r>
              <w:rPr>
                <w:rFonts w:ascii="Arial" w:cs="Arial" w:eastAsia="Arial" w:hAnsi="Arial"/>
                <w:sz w:val="14"/>
                <w:szCs w:val="14"/>
                <w:b w:val="1"/>
                <w:bCs w:val="1"/>
                <w:color w:val="auto"/>
              </w:rPr>
              <w:t>Level 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i w:val="1"/>
                <w:iCs w:val="1"/>
                <w:color w:val="auto"/>
                <w:w w:val="95"/>
              </w:rPr>
              <w:t>(1)</w:t>
            </w: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jc w:val="right"/>
              <w:ind w:right="495"/>
              <w:spacing w:after="0"/>
              <w:rPr>
                <w:sz w:val="20"/>
                <w:szCs w:val="20"/>
                <w:color w:val="auto"/>
              </w:rPr>
            </w:pPr>
            <w:r>
              <w:rPr>
                <w:rFonts w:ascii="Arial" w:cs="Arial" w:eastAsia="Arial" w:hAnsi="Arial"/>
                <w:sz w:val="14"/>
                <w:szCs w:val="14"/>
                <w:i w:val="1"/>
                <w:iCs w:val="1"/>
                <w:color w:val="auto"/>
              </w:rPr>
              <w:t>(millions of dollars)</w:t>
            </w: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80" w:type="dxa"/>
            <w:vAlign w:val="bottom"/>
          </w:tcPr>
          <w:p>
            <w:pPr>
              <w:spacing w:after="0"/>
              <w:rPr>
                <w:sz w:val="20"/>
                <w:szCs w:val="20"/>
                <w:color w:val="auto"/>
              </w:rPr>
            </w:pPr>
            <w:r>
              <w:rPr>
                <w:rFonts w:ascii="Arial" w:cs="Arial" w:eastAsia="Arial" w:hAnsi="Arial"/>
                <w:sz w:val="18"/>
                <w:szCs w:val="18"/>
                <w:color w:val="auto"/>
              </w:rPr>
              <w:t>Asset category:</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U.S.</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64</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Non-U.S.</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41</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vMerge w:val="restart"/>
          </w:tcPr>
          <w:p>
            <w:pPr>
              <w:jc w:val="right"/>
              <w:ind w:right="108"/>
              <w:spacing w:after="0"/>
              <w:rPr>
                <w:sz w:val="20"/>
                <w:szCs w:val="20"/>
                <w:color w:val="auto"/>
              </w:rPr>
            </w:pPr>
            <w:r>
              <w:rPr>
                <w:rFonts w:ascii="Arial" w:cs="Arial" w:eastAsia="Arial" w:hAnsi="Arial"/>
                <w:sz w:val="14"/>
                <w:szCs w:val="14"/>
                <w:i w:val="1"/>
                <w:iCs w:val="1"/>
                <w:color w:val="auto"/>
                <w:w w:val="93"/>
              </w:rPr>
              <w:t>(2)</w:t>
            </w:r>
          </w:p>
        </w:tc>
        <w:tc>
          <w:tcPr>
            <w:tcW w:w="2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vMerge w:val="continue"/>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0"/>
        </w:trPr>
        <w:tc>
          <w:tcPr>
            <w:tcW w:w="3980" w:type="dxa"/>
            <w:vAlign w:val="bottom"/>
          </w:tcPr>
          <w:p>
            <w:pPr>
              <w:ind w:left="220"/>
              <w:spacing w:after="0"/>
              <w:rPr>
                <w:sz w:val="20"/>
                <w:szCs w:val="20"/>
                <w:color w:val="auto"/>
              </w:rPr>
            </w:pPr>
            <w:r>
              <w:rPr>
                <w:rFonts w:ascii="Arial" w:cs="Arial" w:eastAsia="Arial" w:hAnsi="Arial"/>
                <w:sz w:val="18"/>
                <w:szCs w:val="18"/>
                <w:color w:val="auto"/>
              </w:rPr>
              <w:t>Government</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jc w:val="right"/>
              <w:ind w:right="108"/>
              <w:spacing w:after="0"/>
              <w:rPr>
                <w:sz w:val="20"/>
                <w:szCs w:val="20"/>
                <w:color w:val="auto"/>
              </w:rPr>
            </w:pPr>
            <w:r>
              <w:rPr>
                <w:rFonts w:ascii="Arial" w:cs="Arial" w:eastAsia="Arial" w:hAnsi="Arial"/>
                <w:sz w:val="14"/>
                <w:szCs w:val="14"/>
                <w:i w:val="1"/>
                <w:iCs w:val="1"/>
                <w:color w:val="auto"/>
                <w:w w:val="93"/>
              </w:rPr>
              <w:t>(2)</w:t>
            </w: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Asset-backed</w:t>
            </w:r>
          </w:p>
        </w:tc>
        <w:tc>
          <w:tcPr>
            <w:tcW w:w="16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0" w:type="dxa"/>
            <w:vAlign w:val="bottom"/>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7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Cash</w:t>
            </w:r>
          </w:p>
        </w:tc>
        <w:tc>
          <w:tcPr>
            <w:tcW w:w="16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Total at fair value</w:t>
            </w:r>
          </w:p>
        </w:tc>
        <w:tc>
          <w:tcPr>
            <w:tcW w:w="16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109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180" w:hanging="172"/>
        <w:spacing w:after="0" w:line="264" w:lineRule="auto"/>
        <w:tabs>
          <w:tab w:leader="none" w:pos="546"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Per ASU 2015-07, certain instruments that are measured at fair value using the Net Asset Value (NAV) per share practical expedient have not been categorized in the fair value hierarchy. The fair value amounts presented in this table are intended to permit reconciliation of the fair value hierarchy to the total value of plan assets.</w:t>
      </w:r>
    </w:p>
    <w:p>
      <w:pPr>
        <w:spacing w:after="0" w:line="19" w:lineRule="exact"/>
        <w:rPr>
          <w:rFonts w:ascii="Arial" w:cs="Arial" w:eastAsia="Arial" w:hAnsi="Arial"/>
          <w:sz w:val="18"/>
          <w:szCs w:val="18"/>
          <w:i w:val="1"/>
          <w:iCs w:val="1"/>
          <w:color w:val="auto"/>
        </w:rPr>
      </w:pPr>
    </w:p>
    <w:p>
      <w:pPr>
        <w:ind w:left="540" w:hanging="532"/>
        <w:spacing w:after="0"/>
        <w:tabs>
          <w:tab w:leader="none" w:pos="54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pension plans with an accumulated benefit obligation in excess of plan assets is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40" w:type="dxa"/>
            <w:vAlign w:val="bottom"/>
            <w:gridSpan w:val="4"/>
          </w:tcPr>
          <w:p>
            <w:pPr>
              <w:jc w:val="right"/>
              <w:ind w:right="868"/>
              <w:spacing w:after="0"/>
              <w:rPr>
                <w:sz w:val="20"/>
                <w:szCs w:val="20"/>
                <w:color w:val="auto"/>
              </w:rPr>
            </w:pPr>
            <w:r>
              <w:rPr>
                <w:rFonts w:ascii="Arial" w:cs="Arial" w:eastAsia="Arial" w:hAnsi="Arial"/>
                <w:sz w:val="14"/>
                <w:szCs w:val="14"/>
                <w:b w:val="1"/>
                <w:bCs w:val="1"/>
                <w:color w:val="auto"/>
              </w:rPr>
              <w:t>Pension Benefits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U.S.</w:t>
            </w:r>
          </w:p>
        </w:tc>
        <w:tc>
          <w:tcPr>
            <w:tcW w:w="10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16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40" w:type="dxa"/>
            <w:vAlign w:val="bottom"/>
            <w:gridSpan w:val="4"/>
          </w:tcPr>
          <w:p>
            <w:pPr>
              <w:jc w:val="right"/>
              <w:ind w:right="808"/>
              <w:spacing w:after="0"/>
              <w:rPr>
                <w:sz w:val="20"/>
                <w:szCs w:val="20"/>
                <w:color w:val="auto"/>
              </w:rPr>
            </w:pPr>
            <w:r>
              <w:rPr>
                <w:rFonts w:ascii="Arial" w:cs="Arial" w:eastAsia="Arial" w:hAnsi="Arial"/>
                <w:sz w:val="14"/>
                <w:szCs w:val="14"/>
                <w:i w:val="1"/>
                <w:iCs w:val="1"/>
                <w:color w:val="auto"/>
              </w:rPr>
              <w:t>(millions of dollars)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80" w:type="dxa"/>
            <w:vAlign w:val="bottom"/>
            <w:gridSpan w:val="4"/>
          </w:tcPr>
          <w:p>
            <w:pPr>
              <w:spacing w:after="0" w:line="201" w:lineRule="exact"/>
              <w:rPr>
                <w:sz w:val="20"/>
                <w:szCs w:val="20"/>
                <w:color w:val="auto"/>
              </w:rPr>
            </w:pPr>
            <w:r>
              <w:rPr>
                <w:rFonts w:ascii="Arial" w:cs="Arial" w:eastAsia="Arial" w:hAnsi="Arial"/>
                <w:sz w:val="18"/>
                <w:szCs w:val="18"/>
                <w:color w:val="auto"/>
              </w:rPr>
              <w:t>For funded pension plans with an accumulated benefit obligation</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in excess of plan assets:</w:t>
            </w:r>
          </w:p>
        </w:tc>
        <w:tc>
          <w:tcPr>
            <w:tcW w:w="1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Projected benefit obligation</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18,292</w:t>
            </w:r>
          </w:p>
        </w:tc>
        <w:tc>
          <w:tcPr>
            <w:tcW w:w="1040" w:type="dxa"/>
            <w:vAlign w:val="bottom"/>
          </w:tcPr>
          <w:p>
            <w:pPr>
              <w:jc w:val="right"/>
              <w:spacing w:after="0"/>
              <w:rPr>
                <w:sz w:val="20"/>
                <w:szCs w:val="20"/>
                <w:color w:val="auto"/>
              </w:rPr>
            </w:pPr>
            <w:r>
              <w:rPr>
                <w:rFonts w:ascii="Arial" w:cs="Arial" w:eastAsia="Arial" w:hAnsi="Arial"/>
                <w:sz w:val="18"/>
                <w:szCs w:val="18"/>
                <w:color w:val="auto"/>
              </w:rPr>
              <w:t>15,738</w:t>
            </w:r>
          </w:p>
        </w:tc>
        <w:tc>
          <w:tcPr>
            <w:tcW w:w="1600" w:type="dxa"/>
            <w:vAlign w:val="bottom"/>
            <w:gridSpan w:val="3"/>
          </w:tcPr>
          <w:p>
            <w:pPr>
              <w:jc w:val="right"/>
              <w:ind w:right="8"/>
              <w:spacing w:after="0"/>
              <w:rPr>
                <w:sz w:val="20"/>
                <w:szCs w:val="20"/>
                <w:color w:val="auto"/>
              </w:rPr>
            </w:pPr>
            <w:r>
              <w:rPr>
                <w:rFonts w:ascii="Arial" w:cs="Arial" w:eastAsia="Arial" w:hAnsi="Arial"/>
                <w:sz w:val="18"/>
                <w:szCs w:val="18"/>
                <w:color w:val="auto"/>
              </w:rPr>
              <w:t>3,616</w:t>
            </w:r>
          </w:p>
        </w:tc>
        <w:tc>
          <w:tcPr>
            <w:tcW w:w="1220" w:type="dxa"/>
            <w:vAlign w:val="bottom"/>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16"/>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Accumulated benefit obligation</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14,940</w:t>
            </w:r>
          </w:p>
        </w:tc>
        <w:tc>
          <w:tcPr>
            <w:tcW w:w="1040" w:type="dxa"/>
            <w:vAlign w:val="bottom"/>
          </w:tcPr>
          <w:p>
            <w:pPr>
              <w:jc w:val="right"/>
              <w:spacing w:after="0"/>
              <w:rPr>
                <w:sz w:val="20"/>
                <w:szCs w:val="20"/>
                <w:color w:val="auto"/>
              </w:rPr>
            </w:pPr>
            <w:r>
              <w:rPr>
                <w:rFonts w:ascii="Arial" w:cs="Arial" w:eastAsia="Arial" w:hAnsi="Arial"/>
                <w:sz w:val="18"/>
                <w:szCs w:val="18"/>
                <w:color w:val="auto"/>
              </w:rPr>
              <w:t>13,208</w:t>
            </w:r>
          </w:p>
        </w:tc>
        <w:tc>
          <w:tcPr>
            <w:tcW w:w="1600" w:type="dxa"/>
            <w:vAlign w:val="bottom"/>
            <w:gridSpan w:val="3"/>
          </w:tcPr>
          <w:p>
            <w:pPr>
              <w:jc w:val="right"/>
              <w:ind w:right="8"/>
              <w:spacing w:after="0"/>
              <w:rPr>
                <w:sz w:val="20"/>
                <w:szCs w:val="20"/>
                <w:color w:val="auto"/>
              </w:rPr>
            </w:pPr>
            <w:r>
              <w:rPr>
                <w:rFonts w:ascii="Arial" w:cs="Arial" w:eastAsia="Arial" w:hAnsi="Arial"/>
                <w:sz w:val="18"/>
                <w:szCs w:val="18"/>
                <w:color w:val="auto"/>
              </w:rPr>
              <w:t>3,026</w:t>
            </w:r>
          </w:p>
        </w:tc>
        <w:tc>
          <w:tcPr>
            <w:tcW w:w="1220" w:type="dxa"/>
            <w:vAlign w:val="bottom"/>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30"/>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Fair value of plan assets</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13,636</w:t>
            </w:r>
          </w:p>
        </w:tc>
        <w:tc>
          <w:tcPr>
            <w:tcW w:w="1040" w:type="dxa"/>
            <w:vAlign w:val="bottom"/>
          </w:tcPr>
          <w:p>
            <w:pPr>
              <w:jc w:val="right"/>
              <w:spacing w:after="0"/>
              <w:rPr>
                <w:sz w:val="20"/>
                <w:szCs w:val="20"/>
                <w:color w:val="auto"/>
              </w:rPr>
            </w:pPr>
            <w:r>
              <w:rPr>
                <w:rFonts w:ascii="Arial" w:cs="Arial" w:eastAsia="Arial" w:hAnsi="Arial"/>
                <w:sz w:val="18"/>
                <w:szCs w:val="18"/>
                <w:color w:val="auto"/>
              </w:rPr>
              <w:t>11,134</w:t>
            </w:r>
          </w:p>
        </w:tc>
        <w:tc>
          <w:tcPr>
            <w:tcW w:w="1600" w:type="dxa"/>
            <w:vAlign w:val="bottom"/>
            <w:gridSpan w:val="3"/>
          </w:tcPr>
          <w:p>
            <w:pPr>
              <w:jc w:val="right"/>
              <w:ind w:right="8"/>
              <w:spacing w:after="0"/>
              <w:rPr>
                <w:sz w:val="20"/>
                <w:szCs w:val="20"/>
                <w:color w:val="auto"/>
              </w:rPr>
            </w:pPr>
            <w:r>
              <w:rPr>
                <w:rFonts w:ascii="Arial" w:cs="Arial" w:eastAsia="Arial" w:hAnsi="Arial"/>
                <w:sz w:val="18"/>
                <w:szCs w:val="18"/>
                <w:color w:val="auto"/>
              </w:rPr>
              <w:t>1,381</w:t>
            </w:r>
          </w:p>
        </w:tc>
        <w:tc>
          <w:tcPr>
            <w:tcW w:w="122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392"/>
        </w:trPr>
        <w:tc>
          <w:tcPr>
            <w:tcW w:w="6080" w:type="dxa"/>
            <w:vAlign w:val="bottom"/>
            <w:gridSpan w:val="4"/>
          </w:tcPr>
          <w:p>
            <w:pPr>
              <w:spacing w:after="0"/>
              <w:rPr>
                <w:sz w:val="20"/>
                <w:szCs w:val="20"/>
                <w:color w:val="auto"/>
              </w:rPr>
            </w:pPr>
            <w:r>
              <w:rPr>
                <w:rFonts w:ascii="Arial" w:cs="Arial" w:eastAsia="Arial" w:hAnsi="Arial"/>
                <w:sz w:val="18"/>
                <w:szCs w:val="18"/>
                <w:color w:val="auto"/>
              </w:rPr>
              <w:t>For unfunded pension plans:</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Projected benefit obligation</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2,667</w:t>
            </w:r>
          </w:p>
        </w:tc>
        <w:tc>
          <w:tcPr>
            <w:tcW w:w="1040" w:type="dxa"/>
            <w:vAlign w:val="bottom"/>
          </w:tcPr>
          <w:p>
            <w:pPr>
              <w:jc w:val="right"/>
              <w:spacing w:after="0"/>
              <w:rPr>
                <w:sz w:val="20"/>
                <w:szCs w:val="20"/>
                <w:color w:val="auto"/>
              </w:rPr>
            </w:pPr>
            <w:r>
              <w:rPr>
                <w:rFonts w:ascii="Arial" w:cs="Arial" w:eastAsia="Arial" w:hAnsi="Arial"/>
                <w:sz w:val="18"/>
                <w:szCs w:val="18"/>
                <w:color w:val="auto"/>
              </w:rPr>
              <w:t>2,436</w:t>
            </w:r>
          </w:p>
        </w:tc>
        <w:tc>
          <w:tcPr>
            <w:tcW w:w="1600" w:type="dxa"/>
            <w:vAlign w:val="bottom"/>
            <w:gridSpan w:val="3"/>
          </w:tcPr>
          <w:p>
            <w:pPr>
              <w:jc w:val="right"/>
              <w:ind w:right="8"/>
              <w:spacing w:after="0"/>
              <w:rPr>
                <w:sz w:val="20"/>
                <w:szCs w:val="20"/>
                <w:color w:val="auto"/>
              </w:rPr>
            </w:pPr>
            <w:r>
              <w:rPr>
                <w:rFonts w:ascii="Arial" w:cs="Arial" w:eastAsia="Arial" w:hAnsi="Arial"/>
                <w:sz w:val="18"/>
                <w:szCs w:val="18"/>
                <w:color w:val="auto"/>
              </w:rPr>
              <w:t>5,274</w:t>
            </w:r>
          </w:p>
        </w:tc>
        <w:tc>
          <w:tcPr>
            <w:tcW w:w="1220" w:type="dxa"/>
            <w:vAlign w:val="bottom"/>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8"/>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Accumulated benefit obligation</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1,447</w:t>
            </w:r>
          </w:p>
        </w:tc>
        <w:tc>
          <w:tcPr>
            <w:tcW w:w="1040" w:type="dxa"/>
            <w:vAlign w:val="bottom"/>
          </w:tcPr>
          <w:p>
            <w:pPr>
              <w:jc w:val="right"/>
              <w:spacing w:after="0"/>
              <w:rPr>
                <w:sz w:val="20"/>
                <w:szCs w:val="20"/>
                <w:color w:val="auto"/>
              </w:rPr>
            </w:pPr>
            <w:r>
              <w:rPr>
                <w:rFonts w:ascii="Arial" w:cs="Arial" w:eastAsia="Arial" w:hAnsi="Arial"/>
                <w:sz w:val="18"/>
                <w:szCs w:val="18"/>
                <w:color w:val="auto"/>
              </w:rPr>
              <w:t>1,475</w:t>
            </w:r>
          </w:p>
        </w:tc>
        <w:tc>
          <w:tcPr>
            <w:tcW w:w="1600" w:type="dxa"/>
            <w:vAlign w:val="bottom"/>
            <w:gridSpan w:val="3"/>
          </w:tcPr>
          <w:p>
            <w:pPr>
              <w:jc w:val="right"/>
              <w:ind w:right="8"/>
              <w:spacing w:after="0"/>
              <w:rPr>
                <w:sz w:val="20"/>
                <w:szCs w:val="20"/>
                <w:color w:val="auto"/>
              </w:rPr>
            </w:pPr>
            <w:r>
              <w:rPr>
                <w:rFonts w:ascii="Arial" w:cs="Arial" w:eastAsia="Arial" w:hAnsi="Arial"/>
                <w:sz w:val="18"/>
                <w:szCs w:val="18"/>
                <w:color w:val="auto"/>
              </w:rPr>
              <w:t>4,629</w:t>
            </w:r>
          </w:p>
        </w:tc>
        <w:tc>
          <w:tcPr>
            <w:tcW w:w="1220" w:type="dxa"/>
            <w:vAlign w:val="bottom"/>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Pension Benefits</w:t>
            </w:r>
          </w:p>
        </w:tc>
        <w:tc>
          <w:tcPr>
            <w:tcW w:w="480" w:type="dxa"/>
            <w:vAlign w:val="bottom"/>
          </w:tcPr>
          <w:p>
            <w:pPr>
              <w:spacing w:after="0"/>
              <w:rPr>
                <w:sz w:val="17"/>
                <w:szCs w:val="17"/>
                <w:color w:val="auto"/>
              </w:rPr>
            </w:pPr>
          </w:p>
        </w:tc>
        <w:tc>
          <w:tcPr>
            <w:tcW w:w="12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90"/>
        </w:trPr>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w w:val="98"/>
              </w:rPr>
              <w:t>Non-U.S.</w:t>
            </w: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82"/>
        </w:trPr>
        <w:tc>
          <w:tcPr>
            <w:tcW w:w="6080" w:type="dxa"/>
            <w:vAlign w:val="bottom"/>
            <w:gridSpan w:val="4"/>
            <w:vMerge w:val="restart"/>
          </w:tcPr>
          <w:p>
            <w:pPr>
              <w:spacing w:after="0"/>
              <w:rPr>
                <w:sz w:val="20"/>
                <w:szCs w:val="20"/>
                <w:color w:val="auto"/>
              </w:rPr>
            </w:pPr>
            <w:r>
              <w:rPr>
                <w:rFonts w:ascii="Arial" w:cs="Arial" w:eastAsia="Arial" w:hAnsi="Arial"/>
                <w:sz w:val="18"/>
                <w:szCs w:val="18"/>
                <w:color w:val="auto"/>
                <w:w w:val="98"/>
              </w:rPr>
              <w:t>Estimated 2020 amortization from accumulated other comprehensive income:</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jc w:val="right"/>
              <w:ind w:right="248"/>
              <w:spacing w:after="0"/>
              <w:rPr>
                <w:sz w:val="20"/>
                <w:szCs w:val="20"/>
                <w:color w:val="auto"/>
              </w:rPr>
            </w:pPr>
            <w:r>
              <w:rPr>
                <w:rFonts w:ascii="Arial" w:cs="Arial" w:eastAsia="Arial" w:hAnsi="Arial"/>
                <w:sz w:val="14"/>
                <w:szCs w:val="14"/>
                <w:i w:val="1"/>
                <w:iCs w:val="1"/>
                <w:color w:val="auto"/>
              </w:rPr>
              <w:t>(millions of dollars)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8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 xml:space="preserve">Net actuarial loss/(gain) </w:t>
            </w:r>
            <w:r>
              <w:rPr>
                <w:rFonts w:ascii="Arial" w:cs="Arial" w:eastAsia="Arial" w:hAnsi="Arial"/>
                <w:sz w:val="14"/>
                <w:szCs w:val="14"/>
                <w:i w:val="1"/>
                <w:iCs w:val="1"/>
                <w:color w:val="auto"/>
              </w:rPr>
              <w:t>(1)</w:t>
            </w:r>
          </w:p>
        </w:tc>
        <w:tc>
          <w:tcPr>
            <w:tcW w:w="1480" w:type="dxa"/>
            <w:vAlign w:val="bottom"/>
          </w:tcPr>
          <w:p>
            <w:pPr>
              <w:spacing w:after="0"/>
              <w:rPr>
                <w:sz w:val="18"/>
                <w:szCs w:val="18"/>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527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6080" w:type="dxa"/>
            <w:vAlign w:val="bottom"/>
            <w:gridSpan w:val="4"/>
          </w:tcPr>
          <w:p>
            <w:pPr>
              <w:ind w:left="120"/>
              <w:spacing w:after="0"/>
              <w:rPr>
                <w:sz w:val="20"/>
                <w:szCs w:val="20"/>
                <w:color w:val="auto"/>
              </w:rPr>
            </w:pPr>
            <w:r>
              <w:rPr>
                <w:rFonts w:ascii="Arial" w:cs="Arial" w:eastAsia="Arial" w:hAnsi="Arial"/>
                <w:sz w:val="18"/>
                <w:szCs w:val="18"/>
                <w:color w:val="auto"/>
              </w:rPr>
              <w:t xml:space="preserve">Prior service cost </w:t>
            </w:r>
            <w:r>
              <w:rPr>
                <w:rFonts w:ascii="Arial" w:cs="Arial" w:eastAsia="Arial" w:hAnsi="Arial"/>
                <w:sz w:val="14"/>
                <w:szCs w:val="14"/>
                <w:i w:val="1"/>
                <w:iCs w:val="1"/>
                <w:color w:val="auto"/>
              </w:rPr>
              <w:t>(2)</w:t>
            </w:r>
          </w:p>
        </w:tc>
        <w:tc>
          <w:tcPr>
            <w:tcW w:w="1480" w:type="dxa"/>
            <w:vAlign w:val="bottom"/>
          </w:tcPr>
          <w:p>
            <w:pPr>
              <w:spacing w:after="0"/>
              <w:rPr>
                <w:sz w:val="20"/>
                <w:szCs w:val="20"/>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80" w:hanging="172"/>
        <w:spacing w:after="0" w:line="277" w:lineRule="auto"/>
        <w:tabs>
          <w:tab w:leader="none" w:pos="546"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The Corporation amortizes the net balance of actuarial losses/(gains) as a component of net periodic benefit cost over the average remaining service period of active plan participants.</w:t>
      </w:r>
    </w:p>
    <w:p>
      <w:pPr>
        <w:spacing w:after="0" w:line="8" w:lineRule="exact"/>
        <w:rPr>
          <w:rFonts w:ascii="Arial" w:cs="Arial" w:eastAsia="Arial" w:hAnsi="Arial"/>
          <w:sz w:val="18"/>
          <w:szCs w:val="18"/>
          <w:i w:val="1"/>
          <w:iCs w:val="1"/>
          <w:color w:val="auto"/>
        </w:rPr>
      </w:pPr>
    </w:p>
    <w:p>
      <w:pPr>
        <w:ind w:left="180" w:hanging="172"/>
        <w:spacing w:after="0" w:line="277" w:lineRule="auto"/>
        <w:tabs>
          <w:tab w:leader="none" w:pos="546"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The Corporation amortizes prior service cost on a straight-line basis as permitted under authoritative guidance for defined benefit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980" w:type="dxa"/>
            <w:vAlign w:val="bottom"/>
            <w:gridSpan w:val="3"/>
          </w:tcPr>
          <w:p>
            <w:pPr>
              <w:ind w:left="700"/>
              <w:spacing w:after="0"/>
              <w:rPr>
                <w:sz w:val="20"/>
                <w:szCs w:val="20"/>
                <w:color w:val="auto"/>
              </w:rPr>
            </w:pPr>
            <w:r>
              <w:rPr>
                <w:rFonts w:ascii="Arial" w:cs="Arial" w:eastAsia="Arial" w:hAnsi="Arial"/>
                <w:sz w:val="14"/>
                <w:szCs w:val="14"/>
                <w:b w:val="1"/>
                <w:bCs w:val="1"/>
                <w:color w:val="auto"/>
              </w:rPr>
              <w:t>Pension Benefits</w:t>
            </w:r>
          </w:p>
        </w:tc>
        <w:tc>
          <w:tcPr>
            <w:tcW w:w="302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Other Postretirement Benefits</w:t>
            </w:r>
          </w:p>
        </w:tc>
      </w:tr>
      <w:tr>
        <w:trPr>
          <w:trHeight w:val="26"/>
        </w:trPr>
        <w:tc>
          <w:tcPr>
            <w:tcW w:w="5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5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Medicare</w:t>
            </w:r>
          </w:p>
        </w:tc>
      </w:tr>
      <w:tr>
        <w:trPr>
          <w:trHeight w:val="203"/>
        </w:trPr>
        <w:tc>
          <w:tcPr>
            <w:tcW w:w="5420" w:type="dxa"/>
            <w:vAlign w:val="bottom"/>
          </w:tcPr>
          <w:p>
            <w:pPr>
              <w:spacing w:after="0"/>
              <w:rPr>
                <w:sz w:val="17"/>
                <w:szCs w:val="17"/>
                <w:color w:val="auto"/>
              </w:rPr>
            </w:pPr>
          </w:p>
        </w:tc>
        <w:tc>
          <w:tcPr>
            <w:tcW w:w="1260" w:type="dxa"/>
            <w:vAlign w:val="bottom"/>
          </w:tcPr>
          <w:p>
            <w:pPr>
              <w:jc w:val="right"/>
              <w:ind w:right="574"/>
              <w:spacing w:after="0"/>
              <w:rPr>
                <w:sz w:val="20"/>
                <w:szCs w:val="20"/>
                <w:color w:val="auto"/>
              </w:rPr>
            </w:pPr>
            <w:r>
              <w:rPr>
                <w:rFonts w:ascii="Arial" w:cs="Arial" w:eastAsia="Arial" w:hAnsi="Arial"/>
                <w:sz w:val="14"/>
                <w:szCs w:val="14"/>
                <w:b w:val="1"/>
                <w:bCs w:val="1"/>
                <w:color w:val="auto"/>
              </w:rPr>
              <w:t>U.S.</w:t>
            </w: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Non-U.S.</w:t>
            </w:r>
          </w:p>
        </w:tc>
        <w:tc>
          <w:tcPr>
            <w:tcW w:w="1320" w:type="dxa"/>
            <w:vAlign w:val="bottom"/>
          </w:tcPr>
          <w:p>
            <w:pPr>
              <w:jc w:val="right"/>
              <w:ind w:right="594"/>
              <w:spacing w:after="0"/>
              <w:rPr>
                <w:sz w:val="20"/>
                <w:szCs w:val="20"/>
                <w:color w:val="auto"/>
              </w:rPr>
            </w:pPr>
            <w:r>
              <w:rPr>
                <w:rFonts w:ascii="Arial" w:cs="Arial" w:eastAsia="Arial" w:hAnsi="Arial"/>
                <w:sz w:val="14"/>
                <w:szCs w:val="14"/>
                <w:b w:val="1"/>
                <w:bCs w:val="1"/>
                <w:color w:val="auto"/>
              </w:rPr>
              <w:t>Gross</w:t>
            </w:r>
          </w:p>
        </w:tc>
        <w:tc>
          <w:tcPr>
            <w:tcW w:w="1700" w:type="dxa"/>
            <w:vAlign w:val="bottom"/>
          </w:tcPr>
          <w:p>
            <w:pPr>
              <w:jc w:val="right"/>
              <w:ind w:right="174"/>
              <w:spacing w:after="0"/>
              <w:rPr>
                <w:sz w:val="20"/>
                <w:szCs w:val="20"/>
                <w:color w:val="auto"/>
              </w:rPr>
            </w:pPr>
            <w:r>
              <w:rPr>
                <w:rFonts w:ascii="Arial" w:cs="Arial" w:eastAsia="Arial" w:hAnsi="Arial"/>
                <w:sz w:val="14"/>
                <w:szCs w:val="14"/>
                <w:b w:val="1"/>
                <w:bCs w:val="1"/>
                <w:color w:val="auto"/>
              </w:rPr>
              <w:t>Subsidy Receipt</w:t>
            </w:r>
          </w:p>
        </w:tc>
      </w:tr>
      <w:tr>
        <w:trPr>
          <w:trHeight w:val="26"/>
        </w:trPr>
        <w:tc>
          <w:tcPr>
            <w:tcW w:w="5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5"/>
        </w:trPr>
        <w:tc>
          <w:tcPr>
            <w:tcW w:w="5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40" w:type="dxa"/>
            <w:vAlign w:val="bottom"/>
            <w:gridSpan w:val="3"/>
          </w:tcPr>
          <w:p>
            <w:pPr>
              <w:jc w:val="right"/>
              <w:ind w:right="874"/>
              <w:spacing w:after="0"/>
              <w:rPr>
                <w:sz w:val="20"/>
                <w:szCs w:val="20"/>
                <w:color w:val="auto"/>
              </w:rPr>
            </w:pPr>
            <w:r>
              <w:rPr>
                <w:rFonts w:ascii="Arial" w:cs="Arial" w:eastAsia="Arial" w:hAnsi="Arial"/>
                <w:sz w:val="14"/>
                <w:szCs w:val="14"/>
                <w:i w:val="1"/>
                <w:iCs w:val="1"/>
                <w:color w:val="auto"/>
              </w:rPr>
              <w:t>(millions of dollars)</w:t>
            </w:r>
          </w:p>
        </w:tc>
        <w:tc>
          <w:tcPr>
            <w:tcW w:w="1700" w:type="dxa"/>
            <w:vAlign w:val="bottom"/>
          </w:tcPr>
          <w:p>
            <w:pPr>
              <w:spacing w:after="0"/>
              <w:rPr>
                <w:sz w:val="19"/>
                <w:szCs w:val="19"/>
                <w:color w:val="auto"/>
              </w:rPr>
            </w:pPr>
          </w:p>
        </w:tc>
      </w:tr>
      <w:tr>
        <w:trPr>
          <w:trHeight w:val="403"/>
        </w:trPr>
        <w:tc>
          <w:tcPr>
            <w:tcW w:w="5420" w:type="dxa"/>
            <w:vAlign w:val="bottom"/>
          </w:tcPr>
          <w:p>
            <w:pPr>
              <w:spacing w:after="0"/>
              <w:rPr>
                <w:sz w:val="20"/>
                <w:szCs w:val="20"/>
                <w:color w:val="auto"/>
              </w:rPr>
            </w:pPr>
            <w:r>
              <w:rPr>
                <w:rFonts w:ascii="Arial" w:cs="Arial" w:eastAsia="Arial" w:hAnsi="Arial"/>
                <w:sz w:val="18"/>
                <w:szCs w:val="18"/>
                <w:color w:val="auto"/>
              </w:rPr>
              <w:t>Contributions expected in 2020</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1,030</w:t>
            </w: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580" w:type="dxa"/>
            <w:vAlign w:val="bottom"/>
          </w:tcPr>
          <w:p>
            <w:pPr>
              <w:spacing w:after="0"/>
              <w:rPr>
                <w:sz w:val="24"/>
                <w:szCs w:val="24"/>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Benefit payments expected in:</w:t>
            </w: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2020</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1,440</w:t>
            </w: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58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444</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20</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2021</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1,339</w:t>
            </w:r>
          </w:p>
        </w:tc>
        <w:tc>
          <w:tcPr>
            <w:tcW w:w="1140" w:type="dxa"/>
            <w:vAlign w:val="bottom"/>
          </w:tcPr>
          <w:p>
            <w:pPr>
              <w:jc w:val="right"/>
              <w:spacing w:after="0"/>
              <w:rPr>
                <w:sz w:val="20"/>
                <w:szCs w:val="20"/>
                <w:color w:val="auto"/>
              </w:rPr>
            </w:pPr>
            <w:r>
              <w:rPr>
                <w:rFonts w:ascii="Arial" w:cs="Arial" w:eastAsia="Arial" w:hAnsi="Arial"/>
                <w:sz w:val="18"/>
                <w:szCs w:val="18"/>
                <w:color w:val="auto"/>
              </w:rPr>
              <w:t>1,162</w:t>
            </w:r>
          </w:p>
        </w:tc>
        <w:tc>
          <w:tcPr>
            <w:tcW w:w="58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445</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21</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2022</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1,330</w:t>
            </w:r>
          </w:p>
        </w:tc>
        <w:tc>
          <w:tcPr>
            <w:tcW w:w="1140" w:type="dxa"/>
            <w:vAlign w:val="bottom"/>
          </w:tcPr>
          <w:p>
            <w:pPr>
              <w:jc w:val="right"/>
              <w:spacing w:after="0"/>
              <w:rPr>
                <w:sz w:val="20"/>
                <w:szCs w:val="20"/>
                <w:color w:val="auto"/>
              </w:rPr>
            </w:pPr>
            <w:r>
              <w:rPr>
                <w:rFonts w:ascii="Arial" w:cs="Arial" w:eastAsia="Arial" w:hAnsi="Arial"/>
                <w:sz w:val="18"/>
                <w:szCs w:val="18"/>
                <w:color w:val="auto"/>
              </w:rPr>
              <w:t>1,177</w:t>
            </w:r>
          </w:p>
        </w:tc>
        <w:tc>
          <w:tcPr>
            <w:tcW w:w="58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443</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22</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2023</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1,328</w:t>
            </w:r>
          </w:p>
        </w:tc>
        <w:tc>
          <w:tcPr>
            <w:tcW w:w="1140" w:type="dxa"/>
            <w:vAlign w:val="bottom"/>
          </w:tcPr>
          <w:p>
            <w:pPr>
              <w:jc w:val="right"/>
              <w:spacing w:after="0"/>
              <w:rPr>
                <w:sz w:val="20"/>
                <w:szCs w:val="20"/>
                <w:color w:val="auto"/>
              </w:rPr>
            </w:pPr>
            <w:r>
              <w:rPr>
                <w:rFonts w:ascii="Arial" w:cs="Arial" w:eastAsia="Arial" w:hAnsi="Arial"/>
                <w:sz w:val="18"/>
                <w:szCs w:val="18"/>
                <w:color w:val="auto"/>
              </w:rPr>
              <w:t>1,199</w:t>
            </w:r>
          </w:p>
        </w:tc>
        <w:tc>
          <w:tcPr>
            <w:tcW w:w="58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440</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23</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2024</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1,327</w:t>
            </w:r>
          </w:p>
        </w:tc>
        <w:tc>
          <w:tcPr>
            <w:tcW w:w="1140" w:type="dxa"/>
            <w:vAlign w:val="bottom"/>
          </w:tcPr>
          <w:p>
            <w:pPr>
              <w:jc w:val="right"/>
              <w:spacing w:after="0"/>
              <w:rPr>
                <w:sz w:val="20"/>
                <w:szCs w:val="20"/>
                <w:color w:val="auto"/>
              </w:rPr>
            </w:pPr>
            <w:r>
              <w:rPr>
                <w:rFonts w:ascii="Arial" w:cs="Arial" w:eastAsia="Arial" w:hAnsi="Arial"/>
                <w:sz w:val="18"/>
                <w:szCs w:val="18"/>
                <w:color w:val="auto"/>
              </w:rPr>
              <w:t>1,221</w:t>
            </w:r>
          </w:p>
        </w:tc>
        <w:tc>
          <w:tcPr>
            <w:tcW w:w="58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438</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24</w:t>
            </w: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2025 - 2029</w:t>
            </w: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6,512</w:t>
            </w:r>
          </w:p>
        </w:tc>
        <w:tc>
          <w:tcPr>
            <w:tcW w:w="1140" w:type="dxa"/>
            <w:vAlign w:val="bottom"/>
          </w:tcPr>
          <w:p>
            <w:pPr>
              <w:jc w:val="right"/>
              <w:spacing w:after="0"/>
              <w:rPr>
                <w:sz w:val="20"/>
                <w:szCs w:val="20"/>
                <w:color w:val="auto"/>
              </w:rPr>
            </w:pPr>
            <w:r>
              <w:rPr>
                <w:rFonts w:ascii="Arial" w:cs="Arial" w:eastAsia="Arial" w:hAnsi="Arial"/>
                <w:sz w:val="18"/>
                <w:szCs w:val="18"/>
                <w:color w:val="auto"/>
              </w:rPr>
              <w:t>6,125</w:t>
            </w:r>
          </w:p>
        </w:tc>
        <w:tc>
          <w:tcPr>
            <w:tcW w:w="580" w:type="dxa"/>
            <w:vAlign w:val="bottom"/>
          </w:tcPr>
          <w:p>
            <w:pPr>
              <w:spacing w:after="0"/>
              <w:rPr>
                <w:sz w:val="20"/>
                <w:szCs w:val="20"/>
                <w:color w:val="auto"/>
              </w:rPr>
            </w:pPr>
          </w:p>
        </w:tc>
        <w:tc>
          <w:tcPr>
            <w:tcW w:w="1320" w:type="dxa"/>
            <w:vAlign w:val="bottom"/>
          </w:tcPr>
          <w:p>
            <w:pPr>
              <w:jc w:val="right"/>
              <w:ind w:right="354"/>
              <w:spacing w:after="0"/>
              <w:rPr>
                <w:sz w:val="20"/>
                <w:szCs w:val="20"/>
                <w:color w:val="auto"/>
              </w:rPr>
            </w:pPr>
            <w:r>
              <w:rPr>
                <w:rFonts w:ascii="Arial" w:cs="Arial" w:eastAsia="Arial" w:hAnsi="Arial"/>
                <w:sz w:val="18"/>
                <w:szCs w:val="18"/>
                <w:color w:val="auto"/>
              </w:rPr>
              <w:t>2,196</w:t>
            </w:r>
          </w:p>
        </w:tc>
        <w:tc>
          <w:tcPr>
            <w:tcW w:w="1700" w:type="dxa"/>
            <w:vAlign w:val="bottom"/>
          </w:tcPr>
          <w:p>
            <w:pPr>
              <w:jc w:val="right"/>
              <w:ind w:right="434"/>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Disclosures about Segments and Related Information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Upstream, Downstream and Chemical functions best define the operating segments of the business that are reported separately. The factors used to identify these reportable segments are based on the nature of the operations that are undertaken by each segment. The Upstream segment is organized and operates to explore for and produce crude oil and natural gas. The Downstream segment is organized and operates to manufacture and sell petroleum products. The Chemical segment is organized and operates to manufacture and sell petrochemicals. These segments are broadly understood across the petroleum and petrochemical industries.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functions have been defined as the operating segments of the Corporation because they are the segments (1) that engage in business activities from which revenues are recognized and expenses are incurred; (2) whose operating results are regularly reviewed by the Corporation’s chief operating decision maker to make decisions about resources to be allocated to the segment and to assess its performance; and (3) for which discrete financial information is available.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Earnings after income tax include transfers at estimated market prices.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Corporate and financing segment, interest revenue relates to interest earned on cash deposits and marketable securities. Interest expense includes non-debt-related interest expense of $105 million in 2019, $84 million in 2018 and $136 million in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jc w:val="center"/>
              <w:ind w:left="80"/>
              <w:spacing w:after="0"/>
              <w:rPr>
                <w:sz w:val="20"/>
                <w:szCs w:val="20"/>
                <w:color w:val="auto"/>
              </w:rPr>
            </w:pPr>
            <w:r>
              <w:rPr>
                <w:rFonts w:ascii="Arial" w:cs="Arial" w:eastAsia="Arial" w:hAnsi="Arial"/>
                <w:sz w:val="14"/>
                <w:szCs w:val="14"/>
                <w:b w:val="1"/>
                <w:bCs w:val="1"/>
                <w:color w:val="auto"/>
                <w:w w:val="95"/>
              </w:rPr>
              <w:t>Corporate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80" w:type="dxa"/>
            <w:vAlign w:val="bottom"/>
            <w:gridSpan w:val="3"/>
          </w:tcPr>
          <w:p>
            <w:pPr>
              <w:ind w:left="620"/>
              <w:spacing w:after="0"/>
              <w:rPr>
                <w:sz w:val="20"/>
                <w:szCs w:val="20"/>
                <w:color w:val="auto"/>
              </w:rPr>
            </w:pPr>
            <w:r>
              <w:rPr>
                <w:rFonts w:ascii="Arial" w:cs="Arial" w:eastAsia="Arial" w:hAnsi="Arial"/>
                <w:sz w:val="14"/>
                <w:szCs w:val="14"/>
                <w:b w:val="1"/>
                <w:bCs w:val="1"/>
                <w:color w:val="auto"/>
              </w:rPr>
              <w:t>Upstream</w:t>
            </w:r>
          </w:p>
        </w:tc>
        <w:tc>
          <w:tcPr>
            <w:tcW w:w="19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Downstream</w:t>
            </w:r>
          </w:p>
        </w:tc>
        <w:tc>
          <w:tcPr>
            <w:tcW w:w="1800" w:type="dxa"/>
            <w:vAlign w:val="bottom"/>
            <w:gridSpan w:val="2"/>
          </w:tcPr>
          <w:p>
            <w:pPr>
              <w:jc w:val="right"/>
              <w:ind w:right="539"/>
              <w:spacing w:after="0"/>
              <w:rPr>
                <w:sz w:val="20"/>
                <w:szCs w:val="20"/>
                <w:color w:val="auto"/>
              </w:rPr>
            </w:pPr>
            <w:r>
              <w:rPr>
                <w:rFonts w:ascii="Arial" w:cs="Arial" w:eastAsia="Arial" w:hAnsi="Arial"/>
                <w:sz w:val="14"/>
                <w:szCs w:val="14"/>
                <w:b w:val="1"/>
                <w:bCs w:val="1"/>
                <w:color w:val="auto"/>
              </w:rPr>
              <w:t>Chemical</w:t>
            </w:r>
          </w:p>
        </w:tc>
        <w:tc>
          <w:tcPr>
            <w:tcW w:w="1080" w:type="dxa"/>
            <w:vAlign w:val="bottom"/>
          </w:tcPr>
          <w:p>
            <w:pPr>
              <w:jc w:val="center"/>
              <w:ind w:left="80"/>
              <w:spacing w:after="0"/>
              <w:rPr>
                <w:sz w:val="20"/>
                <w:szCs w:val="20"/>
                <w:color w:val="auto"/>
              </w:rPr>
            </w:pPr>
            <w:r>
              <w:rPr>
                <w:rFonts w:ascii="Arial" w:cs="Arial" w:eastAsia="Arial" w:hAnsi="Arial"/>
                <w:sz w:val="14"/>
                <w:szCs w:val="14"/>
                <w:b w:val="1"/>
                <w:bCs w:val="1"/>
                <w:color w:val="auto"/>
                <w:w w:val="96"/>
              </w:rPr>
              <w:t>and</w:t>
            </w:r>
          </w:p>
        </w:tc>
        <w:tc>
          <w:tcPr>
            <w:tcW w:w="840" w:type="dxa"/>
            <w:vAlign w:val="bottom"/>
          </w:tcPr>
          <w:p>
            <w:pPr>
              <w:jc w:val="right"/>
              <w:ind w:right="59"/>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vMerge w:val="restart"/>
          </w:tcPr>
          <w:p>
            <w:pPr>
              <w:jc w:val="center"/>
              <w:ind w:left="60"/>
              <w:spacing w:after="0"/>
              <w:rPr>
                <w:sz w:val="20"/>
                <w:szCs w:val="20"/>
                <w:color w:val="auto"/>
              </w:rPr>
            </w:pPr>
            <w:r>
              <w:rPr>
                <w:rFonts w:ascii="Arial" w:cs="Arial" w:eastAsia="Arial" w:hAnsi="Arial"/>
                <w:sz w:val="14"/>
                <w:szCs w:val="14"/>
                <w:b w:val="1"/>
                <w:bCs w:val="1"/>
                <w:color w:val="auto"/>
                <w:w w:val="93"/>
              </w:rPr>
              <w:t>Financing</w:t>
            </w:r>
          </w:p>
        </w:tc>
        <w:tc>
          <w:tcPr>
            <w:tcW w:w="8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U.S.</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Non-U.S.</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U.S.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Non-U.S.</w:t>
            </w: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U.S.</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Non-U.S.</w:t>
            </w:r>
          </w:p>
        </w:tc>
        <w:tc>
          <w:tcPr>
            <w:tcW w:w="10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(millions of dollars)</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6"/>
                <w:szCs w:val="16"/>
                <w:color w:val="auto"/>
              </w:rPr>
              <w:t>As of December 31, 2019</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after income tax</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536</w:t>
            </w:r>
          </w:p>
        </w:tc>
        <w:tc>
          <w:tcPr>
            <w:tcW w:w="840" w:type="dxa"/>
            <w:vAlign w:val="bottom"/>
          </w:tcPr>
          <w:p>
            <w:pPr>
              <w:jc w:val="right"/>
              <w:spacing w:after="0"/>
              <w:rPr>
                <w:sz w:val="20"/>
                <w:szCs w:val="20"/>
                <w:color w:val="auto"/>
              </w:rPr>
            </w:pPr>
            <w:r>
              <w:rPr>
                <w:rFonts w:ascii="Arial" w:cs="Arial" w:eastAsia="Arial" w:hAnsi="Arial"/>
                <w:sz w:val="16"/>
                <w:szCs w:val="16"/>
                <w:color w:val="auto"/>
              </w:rPr>
              <w:t>13,906</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1,717</w:t>
            </w:r>
          </w:p>
        </w:tc>
        <w:tc>
          <w:tcPr>
            <w:tcW w:w="82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820" w:type="dxa"/>
            <w:vAlign w:val="bottom"/>
          </w:tcPr>
          <w:p>
            <w:pPr>
              <w:jc w:val="right"/>
              <w:spacing w:after="0"/>
              <w:rPr>
                <w:sz w:val="20"/>
                <w:szCs w:val="20"/>
                <w:color w:val="auto"/>
              </w:rPr>
            </w:pPr>
            <w:r>
              <w:rPr>
                <w:rFonts w:ascii="Arial" w:cs="Arial" w:eastAsia="Arial" w:hAnsi="Arial"/>
                <w:sz w:val="16"/>
                <w:szCs w:val="16"/>
                <w:color w:val="auto"/>
              </w:rPr>
              <w:t>386</w:t>
            </w:r>
          </w:p>
        </w:tc>
        <w:tc>
          <w:tcPr>
            <w:tcW w:w="1080" w:type="dxa"/>
            <w:vAlign w:val="bottom"/>
          </w:tcPr>
          <w:p>
            <w:pPr>
              <w:jc w:val="right"/>
              <w:spacing w:after="0"/>
              <w:rPr>
                <w:sz w:val="20"/>
                <w:szCs w:val="20"/>
                <w:color w:val="auto"/>
              </w:rPr>
            </w:pPr>
            <w:r>
              <w:rPr>
                <w:rFonts w:ascii="Arial" w:cs="Arial" w:eastAsia="Arial" w:hAnsi="Arial"/>
                <w:sz w:val="16"/>
                <w:szCs w:val="16"/>
                <w:color w:val="auto"/>
              </w:rPr>
              <w:t>(3,017)</w:t>
            </w:r>
          </w:p>
        </w:tc>
        <w:tc>
          <w:tcPr>
            <w:tcW w:w="840" w:type="dxa"/>
            <w:vAlign w:val="bottom"/>
          </w:tcPr>
          <w:p>
            <w:pPr>
              <w:jc w:val="right"/>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of equity companies included above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282</w:t>
            </w:r>
          </w:p>
        </w:tc>
        <w:tc>
          <w:tcPr>
            <w:tcW w:w="840" w:type="dxa"/>
            <w:vAlign w:val="bottom"/>
          </w:tcPr>
          <w:p>
            <w:pPr>
              <w:jc w:val="right"/>
              <w:spacing w:after="0"/>
              <w:rPr>
                <w:sz w:val="20"/>
                <w:szCs w:val="20"/>
                <w:color w:val="auto"/>
              </w:rPr>
            </w:pPr>
            <w:r>
              <w:rPr>
                <w:rFonts w:ascii="Arial" w:cs="Arial" w:eastAsia="Arial" w:hAnsi="Arial"/>
                <w:sz w:val="16"/>
                <w:szCs w:val="16"/>
                <w:color w:val="auto"/>
              </w:rPr>
              <w:t>4,534</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196</w:t>
            </w: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818</w:t>
            </w:r>
          </w:p>
        </w:tc>
        <w:tc>
          <w:tcPr>
            <w:tcW w:w="1080" w:type="dxa"/>
            <w:vAlign w:val="bottom"/>
          </w:tcPr>
          <w:p>
            <w:pPr>
              <w:jc w:val="right"/>
              <w:spacing w:after="0"/>
              <w:rPr>
                <w:sz w:val="20"/>
                <w:szCs w:val="20"/>
                <w:color w:val="auto"/>
              </w:rPr>
            </w:pPr>
            <w:r>
              <w:rPr>
                <w:rFonts w:ascii="Arial" w:cs="Arial" w:eastAsia="Arial" w:hAnsi="Arial"/>
                <w:sz w:val="16"/>
                <w:szCs w:val="16"/>
                <w:color w:val="auto"/>
              </w:rPr>
              <w:t>(404)</w:t>
            </w:r>
          </w:p>
        </w:tc>
        <w:tc>
          <w:tcPr>
            <w:tcW w:w="840" w:type="dxa"/>
            <w:vAlign w:val="bottom"/>
          </w:tcPr>
          <w:p>
            <w:pPr>
              <w:jc w:val="right"/>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Sales and other operating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9,364</w:t>
            </w:r>
          </w:p>
        </w:tc>
        <w:tc>
          <w:tcPr>
            <w:tcW w:w="840" w:type="dxa"/>
            <w:vAlign w:val="bottom"/>
          </w:tcPr>
          <w:p>
            <w:pPr>
              <w:jc w:val="right"/>
              <w:spacing w:after="0"/>
              <w:rPr>
                <w:sz w:val="20"/>
                <w:szCs w:val="20"/>
                <w:color w:val="auto"/>
              </w:rPr>
            </w:pPr>
            <w:r>
              <w:rPr>
                <w:rFonts w:ascii="Arial" w:cs="Arial" w:eastAsia="Arial" w:hAnsi="Arial"/>
                <w:sz w:val="16"/>
                <w:szCs w:val="16"/>
                <w:color w:val="auto"/>
              </w:rPr>
              <w:t>13,779</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70,523</w:t>
            </w:r>
          </w:p>
        </w:tc>
        <w:tc>
          <w:tcPr>
            <w:tcW w:w="820" w:type="dxa"/>
            <w:vAlign w:val="bottom"/>
          </w:tcPr>
          <w:p>
            <w:pPr>
              <w:jc w:val="right"/>
              <w:spacing w:after="0"/>
              <w:rPr>
                <w:sz w:val="20"/>
                <w:szCs w:val="20"/>
                <w:color w:val="auto"/>
              </w:rPr>
            </w:pPr>
            <w:r>
              <w:rPr>
                <w:rFonts w:ascii="Arial" w:cs="Arial" w:eastAsia="Arial" w:hAnsi="Arial"/>
                <w:sz w:val="16"/>
                <w:szCs w:val="16"/>
                <w:color w:val="auto"/>
              </w:rPr>
              <w:t>134,460</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9,723</w:t>
            </w:r>
          </w:p>
        </w:tc>
        <w:tc>
          <w:tcPr>
            <w:tcW w:w="820" w:type="dxa"/>
            <w:vAlign w:val="bottom"/>
          </w:tcPr>
          <w:p>
            <w:pPr>
              <w:jc w:val="right"/>
              <w:spacing w:after="0"/>
              <w:rPr>
                <w:sz w:val="20"/>
                <w:szCs w:val="20"/>
                <w:color w:val="auto"/>
              </w:rPr>
            </w:pPr>
            <w:r>
              <w:rPr>
                <w:rFonts w:ascii="Arial" w:cs="Arial" w:eastAsia="Arial" w:hAnsi="Arial"/>
                <w:sz w:val="16"/>
                <w:szCs w:val="16"/>
                <w:color w:val="auto"/>
              </w:rPr>
              <w:t>17,693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840" w:type="dxa"/>
            <w:vAlign w:val="bottom"/>
          </w:tcPr>
          <w:p>
            <w:pPr>
              <w:jc w:val="right"/>
              <w:spacing w:after="0"/>
              <w:rPr>
                <w:sz w:val="20"/>
                <w:szCs w:val="20"/>
                <w:color w:val="auto"/>
              </w:rPr>
            </w:pPr>
            <w:r>
              <w:rPr>
                <w:rFonts w:ascii="Arial" w:cs="Arial" w:eastAsia="Arial" w:hAnsi="Arial"/>
                <w:sz w:val="16"/>
                <w:szCs w:val="16"/>
                <w:color w:val="auto"/>
              </w:rPr>
              <w:t>255,583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Intersegment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10,893</w:t>
            </w:r>
          </w:p>
        </w:tc>
        <w:tc>
          <w:tcPr>
            <w:tcW w:w="840" w:type="dxa"/>
            <w:vAlign w:val="bottom"/>
          </w:tcPr>
          <w:p>
            <w:pPr>
              <w:jc w:val="right"/>
              <w:spacing w:after="0"/>
              <w:rPr>
                <w:sz w:val="20"/>
                <w:szCs w:val="20"/>
                <w:color w:val="auto"/>
              </w:rPr>
            </w:pPr>
            <w:r>
              <w:rPr>
                <w:rFonts w:ascii="Arial" w:cs="Arial" w:eastAsia="Arial" w:hAnsi="Arial"/>
                <w:sz w:val="16"/>
                <w:szCs w:val="16"/>
                <w:color w:val="auto"/>
              </w:rPr>
              <w:t>30,864</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22,416</w:t>
            </w:r>
          </w:p>
        </w:tc>
        <w:tc>
          <w:tcPr>
            <w:tcW w:w="820" w:type="dxa"/>
            <w:vAlign w:val="bottom"/>
          </w:tcPr>
          <w:p>
            <w:pPr>
              <w:jc w:val="right"/>
              <w:spacing w:after="0"/>
              <w:rPr>
                <w:sz w:val="20"/>
                <w:szCs w:val="20"/>
                <w:color w:val="auto"/>
              </w:rPr>
            </w:pPr>
            <w:r>
              <w:rPr>
                <w:rFonts w:ascii="Arial" w:cs="Arial" w:eastAsia="Arial" w:hAnsi="Arial"/>
                <w:sz w:val="16"/>
                <w:szCs w:val="16"/>
                <w:color w:val="auto"/>
              </w:rPr>
              <w:t>24,775</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7,864</w:t>
            </w: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Depreciation and depletion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6,162</w:t>
            </w:r>
          </w:p>
        </w:tc>
        <w:tc>
          <w:tcPr>
            <w:tcW w:w="840" w:type="dxa"/>
            <w:vAlign w:val="bottom"/>
          </w:tcPr>
          <w:p>
            <w:pPr>
              <w:jc w:val="right"/>
              <w:spacing w:after="0"/>
              <w:rPr>
                <w:sz w:val="20"/>
                <w:szCs w:val="20"/>
                <w:color w:val="auto"/>
              </w:rPr>
            </w:pPr>
            <w:r>
              <w:rPr>
                <w:rFonts w:ascii="Arial" w:cs="Arial" w:eastAsia="Arial" w:hAnsi="Arial"/>
                <w:sz w:val="16"/>
                <w:szCs w:val="16"/>
                <w:color w:val="auto"/>
              </w:rPr>
              <w:t>9,305</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674</w:t>
            </w:r>
          </w:p>
        </w:tc>
        <w:tc>
          <w:tcPr>
            <w:tcW w:w="82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555</w:t>
            </w:r>
          </w:p>
        </w:tc>
        <w:tc>
          <w:tcPr>
            <w:tcW w:w="820" w:type="dxa"/>
            <w:vAlign w:val="bottom"/>
          </w:tcPr>
          <w:p>
            <w:pPr>
              <w:jc w:val="right"/>
              <w:spacing w:after="0"/>
              <w:rPr>
                <w:sz w:val="20"/>
                <w:szCs w:val="20"/>
                <w:color w:val="auto"/>
              </w:rPr>
            </w:pPr>
            <w:r>
              <w:rPr>
                <w:rFonts w:ascii="Arial" w:cs="Arial" w:eastAsia="Arial" w:hAnsi="Arial"/>
                <w:sz w:val="16"/>
                <w:szCs w:val="16"/>
                <w:color w:val="auto"/>
              </w:rPr>
              <w:t>621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849</w:t>
            </w:r>
          </w:p>
        </w:tc>
        <w:tc>
          <w:tcPr>
            <w:tcW w:w="840" w:type="dxa"/>
            <w:vAlign w:val="bottom"/>
          </w:tcPr>
          <w:p>
            <w:pPr>
              <w:jc w:val="right"/>
              <w:spacing w:after="0"/>
              <w:rPr>
                <w:sz w:val="20"/>
                <w:szCs w:val="20"/>
                <w:color w:val="auto"/>
              </w:rPr>
            </w:pPr>
            <w:r>
              <w:rPr>
                <w:rFonts w:ascii="Arial" w:cs="Arial" w:eastAsia="Arial" w:hAnsi="Arial"/>
                <w:sz w:val="16"/>
                <w:szCs w:val="16"/>
                <w:color w:val="auto"/>
              </w:rPr>
              <w:t>18,998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84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731</w:t>
            </w:r>
          </w:p>
        </w:tc>
        <w:tc>
          <w:tcPr>
            <w:tcW w:w="84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840" w:type="dxa"/>
            <w:vAlign w:val="bottom"/>
          </w:tcPr>
          <w:p>
            <w:pPr>
              <w:jc w:val="right"/>
              <w:spacing w:after="0"/>
              <w:rPr>
                <w:sz w:val="20"/>
                <w:szCs w:val="20"/>
                <w:color w:val="auto"/>
              </w:rPr>
            </w:pPr>
            <w:r>
              <w:rPr>
                <w:rFonts w:ascii="Arial" w:cs="Arial" w:eastAsia="Arial" w:hAnsi="Arial"/>
                <w:sz w:val="16"/>
                <w:szCs w:val="16"/>
                <w:color w:val="auto"/>
              </w:rPr>
              <w:t>5,509</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465</w:t>
            </w:r>
          </w:p>
        </w:tc>
        <w:tc>
          <w:tcPr>
            <w:tcW w:w="8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1080" w:type="dxa"/>
            <w:vAlign w:val="bottom"/>
          </w:tcPr>
          <w:p>
            <w:pPr>
              <w:jc w:val="right"/>
              <w:spacing w:after="0"/>
              <w:rPr>
                <w:sz w:val="20"/>
                <w:szCs w:val="20"/>
                <w:color w:val="auto"/>
              </w:rPr>
            </w:pPr>
            <w:r>
              <w:rPr>
                <w:rFonts w:ascii="Arial" w:cs="Arial" w:eastAsia="Arial" w:hAnsi="Arial"/>
                <w:sz w:val="16"/>
                <w:szCs w:val="16"/>
                <w:color w:val="auto"/>
              </w:rPr>
              <w:t>(1,265)</w:t>
            </w:r>
          </w:p>
        </w:tc>
        <w:tc>
          <w:tcPr>
            <w:tcW w:w="840" w:type="dxa"/>
            <w:vAlign w:val="bottom"/>
          </w:tcPr>
          <w:p>
            <w:pPr>
              <w:jc w:val="right"/>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10,404</w:t>
            </w:r>
          </w:p>
        </w:tc>
        <w:tc>
          <w:tcPr>
            <w:tcW w:w="840" w:type="dxa"/>
            <w:vAlign w:val="bottom"/>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2,685</w:t>
            </w:r>
          </w:p>
        </w:tc>
        <w:tc>
          <w:tcPr>
            <w:tcW w:w="820" w:type="dxa"/>
            <w:vAlign w:val="bottom"/>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1,344</w:t>
            </w:r>
          </w:p>
        </w:tc>
        <w:tc>
          <w:tcPr>
            <w:tcW w:w="820" w:type="dxa"/>
            <w:vAlign w:val="bottom"/>
          </w:tcPr>
          <w:p>
            <w:pPr>
              <w:jc w:val="right"/>
              <w:spacing w:after="0"/>
              <w:rPr>
                <w:sz w:val="20"/>
                <w:szCs w:val="20"/>
                <w:color w:val="auto"/>
              </w:rPr>
            </w:pPr>
            <w:r>
              <w:rPr>
                <w:rFonts w:ascii="Arial" w:cs="Arial" w:eastAsia="Arial" w:hAnsi="Arial"/>
                <w:sz w:val="16"/>
                <w:szCs w:val="16"/>
                <w:color w:val="auto"/>
              </w:rPr>
              <w:t>589</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758</w:t>
            </w:r>
          </w:p>
        </w:tc>
        <w:tc>
          <w:tcPr>
            <w:tcW w:w="840" w:type="dxa"/>
            <w:vAlign w:val="bottom"/>
          </w:tcPr>
          <w:p>
            <w:pPr>
              <w:jc w:val="right"/>
              <w:spacing w:after="0"/>
              <w:rPr>
                <w:sz w:val="20"/>
                <w:szCs w:val="20"/>
                <w:color w:val="auto"/>
              </w:rPr>
            </w:pPr>
            <w:r>
              <w:rPr>
                <w:rFonts w:ascii="Arial" w:cs="Arial" w:eastAsia="Arial" w:hAnsi="Arial"/>
                <w:sz w:val="16"/>
                <w:szCs w:val="16"/>
                <w:color w:val="auto"/>
              </w:rPr>
              <w:t>24,904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Investments in equity companies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5,313</w:t>
            </w:r>
          </w:p>
        </w:tc>
        <w:tc>
          <w:tcPr>
            <w:tcW w:w="840" w:type="dxa"/>
            <w:vAlign w:val="bottom"/>
          </w:tcPr>
          <w:p>
            <w:pPr>
              <w:jc w:val="right"/>
              <w:spacing w:after="0"/>
              <w:rPr>
                <w:sz w:val="20"/>
                <w:szCs w:val="20"/>
                <w:color w:val="auto"/>
              </w:rPr>
            </w:pPr>
            <w:r>
              <w:rPr>
                <w:rFonts w:ascii="Arial" w:cs="Arial" w:eastAsia="Arial" w:hAnsi="Arial"/>
                <w:sz w:val="16"/>
                <w:szCs w:val="16"/>
                <w:color w:val="auto"/>
              </w:rPr>
              <w:t>17,736</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319</w:t>
            </w:r>
          </w:p>
        </w:tc>
        <w:tc>
          <w:tcPr>
            <w:tcW w:w="82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1,835</w:t>
            </w:r>
          </w:p>
        </w:tc>
        <w:tc>
          <w:tcPr>
            <w:tcW w:w="820" w:type="dxa"/>
            <w:vAlign w:val="bottom"/>
          </w:tcPr>
          <w:p>
            <w:pPr>
              <w:jc w:val="right"/>
              <w:spacing w:after="0"/>
              <w:rPr>
                <w:sz w:val="20"/>
                <w:szCs w:val="20"/>
                <w:color w:val="auto"/>
              </w:rPr>
            </w:pPr>
            <w:r>
              <w:rPr>
                <w:rFonts w:ascii="Arial" w:cs="Arial" w:eastAsia="Arial" w:hAnsi="Arial"/>
                <w:sz w:val="16"/>
                <w:szCs w:val="16"/>
                <w:color w:val="auto"/>
              </w:rPr>
              <w:t>3,335</w:t>
            </w:r>
          </w:p>
        </w:tc>
        <w:tc>
          <w:tcPr>
            <w:tcW w:w="1080" w:type="dxa"/>
            <w:vAlign w:val="bottom"/>
          </w:tcPr>
          <w:p>
            <w:pPr>
              <w:jc w:val="right"/>
              <w:spacing w:after="0"/>
              <w:rPr>
                <w:sz w:val="20"/>
                <w:szCs w:val="20"/>
                <w:color w:val="auto"/>
              </w:rPr>
            </w:pPr>
            <w:r>
              <w:rPr>
                <w:rFonts w:ascii="Arial" w:cs="Arial" w:eastAsia="Arial" w:hAnsi="Arial"/>
                <w:sz w:val="16"/>
                <w:szCs w:val="16"/>
                <w:color w:val="auto"/>
              </w:rPr>
              <w:t>(309)</w:t>
            </w:r>
          </w:p>
        </w:tc>
        <w:tc>
          <w:tcPr>
            <w:tcW w:w="840" w:type="dxa"/>
            <w:vAlign w:val="bottom"/>
          </w:tcPr>
          <w:p>
            <w:pPr>
              <w:jc w:val="right"/>
              <w:spacing w:after="0"/>
              <w:rPr>
                <w:sz w:val="20"/>
                <w:szCs w:val="20"/>
                <w:color w:val="auto"/>
              </w:rPr>
            </w:pPr>
            <w:r>
              <w:rPr>
                <w:rFonts w:ascii="Arial" w:cs="Arial" w:eastAsia="Arial" w:hAnsi="Arial"/>
                <w:sz w:val="16"/>
                <w:szCs w:val="16"/>
                <w:color w:val="auto"/>
              </w:rPr>
              <w:t>29,291</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95,750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151,181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23,442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37,133</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16,544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20,376</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18,171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362,597</w:t>
            </w:r>
          </w:p>
        </w:tc>
        <w:tc>
          <w:tcPr>
            <w:tcW w:w="0" w:type="dxa"/>
            <w:vAlign w:val="bottom"/>
          </w:tcPr>
          <w:p>
            <w:pPr>
              <w:spacing w:after="0"/>
              <w:rPr>
                <w:sz w:val="1"/>
                <w:szCs w:val="1"/>
                <w:color w:val="auto"/>
              </w:rPr>
            </w:pPr>
          </w:p>
        </w:tc>
      </w:tr>
      <w:tr>
        <w:trPr>
          <w:trHeight w:val="413"/>
        </w:trPr>
        <w:tc>
          <w:tcPr>
            <w:tcW w:w="3780" w:type="dxa"/>
            <w:vAlign w:val="bottom"/>
          </w:tcPr>
          <w:p>
            <w:pPr>
              <w:spacing w:after="0"/>
              <w:rPr>
                <w:sz w:val="20"/>
                <w:szCs w:val="20"/>
                <w:color w:val="auto"/>
              </w:rPr>
            </w:pPr>
            <w:r>
              <w:rPr>
                <w:rFonts w:ascii="Arial" w:cs="Arial" w:eastAsia="Arial" w:hAnsi="Arial"/>
                <w:sz w:val="16"/>
                <w:szCs w:val="16"/>
                <w:color w:val="auto"/>
              </w:rPr>
              <w:t>As of December 31, 2018</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after income tax</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1,739</w:t>
            </w:r>
          </w:p>
        </w:tc>
        <w:tc>
          <w:tcPr>
            <w:tcW w:w="840" w:type="dxa"/>
            <w:vAlign w:val="bottom"/>
          </w:tcPr>
          <w:p>
            <w:pPr>
              <w:jc w:val="right"/>
              <w:spacing w:after="0"/>
              <w:rPr>
                <w:sz w:val="20"/>
                <w:szCs w:val="20"/>
                <w:color w:val="auto"/>
              </w:rPr>
            </w:pPr>
            <w:r>
              <w:rPr>
                <w:rFonts w:ascii="Arial" w:cs="Arial" w:eastAsia="Arial" w:hAnsi="Arial"/>
                <w:sz w:val="16"/>
                <w:szCs w:val="16"/>
                <w:color w:val="auto"/>
              </w:rPr>
              <w:t>12,340</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2,962</w:t>
            </w:r>
          </w:p>
        </w:tc>
        <w:tc>
          <w:tcPr>
            <w:tcW w:w="820" w:type="dxa"/>
            <w:vAlign w:val="bottom"/>
          </w:tcPr>
          <w:p>
            <w:pPr>
              <w:jc w:val="right"/>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1,642</w:t>
            </w: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1080" w:type="dxa"/>
            <w:vAlign w:val="bottom"/>
          </w:tcPr>
          <w:p>
            <w:pPr>
              <w:jc w:val="right"/>
              <w:spacing w:after="0"/>
              <w:rPr>
                <w:sz w:val="20"/>
                <w:szCs w:val="20"/>
                <w:color w:val="auto"/>
              </w:rPr>
            </w:pPr>
            <w:r>
              <w:rPr>
                <w:rFonts w:ascii="Arial" w:cs="Arial" w:eastAsia="Arial" w:hAnsi="Arial"/>
                <w:sz w:val="16"/>
                <w:szCs w:val="16"/>
                <w:color w:val="auto"/>
              </w:rPr>
              <w:t>(2,600)</w:t>
            </w:r>
          </w:p>
        </w:tc>
        <w:tc>
          <w:tcPr>
            <w:tcW w:w="840" w:type="dxa"/>
            <w:vAlign w:val="bottom"/>
          </w:tcPr>
          <w:p>
            <w:pPr>
              <w:jc w:val="right"/>
              <w:spacing w:after="0"/>
              <w:rPr>
                <w:sz w:val="20"/>
                <w:szCs w:val="20"/>
                <w:color w:val="auto"/>
              </w:rPr>
            </w:pPr>
            <w:r>
              <w:rPr>
                <w:rFonts w:ascii="Arial" w:cs="Arial" w:eastAsia="Arial" w:hAnsi="Arial"/>
                <w:sz w:val="16"/>
                <w:szCs w:val="16"/>
                <w:color w:val="auto"/>
              </w:rPr>
              <w:t>20,840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of equity companies included above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608</w:t>
            </w:r>
          </w:p>
        </w:tc>
        <w:tc>
          <w:tcPr>
            <w:tcW w:w="840" w:type="dxa"/>
            <w:vAlign w:val="bottom"/>
          </w:tcPr>
          <w:p>
            <w:pPr>
              <w:jc w:val="right"/>
              <w:spacing w:after="0"/>
              <w:rPr>
                <w:sz w:val="20"/>
                <w:szCs w:val="20"/>
                <w:color w:val="auto"/>
              </w:rPr>
            </w:pPr>
            <w:r>
              <w:rPr>
                <w:rFonts w:ascii="Arial" w:cs="Arial" w:eastAsia="Arial" w:hAnsi="Arial"/>
                <w:sz w:val="16"/>
                <w:szCs w:val="16"/>
                <w:color w:val="auto"/>
              </w:rPr>
              <w:t>5,816</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820" w:type="dxa"/>
            <w:vAlign w:val="bottom"/>
          </w:tcPr>
          <w:p>
            <w:pPr>
              <w:jc w:val="right"/>
              <w:spacing w:after="0"/>
              <w:rPr>
                <w:sz w:val="20"/>
                <w:szCs w:val="20"/>
                <w:color w:val="auto"/>
              </w:rPr>
            </w:pPr>
            <w:r>
              <w:rPr>
                <w:rFonts w:ascii="Arial" w:cs="Arial" w:eastAsia="Arial" w:hAnsi="Arial"/>
                <w:sz w:val="16"/>
                <w:szCs w:val="16"/>
                <w:color w:val="auto"/>
              </w:rPr>
              <w:t>1,113</w:t>
            </w:r>
          </w:p>
        </w:tc>
        <w:tc>
          <w:tcPr>
            <w:tcW w:w="1080" w:type="dxa"/>
            <w:vAlign w:val="bottom"/>
          </w:tcPr>
          <w:p>
            <w:pPr>
              <w:jc w:val="right"/>
              <w:spacing w:after="0"/>
              <w:rPr>
                <w:sz w:val="20"/>
                <w:szCs w:val="20"/>
                <w:color w:val="auto"/>
              </w:rPr>
            </w:pPr>
            <w:r>
              <w:rPr>
                <w:rFonts w:ascii="Arial" w:cs="Arial" w:eastAsia="Arial" w:hAnsi="Arial"/>
                <w:sz w:val="16"/>
                <w:szCs w:val="16"/>
                <w:color w:val="auto"/>
              </w:rPr>
              <w:t>(380)</w:t>
            </w:r>
          </w:p>
        </w:tc>
        <w:tc>
          <w:tcPr>
            <w:tcW w:w="840" w:type="dxa"/>
            <w:vAlign w:val="bottom"/>
          </w:tcPr>
          <w:p>
            <w:pPr>
              <w:jc w:val="right"/>
              <w:spacing w:after="0"/>
              <w:rPr>
                <w:sz w:val="20"/>
                <w:szCs w:val="20"/>
                <w:color w:val="auto"/>
              </w:rPr>
            </w:pPr>
            <w:r>
              <w:rPr>
                <w:rFonts w:ascii="Arial" w:cs="Arial" w:eastAsia="Arial" w:hAnsi="Arial"/>
                <w:sz w:val="16"/>
                <w:szCs w:val="16"/>
                <w:color w:val="auto"/>
              </w:rPr>
              <w:t>7,355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Sales and other operating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10,359</w:t>
            </w:r>
          </w:p>
        </w:tc>
        <w:tc>
          <w:tcPr>
            <w:tcW w:w="840" w:type="dxa"/>
            <w:vAlign w:val="bottom"/>
          </w:tcPr>
          <w:p>
            <w:pPr>
              <w:jc w:val="right"/>
              <w:spacing w:after="0"/>
              <w:rPr>
                <w:sz w:val="20"/>
                <w:szCs w:val="20"/>
                <w:color w:val="auto"/>
              </w:rPr>
            </w:pPr>
            <w:r>
              <w:rPr>
                <w:rFonts w:ascii="Arial" w:cs="Arial" w:eastAsia="Arial" w:hAnsi="Arial"/>
                <w:sz w:val="16"/>
                <w:szCs w:val="16"/>
                <w:color w:val="auto"/>
              </w:rPr>
              <w:t>15,158</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74,327</w:t>
            </w:r>
          </w:p>
        </w:tc>
        <w:tc>
          <w:tcPr>
            <w:tcW w:w="820" w:type="dxa"/>
            <w:vAlign w:val="bottom"/>
          </w:tcPr>
          <w:p>
            <w:pPr>
              <w:jc w:val="right"/>
              <w:spacing w:after="0"/>
              <w:rPr>
                <w:sz w:val="20"/>
                <w:szCs w:val="20"/>
                <w:color w:val="auto"/>
              </w:rPr>
            </w:pPr>
            <w:r>
              <w:rPr>
                <w:rFonts w:ascii="Arial" w:cs="Arial" w:eastAsia="Arial" w:hAnsi="Arial"/>
                <w:sz w:val="16"/>
                <w:szCs w:val="16"/>
                <w:color w:val="auto"/>
              </w:rPr>
              <w:t>147,007</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12,239</w:t>
            </w:r>
          </w:p>
        </w:tc>
        <w:tc>
          <w:tcPr>
            <w:tcW w:w="820" w:type="dxa"/>
            <w:vAlign w:val="bottom"/>
          </w:tcPr>
          <w:p>
            <w:pPr>
              <w:jc w:val="right"/>
              <w:spacing w:after="0"/>
              <w:rPr>
                <w:sz w:val="20"/>
                <w:szCs w:val="20"/>
                <w:color w:val="auto"/>
              </w:rPr>
            </w:pPr>
            <w:r>
              <w:rPr>
                <w:rFonts w:ascii="Arial" w:cs="Arial" w:eastAsia="Arial" w:hAnsi="Arial"/>
                <w:sz w:val="16"/>
                <w:szCs w:val="16"/>
                <w:color w:val="auto"/>
              </w:rPr>
              <w:t>20,204</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840" w:type="dxa"/>
            <w:vAlign w:val="bottom"/>
          </w:tcPr>
          <w:p>
            <w:pPr>
              <w:jc w:val="right"/>
              <w:spacing w:after="0"/>
              <w:rPr>
                <w:sz w:val="20"/>
                <w:szCs w:val="20"/>
                <w:color w:val="auto"/>
              </w:rPr>
            </w:pPr>
            <w:r>
              <w:rPr>
                <w:rFonts w:ascii="Arial" w:cs="Arial" w:eastAsia="Arial" w:hAnsi="Arial"/>
                <w:sz w:val="16"/>
                <w:szCs w:val="16"/>
                <w:color w:val="auto"/>
              </w:rPr>
              <w:t>279,332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Intersegment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8,683</w:t>
            </w:r>
          </w:p>
        </w:tc>
        <w:tc>
          <w:tcPr>
            <w:tcW w:w="840" w:type="dxa"/>
            <w:vAlign w:val="bottom"/>
          </w:tcPr>
          <w:p>
            <w:pPr>
              <w:jc w:val="right"/>
              <w:spacing w:after="0"/>
              <w:rPr>
                <w:sz w:val="20"/>
                <w:szCs w:val="20"/>
                <w:color w:val="auto"/>
              </w:rPr>
            </w:pPr>
            <w:r>
              <w:rPr>
                <w:rFonts w:ascii="Arial" w:cs="Arial" w:eastAsia="Arial" w:hAnsi="Arial"/>
                <w:sz w:val="16"/>
                <w:szCs w:val="16"/>
                <w:color w:val="auto"/>
              </w:rPr>
              <w:t>29,659</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21,954</w:t>
            </w:r>
          </w:p>
        </w:tc>
        <w:tc>
          <w:tcPr>
            <w:tcW w:w="820" w:type="dxa"/>
            <w:vAlign w:val="bottom"/>
          </w:tcPr>
          <w:p>
            <w:pPr>
              <w:jc w:val="right"/>
              <w:spacing w:after="0"/>
              <w:rPr>
                <w:sz w:val="20"/>
                <w:szCs w:val="20"/>
                <w:color w:val="auto"/>
              </w:rPr>
            </w:pPr>
            <w:r>
              <w:rPr>
                <w:rFonts w:ascii="Arial" w:cs="Arial" w:eastAsia="Arial" w:hAnsi="Arial"/>
                <w:sz w:val="16"/>
                <w:szCs w:val="16"/>
                <w:color w:val="auto"/>
              </w:rPr>
              <w:t>29,888</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9,044</w:t>
            </w:r>
          </w:p>
        </w:tc>
        <w:tc>
          <w:tcPr>
            <w:tcW w:w="820" w:type="dxa"/>
            <w:vAlign w:val="bottom"/>
          </w:tcPr>
          <w:p>
            <w:pPr>
              <w:jc w:val="right"/>
              <w:spacing w:after="0"/>
              <w:rPr>
                <w:sz w:val="20"/>
                <w:szCs w:val="20"/>
                <w:color w:val="auto"/>
              </w:rPr>
            </w:pPr>
            <w:r>
              <w:rPr>
                <w:rFonts w:ascii="Arial" w:cs="Arial" w:eastAsia="Arial" w:hAnsi="Arial"/>
                <w:sz w:val="16"/>
                <w:szCs w:val="16"/>
                <w:color w:val="auto"/>
              </w:rPr>
              <w:t>7,217</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Depreciation and depletion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6,024</w:t>
            </w:r>
          </w:p>
        </w:tc>
        <w:tc>
          <w:tcPr>
            <w:tcW w:w="840" w:type="dxa"/>
            <w:vAlign w:val="bottom"/>
          </w:tcPr>
          <w:p>
            <w:pPr>
              <w:jc w:val="right"/>
              <w:spacing w:after="0"/>
              <w:rPr>
                <w:sz w:val="20"/>
                <w:szCs w:val="20"/>
                <w:color w:val="auto"/>
              </w:rPr>
            </w:pPr>
            <w:r>
              <w:rPr>
                <w:rFonts w:ascii="Arial" w:cs="Arial" w:eastAsia="Arial" w:hAnsi="Arial"/>
                <w:sz w:val="16"/>
                <w:szCs w:val="16"/>
                <w:color w:val="auto"/>
              </w:rPr>
              <w:t>9,257</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684</w:t>
            </w:r>
          </w:p>
        </w:tc>
        <w:tc>
          <w:tcPr>
            <w:tcW w:w="82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405</w:t>
            </w:r>
          </w:p>
        </w:tc>
        <w:tc>
          <w:tcPr>
            <w:tcW w:w="820" w:type="dxa"/>
            <w:vAlign w:val="bottom"/>
          </w:tcPr>
          <w:p>
            <w:pPr>
              <w:jc w:val="right"/>
              <w:spacing w:after="0"/>
              <w:rPr>
                <w:sz w:val="20"/>
                <w:szCs w:val="20"/>
                <w:color w:val="auto"/>
              </w:rPr>
            </w:pPr>
            <w:r>
              <w:rPr>
                <w:rFonts w:ascii="Arial" w:cs="Arial" w:eastAsia="Arial" w:hAnsi="Arial"/>
                <w:sz w:val="16"/>
                <w:szCs w:val="16"/>
                <w:color w:val="auto"/>
              </w:rPr>
              <w:t>606</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879</w:t>
            </w:r>
          </w:p>
        </w:tc>
        <w:tc>
          <w:tcPr>
            <w:tcW w:w="840" w:type="dxa"/>
            <w:vAlign w:val="bottom"/>
          </w:tcPr>
          <w:p>
            <w:pPr>
              <w:jc w:val="right"/>
              <w:spacing w:after="0"/>
              <w:rPr>
                <w:sz w:val="20"/>
                <w:szCs w:val="20"/>
                <w:color w:val="auto"/>
              </w:rPr>
            </w:pPr>
            <w:r>
              <w:rPr>
                <w:rFonts w:ascii="Arial" w:cs="Arial" w:eastAsia="Arial" w:hAnsi="Arial"/>
                <w:sz w:val="16"/>
                <w:szCs w:val="16"/>
                <w:color w:val="auto"/>
              </w:rPr>
              <w:t>18,745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643</w:t>
            </w:r>
          </w:p>
        </w:tc>
        <w:tc>
          <w:tcPr>
            <w:tcW w:w="8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840" w:type="dxa"/>
            <w:vAlign w:val="bottom"/>
          </w:tcPr>
          <w:p>
            <w:pPr>
              <w:jc w:val="right"/>
              <w:spacing w:after="0"/>
              <w:rPr>
                <w:sz w:val="20"/>
                <w:szCs w:val="20"/>
                <w:color w:val="auto"/>
              </w:rPr>
            </w:pPr>
            <w:r>
              <w:rPr>
                <w:rFonts w:ascii="Arial" w:cs="Arial" w:eastAsia="Arial" w:hAnsi="Arial"/>
                <w:sz w:val="16"/>
                <w:szCs w:val="16"/>
                <w:color w:val="auto"/>
              </w:rPr>
              <w:t>8,149</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946</w:t>
            </w:r>
          </w:p>
        </w:tc>
        <w:tc>
          <w:tcPr>
            <w:tcW w:w="82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566</w:t>
            </w:r>
          </w:p>
        </w:tc>
        <w:tc>
          <w:tcPr>
            <w:tcW w:w="820" w:type="dxa"/>
            <w:vAlign w:val="bottom"/>
          </w:tcPr>
          <w:p>
            <w:pPr>
              <w:jc w:val="right"/>
              <w:spacing w:after="0"/>
              <w:rPr>
                <w:sz w:val="20"/>
                <w:szCs w:val="20"/>
                <w:color w:val="auto"/>
              </w:rPr>
            </w:pPr>
            <w:r>
              <w:rPr>
                <w:rFonts w:ascii="Arial" w:cs="Arial" w:eastAsia="Arial" w:hAnsi="Arial"/>
                <w:sz w:val="16"/>
                <w:szCs w:val="16"/>
                <w:color w:val="auto"/>
              </w:rPr>
              <w:t>245</w:t>
            </w:r>
          </w:p>
        </w:tc>
        <w:tc>
          <w:tcPr>
            <w:tcW w:w="1080" w:type="dxa"/>
            <w:vAlign w:val="bottom"/>
          </w:tcPr>
          <w:p>
            <w:pPr>
              <w:jc w:val="right"/>
              <w:spacing w:after="0"/>
              <w:rPr>
                <w:sz w:val="20"/>
                <w:szCs w:val="20"/>
                <w:color w:val="auto"/>
              </w:rPr>
            </w:pPr>
            <w:r>
              <w:rPr>
                <w:rFonts w:ascii="Arial" w:cs="Arial" w:eastAsia="Arial" w:hAnsi="Arial"/>
                <w:sz w:val="16"/>
                <w:szCs w:val="16"/>
                <w:color w:val="auto"/>
              </w:rPr>
              <w:t>(1,486)</w:t>
            </w:r>
          </w:p>
        </w:tc>
        <w:tc>
          <w:tcPr>
            <w:tcW w:w="840" w:type="dxa"/>
            <w:vAlign w:val="bottom"/>
          </w:tcPr>
          <w:p>
            <w:pPr>
              <w:jc w:val="right"/>
              <w:spacing w:after="0"/>
              <w:rPr>
                <w:sz w:val="20"/>
                <w:szCs w:val="20"/>
                <w:color w:val="auto"/>
              </w:rPr>
            </w:pPr>
            <w:r>
              <w:rPr>
                <w:rFonts w:ascii="Arial" w:cs="Arial" w:eastAsia="Arial" w:hAnsi="Arial"/>
                <w:sz w:val="16"/>
                <w:szCs w:val="16"/>
                <w:color w:val="auto"/>
              </w:rPr>
              <w:t>9,532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7,119</w:t>
            </w:r>
          </w:p>
        </w:tc>
        <w:tc>
          <w:tcPr>
            <w:tcW w:w="840" w:type="dxa"/>
            <w:vAlign w:val="bottom"/>
          </w:tcPr>
          <w:p>
            <w:pPr>
              <w:jc w:val="right"/>
              <w:spacing w:after="0"/>
              <w:rPr>
                <w:sz w:val="20"/>
                <w:szCs w:val="20"/>
                <w:color w:val="auto"/>
              </w:rPr>
            </w:pPr>
            <w:r>
              <w:rPr>
                <w:rFonts w:ascii="Arial" w:cs="Arial" w:eastAsia="Arial" w:hAnsi="Arial"/>
                <w:sz w:val="16"/>
                <w:szCs w:val="16"/>
                <w:color w:val="auto"/>
              </w:rPr>
              <w:t>7,974</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1,152</w:t>
            </w:r>
          </w:p>
        </w:tc>
        <w:tc>
          <w:tcPr>
            <w:tcW w:w="820" w:type="dxa"/>
            <w:vAlign w:val="bottom"/>
          </w:tcPr>
          <w:p>
            <w:pPr>
              <w:jc w:val="right"/>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1,146</w:t>
            </w:r>
          </w:p>
        </w:tc>
        <w:tc>
          <w:tcPr>
            <w:tcW w:w="820" w:type="dxa"/>
            <w:vAlign w:val="bottom"/>
          </w:tcPr>
          <w:p>
            <w:pPr>
              <w:jc w:val="right"/>
              <w:spacing w:after="0"/>
              <w:rPr>
                <w:sz w:val="20"/>
                <w:szCs w:val="20"/>
                <w:color w:val="auto"/>
              </w:rPr>
            </w:pPr>
            <w:r>
              <w:rPr>
                <w:rFonts w:ascii="Arial" w:cs="Arial" w:eastAsia="Arial" w:hAnsi="Arial"/>
                <w:sz w:val="16"/>
                <w:szCs w:val="16"/>
                <w:color w:val="auto"/>
              </w:rPr>
              <w:t>348</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840" w:type="dxa"/>
            <w:vAlign w:val="bottom"/>
          </w:tcPr>
          <w:p>
            <w:pPr>
              <w:jc w:val="right"/>
              <w:spacing w:after="0"/>
              <w:rPr>
                <w:sz w:val="20"/>
                <w:szCs w:val="20"/>
                <w:color w:val="auto"/>
              </w:rPr>
            </w:pPr>
            <w:r>
              <w:rPr>
                <w:rFonts w:ascii="Arial" w:cs="Arial" w:eastAsia="Arial" w:hAnsi="Arial"/>
                <w:sz w:val="16"/>
                <w:szCs w:val="16"/>
                <w:color w:val="auto"/>
              </w:rPr>
              <w:t>20,051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Investments in equity companies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4,566</w:t>
            </w:r>
          </w:p>
        </w:tc>
        <w:tc>
          <w:tcPr>
            <w:tcW w:w="840" w:type="dxa"/>
            <w:vAlign w:val="bottom"/>
          </w:tcPr>
          <w:p>
            <w:pPr>
              <w:jc w:val="right"/>
              <w:spacing w:after="0"/>
              <w:rPr>
                <w:sz w:val="20"/>
                <w:szCs w:val="20"/>
                <w:color w:val="auto"/>
              </w:rPr>
            </w:pPr>
            <w:r>
              <w:rPr>
                <w:rFonts w:ascii="Arial" w:cs="Arial" w:eastAsia="Arial" w:hAnsi="Arial"/>
                <w:sz w:val="16"/>
                <w:szCs w:val="16"/>
                <w:color w:val="auto"/>
              </w:rPr>
              <w:t>16,337</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293</w:t>
            </w:r>
          </w:p>
        </w:tc>
        <w:tc>
          <w:tcPr>
            <w:tcW w:w="820" w:type="dxa"/>
            <w:vAlign w:val="bottom"/>
          </w:tcPr>
          <w:p>
            <w:pPr>
              <w:jc w:val="right"/>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870</w:t>
            </w:r>
          </w:p>
        </w:tc>
        <w:tc>
          <w:tcPr>
            <w:tcW w:w="820" w:type="dxa"/>
            <w:vAlign w:val="bottom"/>
          </w:tcPr>
          <w:p>
            <w:pPr>
              <w:jc w:val="right"/>
              <w:spacing w:after="0"/>
              <w:rPr>
                <w:sz w:val="20"/>
                <w:szCs w:val="20"/>
                <w:color w:val="auto"/>
              </w:rPr>
            </w:pPr>
            <w:r>
              <w:rPr>
                <w:rFonts w:ascii="Arial" w:cs="Arial" w:eastAsia="Arial" w:hAnsi="Arial"/>
                <w:sz w:val="16"/>
                <w:szCs w:val="16"/>
                <w:color w:val="auto"/>
              </w:rPr>
              <w:t>3,431</w:t>
            </w:r>
          </w:p>
        </w:tc>
        <w:tc>
          <w:tcPr>
            <w:tcW w:w="1080" w:type="dxa"/>
            <w:vAlign w:val="bottom"/>
          </w:tcPr>
          <w:p>
            <w:pPr>
              <w:jc w:val="right"/>
              <w:spacing w:after="0"/>
              <w:rPr>
                <w:sz w:val="20"/>
                <w:szCs w:val="20"/>
                <w:color w:val="auto"/>
              </w:rPr>
            </w:pPr>
            <w:r>
              <w:rPr>
                <w:rFonts w:ascii="Arial" w:cs="Arial" w:eastAsia="Arial" w:hAnsi="Arial"/>
                <w:sz w:val="16"/>
                <w:szCs w:val="16"/>
                <w:color w:val="auto"/>
              </w:rPr>
              <w:t>(277)</w:t>
            </w:r>
          </w:p>
        </w:tc>
        <w:tc>
          <w:tcPr>
            <w:tcW w:w="840" w:type="dxa"/>
            <w:vAlign w:val="bottom"/>
          </w:tcPr>
          <w:p>
            <w:pPr>
              <w:jc w:val="right"/>
              <w:spacing w:after="0"/>
              <w:rPr>
                <w:sz w:val="20"/>
                <w:szCs w:val="20"/>
                <w:color w:val="auto"/>
              </w:rPr>
            </w:pPr>
            <w:r>
              <w:rPr>
                <w:rFonts w:ascii="Arial" w:cs="Arial" w:eastAsia="Arial" w:hAnsi="Arial"/>
                <w:sz w:val="16"/>
                <w:szCs w:val="16"/>
                <w:color w:val="auto"/>
              </w:rPr>
              <w:t>26,382</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90,310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148,914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34,024</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14,904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21,131</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346,196</w:t>
            </w:r>
          </w:p>
        </w:tc>
        <w:tc>
          <w:tcPr>
            <w:tcW w:w="0" w:type="dxa"/>
            <w:vAlign w:val="bottom"/>
          </w:tcPr>
          <w:p>
            <w:pPr>
              <w:spacing w:after="0"/>
              <w:rPr>
                <w:sz w:val="1"/>
                <w:szCs w:val="1"/>
                <w:color w:val="auto"/>
              </w:rPr>
            </w:pPr>
          </w:p>
        </w:tc>
      </w:tr>
      <w:tr>
        <w:trPr>
          <w:trHeight w:val="413"/>
        </w:trPr>
        <w:tc>
          <w:tcPr>
            <w:tcW w:w="3780" w:type="dxa"/>
            <w:vAlign w:val="bottom"/>
          </w:tcPr>
          <w:p>
            <w:pPr>
              <w:spacing w:after="0"/>
              <w:rPr>
                <w:sz w:val="20"/>
                <w:szCs w:val="20"/>
                <w:color w:val="auto"/>
              </w:rPr>
            </w:pPr>
            <w:r>
              <w:rPr>
                <w:rFonts w:ascii="Arial" w:cs="Arial" w:eastAsia="Arial" w:hAnsi="Arial"/>
                <w:sz w:val="16"/>
                <w:szCs w:val="16"/>
                <w:color w:val="auto"/>
              </w:rPr>
              <w:t>As of December 31, 2017</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after income tax</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6,622</w:t>
            </w:r>
          </w:p>
        </w:tc>
        <w:tc>
          <w:tcPr>
            <w:tcW w:w="840" w:type="dxa"/>
            <w:vAlign w:val="bottom"/>
          </w:tcPr>
          <w:p>
            <w:pPr>
              <w:jc w:val="right"/>
              <w:spacing w:after="0"/>
              <w:rPr>
                <w:sz w:val="20"/>
                <w:szCs w:val="20"/>
                <w:color w:val="auto"/>
              </w:rPr>
            </w:pPr>
            <w:r>
              <w:rPr>
                <w:rFonts w:ascii="Arial" w:cs="Arial" w:eastAsia="Arial" w:hAnsi="Arial"/>
                <w:sz w:val="16"/>
                <w:szCs w:val="16"/>
                <w:color w:val="auto"/>
              </w:rPr>
              <w:t>6,733</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1,948</w:t>
            </w:r>
          </w:p>
        </w:tc>
        <w:tc>
          <w:tcPr>
            <w:tcW w:w="820" w:type="dxa"/>
            <w:vAlign w:val="bottom"/>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2,190</w:t>
            </w:r>
          </w:p>
        </w:tc>
        <w:tc>
          <w:tcPr>
            <w:tcW w:w="820" w:type="dxa"/>
            <w:vAlign w:val="bottom"/>
          </w:tcPr>
          <w:p>
            <w:pPr>
              <w:jc w:val="right"/>
              <w:spacing w:after="0"/>
              <w:rPr>
                <w:sz w:val="20"/>
                <w:szCs w:val="20"/>
                <w:color w:val="auto"/>
              </w:rPr>
            </w:pPr>
            <w:r>
              <w:rPr>
                <w:rFonts w:ascii="Arial" w:cs="Arial" w:eastAsia="Arial" w:hAnsi="Arial"/>
                <w:sz w:val="16"/>
                <w:szCs w:val="16"/>
                <w:color w:val="auto"/>
              </w:rPr>
              <w:t>2,328</w:t>
            </w:r>
          </w:p>
        </w:tc>
        <w:tc>
          <w:tcPr>
            <w:tcW w:w="1080" w:type="dxa"/>
            <w:vAlign w:val="bottom"/>
          </w:tcPr>
          <w:p>
            <w:pPr>
              <w:jc w:val="right"/>
              <w:spacing w:after="0"/>
              <w:rPr>
                <w:sz w:val="20"/>
                <w:szCs w:val="20"/>
                <w:color w:val="auto"/>
              </w:rPr>
            </w:pPr>
            <w:r>
              <w:rPr>
                <w:rFonts w:ascii="Arial" w:cs="Arial" w:eastAsia="Arial" w:hAnsi="Arial"/>
                <w:sz w:val="16"/>
                <w:szCs w:val="16"/>
                <w:color w:val="auto"/>
              </w:rPr>
              <w:t>(3,760)</w:t>
            </w:r>
          </w:p>
        </w:tc>
        <w:tc>
          <w:tcPr>
            <w:tcW w:w="840" w:type="dxa"/>
            <w:vAlign w:val="bottom"/>
          </w:tcPr>
          <w:p>
            <w:pPr>
              <w:jc w:val="right"/>
              <w:spacing w:after="0"/>
              <w:rPr>
                <w:sz w:val="20"/>
                <w:szCs w:val="20"/>
                <w:color w:val="auto"/>
              </w:rPr>
            </w:pPr>
            <w:r>
              <w:rPr>
                <w:rFonts w:ascii="Arial" w:cs="Arial" w:eastAsia="Arial" w:hAnsi="Arial"/>
                <w:sz w:val="16"/>
                <w:szCs w:val="16"/>
                <w:color w:val="auto"/>
              </w:rPr>
              <w:t>19,710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Earnings of equity companies included above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216</w:t>
            </w:r>
          </w:p>
        </w:tc>
        <w:tc>
          <w:tcPr>
            <w:tcW w:w="840" w:type="dxa"/>
            <w:vAlign w:val="bottom"/>
          </w:tcPr>
          <w:p>
            <w:pPr>
              <w:jc w:val="right"/>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82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820" w:type="dxa"/>
            <w:vAlign w:val="bottom"/>
          </w:tcPr>
          <w:p>
            <w:pPr>
              <w:jc w:val="right"/>
              <w:spacing w:after="0"/>
              <w:rPr>
                <w:sz w:val="20"/>
                <w:szCs w:val="20"/>
                <w:color w:val="auto"/>
              </w:rPr>
            </w:pPr>
            <w:r>
              <w:rPr>
                <w:rFonts w:ascii="Arial" w:cs="Arial" w:eastAsia="Arial" w:hAnsi="Arial"/>
                <w:sz w:val="16"/>
                <w:szCs w:val="16"/>
                <w:color w:val="auto"/>
              </w:rPr>
              <w:t>1,217</w:t>
            </w: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c>
          <w:tcPr>
            <w:tcW w:w="840" w:type="dxa"/>
            <w:vAlign w:val="bottom"/>
          </w:tcPr>
          <w:p>
            <w:pPr>
              <w:jc w:val="right"/>
              <w:spacing w:after="0"/>
              <w:rPr>
                <w:sz w:val="20"/>
                <w:szCs w:val="20"/>
                <w:color w:val="auto"/>
              </w:rPr>
            </w:pPr>
            <w:r>
              <w:rPr>
                <w:rFonts w:ascii="Arial" w:cs="Arial" w:eastAsia="Arial" w:hAnsi="Arial"/>
                <w:sz w:val="16"/>
                <w:szCs w:val="16"/>
                <w:color w:val="auto"/>
              </w:rPr>
              <w:t>5,380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Sales and other operating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9,349</w:t>
            </w:r>
          </w:p>
        </w:tc>
        <w:tc>
          <w:tcPr>
            <w:tcW w:w="840" w:type="dxa"/>
            <w:vAlign w:val="bottom"/>
          </w:tcPr>
          <w:p>
            <w:pPr>
              <w:jc w:val="right"/>
              <w:spacing w:after="0"/>
              <w:rPr>
                <w:sz w:val="20"/>
                <w:szCs w:val="20"/>
                <w:color w:val="auto"/>
              </w:rPr>
            </w:pPr>
            <w:r>
              <w:rPr>
                <w:rFonts w:ascii="Arial" w:cs="Arial" w:eastAsia="Arial" w:hAnsi="Arial"/>
                <w:sz w:val="16"/>
                <w:szCs w:val="16"/>
                <w:color w:val="auto"/>
              </w:rPr>
              <w:t>14,508</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61,695</w:t>
            </w:r>
          </w:p>
        </w:tc>
        <w:tc>
          <w:tcPr>
            <w:tcW w:w="820" w:type="dxa"/>
            <w:vAlign w:val="bottom"/>
          </w:tcPr>
          <w:p>
            <w:pPr>
              <w:jc w:val="right"/>
              <w:spacing w:after="0"/>
              <w:rPr>
                <w:sz w:val="20"/>
                <w:szCs w:val="20"/>
                <w:color w:val="auto"/>
              </w:rPr>
            </w:pPr>
            <w:r>
              <w:rPr>
                <w:rFonts w:ascii="Arial" w:cs="Arial" w:eastAsia="Arial" w:hAnsi="Arial"/>
                <w:sz w:val="16"/>
                <w:szCs w:val="16"/>
                <w:color w:val="auto"/>
              </w:rPr>
              <w:t>122,881</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11,035</w:t>
            </w:r>
          </w:p>
        </w:tc>
        <w:tc>
          <w:tcPr>
            <w:tcW w:w="820" w:type="dxa"/>
            <w:vAlign w:val="bottom"/>
          </w:tcPr>
          <w:p>
            <w:pPr>
              <w:jc w:val="right"/>
              <w:spacing w:after="0"/>
              <w:rPr>
                <w:sz w:val="20"/>
                <w:szCs w:val="20"/>
                <w:color w:val="auto"/>
              </w:rPr>
            </w:pPr>
            <w:r>
              <w:rPr>
                <w:rFonts w:ascii="Arial" w:cs="Arial" w:eastAsia="Arial" w:hAnsi="Arial"/>
                <w:sz w:val="16"/>
                <w:szCs w:val="16"/>
                <w:color w:val="auto"/>
              </w:rPr>
              <w:t>17,659</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840" w:type="dxa"/>
            <w:vAlign w:val="bottom"/>
          </w:tcPr>
          <w:p>
            <w:pPr>
              <w:jc w:val="right"/>
              <w:spacing w:after="0"/>
              <w:rPr>
                <w:sz w:val="20"/>
                <w:szCs w:val="20"/>
                <w:color w:val="auto"/>
              </w:rPr>
            </w:pPr>
            <w:r>
              <w:rPr>
                <w:rFonts w:ascii="Arial" w:cs="Arial" w:eastAsia="Arial" w:hAnsi="Arial"/>
                <w:sz w:val="16"/>
                <w:szCs w:val="16"/>
                <w:color w:val="auto"/>
              </w:rPr>
              <w:t>237,162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Intersegment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5,729</w:t>
            </w:r>
          </w:p>
        </w:tc>
        <w:tc>
          <w:tcPr>
            <w:tcW w:w="840" w:type="dxa"/>
            <w:vAlign w:val="bottom"/>
          </w:tcPr>
          <w:p>
            <w:pPr>
              <w:jc w:val="right"/>
              <w:spacing w:after="0"/>
              <w:rPr>
                <w:sz w:val="20"/>
                <w:szCs w:val="20"/>
                <w:color w:val="auto"/>
              </w:rPr>
            </w:pPr>
            <w:r>
              <w:rPr>
                <w:rFonts w:ascii="Arial" w:cs="Arial" w:eastAsia="Arial" w:hAnsi="Arial"/>
                <w:sz w:val="16"/>
                <w:szCs w:val="16"/>
                <w:color w:val="auto"/>
              </w:rPr>
              <w:t>22,935</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14,857</w:t>
            </w:r>
          </w:p>
        </w:tc>
        <w:tc>
          <w:tcPr>
            <w:tcW w:w="820" w:type="dxa"/>
            <w:vAlign w:val="bottom"/>
          </w:tcPr>
          <w:p>
            <w:pPr>
              <w:jc w:val="right"/>
              <w:spacing w:after="0"/>
              <w:rPr>
                <w:sz w:val="20"/>
                <w:szCs w:val="20"/>
                <w:color w:val="auto"/>
              </w:rPr>
            </w:pPr>
            <w:r>
              <w:rPr>
                <w:rFonts w:ascii="Arial" w:cs="Arial" w:eastAsia="Arial" w:hAnsi="Arial"/>
                <w:sz w:val="16"/>
                <w:szCs w:val="16"/>
                <w:color w:val="auto"/>
              </w:rPr>
              <w:t>22,263</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7,270</w:t>
            </w:r>
          </w:p>
        </w:tc>
        <w:tc>
          <w:tcPr>
            <w:tcW w:w="820" w:type="dxa"/>
            <w:vAlign w:val="bottom"/>
          </w:tcPr>
          <w:p>
            <w:pPr>
              <w:jc w:val="right"/>
              <w:spacing w:after="0"/>
              <w:rPr>
                <w:sz w:val="20"/>
                <w:szCs w:val="20"/>
                <w:color w:val="auto"/>
              </w:rPr>
            </w:pPr>
            <w:r>
              <w:rPr>
                <w:rFonts w:ascii="Arial" w:cs="Arial" w:eastAsia="Arial" w:hAnsi="Arial"/>
                <w:sz w:val="16"/>
                <w:szCs w:val="16"/>
                <w:color w:val="auto"/>
              </w:rPr>
              <w:t>5,550</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208</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Depreciation and depletion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6,963</w:t>
            </w:r>
          </w:p>
        </w:tc>
        <w:tc>
          <w:tcPr>
            <w:tcW w:w="840" w:type="dxa"/>
            <w:vAlign w:val="bottom"/>
          </w:tcPr>
          <w:p>
            <w:pPr>
              <w:jc w:val="right"/>
              <w:spacing w:after="0"/>
              <w:rPr>
                <w:sz w:val="20"/>
                <w:szCs w:val="20"/>
                <w:color w:val="auto"/>
              </w:rPr>
            </w:pPr>
            <w:r>
              <w:rPr>
                <w:rFonts w:ascii="Arial" w:cs="Arial" w:eastAsia="Arial" w:hAnsi="Arial"/>
                <w:sz w:val="16"/>
                <w:szCs w:val="16"/>
                <w:color w:val="auto"/>
              </w:rPr>
              <w:t>9,741</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658</w:t>
            </w:r>
          </w:p>
        </w:tc>
        <w:tc>
          <w:tcPr>
            <w:tcW w:w="82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299</w:t>
            </w:r>
          </w:p>
        </w:tc>
        <w:tc>
          <w:tcPr>
            <w:tcW w:w="820" w:type="dxa"/>
            <w:vAlign w:val="bottom"/>
          </w:tcPr>
          <w:p>
            <w:pPr>
              <w:jc w:val="right"/>
              <w:spacing w:after="0"/>
              <w:rPr>
                <w:sz w:val="20"/>
                <w:szCs w:val="20"/>
                <w:color w:val="auto"/>
              </w:rPr>
            </w:pPr>
            <w:r>
              <w:rPr>
                <w:rFonts w:ascii="Arial" w:cs="Arial" w:eastAsia="Arial" w:hAnsi="Arial"/>
                <w:sz w:val="16"/>
                <w:szCs w:val="16"/>
                <w:color w:val="auto"/>
              </w:rPr>
              <w:t>504</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845</w:t>
            </w:r>
          </w:p>
        </w:tc>
        <w:tc>
          <w:tcPr>
            <w:tcW w:w="840" w:type="dxa"/>
            <w:vAlign w:val="bottom"/>
          </w:tcPr>
          <w:p>
            <w:pPr>
              <w:jc w:val="right"/>
              <w:spacing w:after="0"/>
              <w:rPr>
                <w:sz w:val="20"/>
                <w:szCs w:val="20"/>
                <w:color w:val="auto"/>
              </w:rPr>
            </w:pPr>
            <w:r>
              <w:rPr>
                <w:rFonts w:ascii="Arial" w:cs="Arial" w:eastAsia="Arial" w:hAnsi="Arial"/>
                <w:sz w:val="16"/>
                <w:szCs w:val="16"/>
                <w:color w:val="auto"/>
              </w:rPr>
              <w:t>19,893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revenue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87</w:t>
            </w: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840" w:type="dxa"/>
            <w:vAlign w:val="bottom"/>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(8,552)</w:t>
            </w:r>
          </w:p>
        </w:tc>
        <w:tc>
          <w:tcPr>
            <w:tcW w:w="840" w:type="dxa"/>
            <w:vAlign w:val="bottom"/>
          </w:tcPr>
          <w:p>
            <w:pPr>
              <w:jc w:val="right"/>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82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362</w:t>
            </w:r>
          </w:p>
        </w:tc>
        <w:tc>
          <w:tcPr>
            <w:tcW w:w="820" w:type="dxa"/>
            <w:vAlign w:val="bottom"/>
          </w:tcPr>
          <w:p>
            <w:pPr>
              <w:jc w:val="right"/>
              <w:spacing w:after="0"/>
              <w:rPr>
                <w:sz w:val="20"/>
                <w:szCs w:val="20"/>
                <w:color w:val="auto"/>
              </w:rPr>
            </w:pPr>
            <w:r>
              <w:rPr>
                <w:rFonts w:ascii="Arial" w:cs="Arial" w:eastAsia="Arial" w:hAnsi="Arial"/>
                <w:sz w:val="16"/>
                <w:szCs w:val="16"/>
                <w:color w:val="auto"/>
              </w:rPr>
              <w:t>664</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840" w:type="dxa"/>
            <w:vAlign w:val="bottom"/>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6"/>
                <w:szCs w:val="16"/>
                <w:i w:val="1"/>
                <w:iCs w:val="1"/>
                <w:color w:val="auto"/>
              </w:rPr>
              <w:t>Effect of U.S. tax reform - noncash</w:t>
            </w:r>
          </w:p>
        </w:tc>
        <w:tc>
          <w:tcPr>
            <w:tcW w:w="1020" w:type="dxa"/>
            <w:vAlign w:val="bottom"/>
          </w:tcPr>
          <w:p>
            <w:pPr>
              <w:jc w:val="right"/>
              <w:ind w:right="19"/>
              <w:spacing w:after="0"/>
              <w:rPr>
                <w:sz w:val="20"/>
                <w:szCs w:val="20"/>
                <w:color w:val="auto"/>
              </w:rPr>
            </w:pPr>
            <w:r>
              <w:rPr>
                <w:rFonts w:ascii="Arial" w:cs="Arial" w:eastAsia="Arial" w:hAnsi="Arial"/>
                <w:sz w:val="16"/>
                <w:szCs w:val="16"/>
                <w:i w:val="1"/>
                <w:iCs w:val="1"/>
                <w:color w:val="auto"/>
              </w:rPr>
              <w:t>(7,602)</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480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(618)</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(335)</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i w:val="1"/>
                <w:iCs w:val="1"/>
                <w:color w:val="auto"/>
              </w:rPr>
              <w:t>2,133</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(5,942)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9,761</w:t>
            </w:r>
          </w:p>
        </w:tc>
        <w:tc>
          <w:tcPr>
            <w:tcW w:w="840" w:type="dxa"/>
            <w:vAlign w:val="bottom"/>
          </w:tcPr>
          <w:p>
            <w:pPr>
              <w:jc w:val="right"/>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769</w:t>
            </w:r>
          </w:p>
        </w:tc>
        <w:tc>
          <w:tcPr>
            <w:tcW w:w="82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1,330</w:t>
            </w:r>
          </w:p>
        </w:tc>
        <w:tc>
          <w:tcPr>
            <w:tcW w:w="820" w:type="dxa"/>
            <w:vAlign w:val="bottom"/>
          </w:tcPr>
          <w:p>
            <w:pPr>
              <w:jc w:val="right"/>
              <w:spacing w:after="0"/>
              <w:rPr>
                <w:sz w:val="20"/>
                <w:szCs w:val="20"/>
                <w:color w:val="auto"/>
              </w:rPr>
            </w:pPr>
            <w:r>
              <w:rPr>
                <w:rFonts w:ascii="Arial" w:cs="Arial" w:eastAsia="Arial" w:hAnsi="Arial"/>
                <w:sz w:val="16"/>
                <w:szCs w:val="16"/>
                <w:color w:val="auto"/>
              </w:rPr>
              <w:t>2,019</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854</w:t>
            </w:r>
          </w:p>
        </w:tc>
        <w:tc>
          <w:tcPr>
            <w:tcW w:w="840" w:type="dxa"/>
            <w:vAlign w:val="bottom"/>
          </w:tcPr>
          <w:p>
            <w:pPr>
              <w:jc w:val="right"/>
              <w:spacing w:after="0"/>
              <w:rPr>
                <w:sz w:val="20"/>
                <w:szCs w:val="20"/>
                <w:color w:val="auto"/>
              </w:rPr>
            </w:pPr>
            <w:r>
              <w:rPr>
                <w:rFonts w:ascii="Arial" w:cs="Arial" w:eastAsia="Arial" w:hAnsi="Arial"/>
                <w:sz w:val="16"/>
                <w:szCs w:val="16"/>
                <w:color w:val="auto"/>
              </w:rPr>
              <w:t>24,901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Investments in equity companies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4,680</w:t>
            </w:r>
          </w:p>
        </w:tc>
        <w:tc>
          <w:tcPr>
            <w:tcW w:w="840" w:type="dxa"/>
            <w:vAlign w:val="bottom"/>
          </w:tcPr>
          <w:p>
            <w:pPr>
              <w:jc w:val="right"/>
              <w:spacing w:after="0"/>
              <w:rPr>
                <w:sz w:val="20"/>
                <w:szCs w:val="20"/>
                <w:color w:val="auto"/>
              </w:rPr>
            </w:pPr>
            <w:r>
              <w:rPr>
                <w:rFonts w:ascii="Arial" w:cs="Arial" w:eastAsia="Arial" w:hAnsi="Arial"/>
                <w:sz w:val="16"/>
                <w:szCs w:val="16"/>
                <w:color w:val="auto"/>
              </w:rPr>
              <w:t>14,494</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276</w:t>
            </w:r>
          </w:p>
        </w:tc>
        <w:tc>
          <w:tcPr>
            <w:tcW w:w="82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820" w:type="dxa"/>
            <w:vAlign w:val="bottom"/>
          </w:tcPr>
          <w:p>
            <w:pPr>
              <w:jc w:val="right"/>
              <w:spacing w:after="0"/>
              <w:rPr>
                <w:sz w:val="20"/>
                <w:szCs w:val="20"/>
                <w:color w:val="auto"/>
              </w:rPr>
            </w:pPr>
            <w:r>
              <w:rPr>
                <w:rFonts w:ascii="Arial" w:cs="Arial" w:eastAsia="Arial" w:hAnsi="Arial"/>
                <w:sz w:val="16"/>
                <w:szCs w:val="16"/>
                <w:color w:val="auto"/>
              </w:rPr>
              <w:t>3,387</w:t>
            </w:r>
          </w:p>
        </w:tc>
        <w:tc>
          <w:tcPr>
            <w:tcW w:w="1080" w:type="dxa"/>
            <w:vAlign w:val="bottom"/>
          </w:tcPr>
          <w:p>
            <w:pPr>
              <w:jc w:val="right"/>
              <w:spacing w:after="0"/>
              <w:rPr>
                <w:sz w:val="20"/>
                <w:szCs w:val="20"/>
                <w:color w:val="auto"/>
              </w:rPr>
            </w:pPr>
            <w:r>
              <w:rPr>
                <w:rFonts w:ascii="Arial" w:cs="Arial" w:eastAsia="Arial" w:hAnsi="Arial"/>
                <w:sz w:val="16"/>
                <w:szCs w:val="16"/>
                <w:color w:val="auto"/>
              </w:rPr>
              <w:t>(286)</w:t>
            </w:r>
          </w:p>
        </w:tc>
        <w:tc>
          <w:tcPr>
            <w:tcW w:w="840" w:type="dxa"/>
            <w:vAlign w:val="bottom"/>
          </w:tcPr>
          <w:p>
            <w:pPr>
              <w:jc w:val="right"/>
              <w:spacing w:after="0"/>
              <w:rPr>
                <w:sz w:val="20"/>
                <w:szCs w:val="20"/>
                <w:color w:val="auto"/>
              </w:rPr>
            </w:pPr>
            <w:r>
              <w:rPr>
                <w:rFonts w:ascii="Arial" w:cs="Arial" w:eastAsia="Arial" w:hAnsi="Arial"/>
                <w:sz w:val="16"/>
                <w:szCs w:val="16"/>
                <w:color w:val="auto"/>
              </w:rPr>
              <w:t>24,354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6"/>
                <w:szCs w:val="16"/>
                <w:color w:val="auto"/>
              </w:rPr>
              <w:t>Total assets</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89,048</w:t>
            </w:r>
          </w:p>
        </w:tc>
        <w:tc>
          <w:tcPr>
            <w:tcW w:w="840" w:type="dxa"/>
            <w:vAlign w:val="bottom"/>
          </w:tcPr>
          <w:p>
            <w:pPr>
              <w:jc w:val="right"/>
              <w:spacing w:after="0"/>
              <w:rPr>
                <w:sz w:val="20"/>
                <w:szCs w:val="20"/>
                <w:color w:val="auto"/>
              </w:rPr>
            </w:pPr>
            <w:r>
              <w:rPr>
                <w:rFonts w:ascii="Arial" w:cs="Arial" w:eastAsia="Arial" w:hAnsi="Arial"/>
                <w:sz w:val="16"/>
                <w:szCs w:val="16"/>
                <w:color w:val="auto"/>
              </w:rPr>
              <w:t>155,822</w:t>
            </w: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18,172</w:t>
            </w:r>
          </w:p>
        </w:tc>
        <w:tc>
          <w:tcPr>
            <w:tcW w:w="820" w:type="dxa"/>
            <w:vAlign w:val="bottom"/>
          </w:tcPr>
          <w:p>
            <w:pPr>
              <w:jc w:val="right"/>
              <w:spacing w:after="0"/>
              <w:rPr>
                <w:sz w:val="20"/>
                <w:szCs w:val="20"/>
                <w:color w:val="auto"/>
              </w:rPr>
            </w:pPr>
            <w:r>
              <w:rPr>
                <w:rFonts w:ascii="Arial" w:cs="Arial" w:eastAsia="Arial" w:hAnsi="Arial"/>
                <w:sz w:val="16"/>
                <w:szCs w:val="16"/>
                <w:color w:val="auto"/>
              </w:rPr>
              <w:t>34,294</w:t>
            </w:r>
          </w:p>
        </w:tc>
        <w:tc>
          <w:tcPr>
            <w:tcW w:w="1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13,363</w:t>
            </w:r>
          </w:p>
        </w:tc>
        <w:tc>
          <w:tcPr>
            <w:tcW w:w="820" w:type="dxa"/>
            <w:vAlign w:val="bottom"/>
          </w:tcPr>
          <w:p>
            <w:pPr>
              <w:jc w:val="right"/>
              <w:spacing w:after="0"/>
              <w:rPr>
                <w:sz w:val="20"/>
                <w:szCs w:val="20"/>
                <w:color w:val="auto"/>
              </w:rPr>
            </w:pPr>
            <w:r>
              <w:rPr>
                <w:rFonts w:ascii="Arial" w:cs="Arial" w:eastAsia="Arial" w:hAnsi="Arial"/>
                <w:sz w:val="16"/>
                <w:szCs w:val="16"/>
                <w:color w:val="auto"/>
              </w:rPr>
              <w:t>21,133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16,859</w:t>
            </w:r>
          </w:p>
        </w:tc>
        <w:tc>
          <w:tcPr>
            <w:tcW w:w="840" w:type="dxa"/>
            <w:vAlign w:val="bottom"/>
          </w:tcPr>
          <w:p>
            <w:pPr>
              <w:jc w:val="right"/>
              <w:spacing w:after="0"/>
              <w:rPr>
                <w:sz w:val="20"/>
                <w:szCs w:val="20"/>
                <w:color w:val="auto"/>
              </w:rPr>
            </w:pPr>
            <w:r>
              <w:rPr>
                <w:rFonts w:ascii="Arial" w:cs="Arial" w:eastAsia="Arial" w:hAnsi="Arial"/>
                <w:sz w:val="16"/>
                <w:szCs w:val="16"/>
                <w:color w:val="auto"/>
              </w:rPr>
              <w:t>348,691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wp:posOffset>
            </wp:positionV>
            <wp:extent cx="48539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580" w:type="dxa"/>
            <w:vAlign w:val="bottom"/>
          </w:tcPr>
          <w:p>
            <w:pPr>
              <w:spacing w:after="0"/>
              <w:rPr>
                <w:sz w:val="20"/>
                <w:szCs w:val="20"/>
                <w:color w:val="auto"/>
              </w:rPr>
            </w:pPr>
            <w:r>
              <w:rPr>
                <w:rFonts w:ascii="Arial" w:cs="Arial" w:eastAsia="Arial" w:hAnsi="Arial"/>
                <w:sz w:val="18"/>
                <w:szCs w:val="18"/>
                <w:b w:val="1"/>
                <w:bCs w:val="1"/>
                <w:color w:val="auto"/>
              </w:rPr>
              <w:t>Geographic</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Sales and other operating revenue</w:t>
            </w: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7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r>
      <w:tr>
        <w:trPr>
          <w:trHeight w:val="184"/>
        </w:trPr>
        <w:tc>
          <w:tcPr>
            <w:tcW w:w="7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tcPr>
          <w:p>
            <w:pPr>
              <w:jc w:val="right"/>
              <w:ind w:right="253"/>
              <w:spacing w:after="0"/>
              <w:rPr>
                <w:sz w:val="20"/>
                <w:szCs w:val="20"/>
                <w:color w:val="auto"/>
              </w:rPr>
            </w:pPr>
            <w:r>
              <w:rPr>
                <w:rFonts w:ascii="Arial" w:cs="Arial" w:eastAsia="Arial" w:hAnsi="Arial"/>
                <w:sz w:val="14"/>
                <w:szCs w:val="14"/>
                <w:i w:val="1"/>
                <w:iCs w:val="1"/>
                <w:color w:val="auto"/>
              </w:rPr>
              <w:t>(millions of dollars)</w:t>
            </w:r>
          </w:p>
        </w:tc>
        <w:tc>
          <w:tcPr>
            <w:tcW w:w="1000" w:type="dxa"/>
            <w:vAlign w:val="bottom"/>
          </w:tcPr>
          <w:p>
            <w:pPr>
              <w:spacing w:after="0"/>
              <w:rPr>
                <w:sz w:val="16"/>
                <w:szCs w:val="16"/>
                <w:color w:val="auto"/>
              </w:rPr>
            </w:pPr>
          </w:p>
        </w:tc>
      </w:tr>
      <w:tr>
        <w:trPr>
          <w:trHeight w:val="443"/>
        </w:trPr>
        <w:tc>
          <w:tcPr>
            <w:tcW w:w="7580" w:type="dxa"/>
            <w:vAlign w:val="bottom"/>
          </w:tcPr>
          <w:p>
            <w:pPr>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89,612</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96,930</w:t>
            </w:r>
          </w:p>
        </w:tc>
        <w:tc>
          <w:tcPr>
            <w:tcW w:w="1000" w:type="dxa"/>
            <w:vAlign w:val="bottom"/>
          </w:tcPr>
          <w:p>
            <w:pPr>
              <w:jc w:val="right"/>
              <w:spacing w:after="0"/>
              <w:rPr>
                <w:sz w:val="20"/>
                <w:szCs w:val="20"/>
                <w:color w:val="auto"/>
              </w:rPr>
            </w:pPr>
            <w:r>
              <w:rPr>
                <w:rFonts w:ascii="Arial" w:cs="Arial" w:eastAsia="Arial" w:hAnsi="Arial"/>
                <w:sz w:val="18"/>
                <w:szCs w:val="18"/>
                <w:color w:val="auto"/>
              </w:rPr>
              <w:t>82,079</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Non-U.S.</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165,971</w:t>
            </w:r>
          </w:p>
        </w:tc>
        <w:tc>
          <w:tcPr>
            <w:tcW w:w="17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182,402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155,083</w:t>
            </w:r>
          </w:p>
        </w:tc>
      </w:tr>
      <w:tr>
        <w:trPr>
          <w:trHeight w:val="210"/>
        </w:trPr>
        <w:tc>
          <w:tcPr>
            <w:tcW w:w="7580" w:type="dxa"/>
            <w:vAlign w:val="bottom"/>
          </w:tcPr>
          <w:p>
            <w:pPr>
              <w:ind w:left="1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255,583</w:t>
            </w:r>
          </w:p>
        </w:tc>
        <w:tc>
          <w:tcPr>
            <w:tcW w:w="17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279,332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237,162</w:t>
            </w:r>
          </w:p>
        </w:tc>
      </w:tr>
      <w:tr>
        <w:trPr>
          <w:trHeight w:val="411"/>
        </w:trPr>
        <w:tc>
          <w:tcPr>
            <w:tcW w:w="7580" w:type="dxa"/>
            <w:vAlign w:val="bottom"/>
          </w:tcPr>
          <w:p>
            <w:pPr>
              <w:spacing w:after="0"/>
              <w:rPr>
                <w:sz w:val="20"/>
                <w:szCs w:val="20"/>
                <w:color w:val="auto"/>
              </w:rPr>
            </w:pPr>
            <w:r>
              <w:rPr>
                <w:rFonts w:ascii="Arial" w:cs="Arial" w:eastAsia="Arial" w:hAnsi="Arial"/>
                <w:sz w:val="18"/>
                <w:szCs w:val="18"/>
                <w:color w:val="auto"/>
              </w:rPr>
              <w:t xml:space="preserve">Significant non-U.S. revenue sources include: </w:t>
            </w:r>
            <w:r>
              <w:rPr>
                <w:rFonts w:ascii="Arial" w:cs="Arial" w:eastAsia="Arial" w:hAnsi="Arial"/>
                <w:sz w:val="14"/>
                <w:szCs w:val="14"/>
                <w:i w:val="1"/>
                <w:iCs w:val="1"/>
                <w:color w:val="auto"/>
              </w:rPr>
              <w:t>(1)</w:t>
            </w: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Canada</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19,735</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22,672</w:t>
            </w:r>
          </w:p>
        </w:tc>
        <w:tc>
          <w:tcPr>
            <w:tcW w:w="1000" w:type="dxa"/>
            <w:vAlign w:val="bottom"/>
          </w:tcPr>
          <w:p>
            <w:pPr>
              <w:jc w:val="right"/>
              <w:spacing w:after="0"/>
              <w:rPr>
                <w:sz w:val="20"/>
                <w:szCs w:val="20"/>
                <w:color w:val="auto"/>
              </w:rPr>
            </w:pPr>
            <w:r>
              <w:rPr>
                <w:rFonts w:ascii="Arial" w:cs="Arial" w:eastAsia="Arial" w:hAnsi="Arial"/>
                <w:sz w:val="18"/>
                <w:szCs w:val="18"/>
                <w:color w:val="auto"/>
              </w:rPr>
              <w:t>20,116</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United Kingdom</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17,479</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18,702</w:t>
            </w:r>
          </w:p>
        </w:tc>
        <w:tc>
          <w:tcPr>
            <w:tcW w:w="1000" w:type="dxa"/>
            <w:vAlign w:val="bottom"/>
          </w:tcPr>
          <w:p>
            <w:pPr>
              <w:jc w:val="right"/>
              <w:spacing w:after="0"/>
              <w:rPr>
                <w:sz w:val="20"/>
                <w:szCs w:val="20"/>
                <w:color w:val="auto"/>
              </w:rPr>
            </w:pPr>
            <w:r>
              <w:rPr>
                <w:rFonts w:ascii="Arial" w:cs="Arial" w:eastAsia="Arial" w:hAnsi="Arial"/>
                <w:sz w:val="18"/>
                <w:szCs w:val="18"/>
                <w:color w:val="auto"/>
              </w:rPr>
              <w:t>16,611</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France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12,740</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13,637</w:t>
            </w:r>
          </w:p>
        </w:tc>
        <w:tc>
          <w:tcPr>
            <w:tcW w:w="1000" w:type="dxa"/>
            <w:vAlign w:val="bottom"/>
          </w:tcPr>
          <w:p>
            <w:pPr>
              <w:jc w:val="right"/>
              <w:spacing w:after="0"/>
              <w:rPr>
                <w:sz w:val="20"/>
                <w:szCs w:val="20"/>
                <w:color w:val="auto"/>
              </w:rPr>
            </w:pPr>
            <w:r>
              <w:rPr>
                <w:rFonts w:ascii="Arial" w:cs="Arial" w:eastAsia="Arial" w:hAnsi="Arial"/>
                <w:sz w:val="18"/>
                <w:szCs w:val="18"/>
                <w:color w:val="auto"/>
              </w:rPr>
              <w:t>11,235</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Singapore</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12,128</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13,689</w:t>
            </w:r>
          </w:p>
        </w:tc>
        <w:tc>
          <w:tcPr>
            <w:tcW w:w="1000" w:type="dxa"/>
            <w:vAlign w:val="bottom"/>
          </w:tcPr>
          <w:p>
            <w:pPr>
              <w:jc w:val="right"/>
              <w:spacing w:after="0"/>
              <w:rPr>
                <w:sz w:val="20"/>
                <w:szCs w:val="20"/>
                <w:color w:val="auto"/>
              </w:rPr>
            </w:pPr>
            <w:r>
              <w:rPr>
                <w:rFonts w:ascii="Arial" w:cs="Arial" w:eastAsia="Arial" w:hAnsi="Arial"/>
                <w:sz w:val="18"/>
                <w:szCs w:val="18"/>
                <w:color w:val="auto"/>
              </w:rPr>
              <w:t>11,589</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Belgium</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11,644</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15,664</w:t>
            </w:r>
          </w:p>
        </w:tc>
        <w:tc>
          <w:tcPr>
            <w:tcW w:w="1000" w:type="dxa"/>
            <w:vAlign w:val="bottom"/>
          </w:tcPr>
          <w:p>
            <w:pPr>
              <w:jc w:val="right"/>
              <w:spacing w:after="0"/>
              <w:rPr>
                <w:sz w:val="20"/>
                <w:szCs w:val="20"/>
                <w:color w:val="auto"/>
              </w:rPr>
            </w:pPr>
            <w:r>
              <w:rPr>
                <w:rFonts w:ascii="Arial" w:cs="Arial" w:eastAsia="Arial" w:hAnsi="Arial"/>
                <w:sz w:val="18"/>
                <w:szCs w:val="18"/>
                <w:color w:val="auto"/>
              </w:rPr>
              <w:t>13,633</w:t>
            </w:r>
          </w:p>
        </w:tc>
      </w:tr>
      <w:tr>
        <w:trPr>
          <w:trHeight w:val="230"/>
        </w:trPr>
        <w:tc>
          <w:tcPr>
            <w:tcW w:w="7580" w:type="dxa"/>
            <w:vAlign w:val="bottom"/>
          </w:tcPr>
          <w:p>
            <w:pPr>
              <w:ind w:left="120"/>
              <w:spacing w:after="0"/>
              <w:rPr>
                <w:sz w:val="20"/>
                <w:szCs w:val="20"/>
                <w:color w:val="auto"/>
              </w:rPr>
            </w:pPr>
            <w:r>
              <w:rPr>
                <w:rFonts w:ascii="Arial" w:cs="Arial" w:eastAsia="Arial" w:hAnsi="Arial"/>
                <w:sz w:val="18"/>
                <w:szCs w:val="18"/>
                <w:color w:val="auto"/>
              </w:rPr>
              <w:t>Italy</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10,459</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13,396</w:t>
            </w:r>
          </w:p>
        </w:tc>
        <w:tc>
          <w:tcPr>
            <w:tcW w:w="1000" w:type="dxa"/>
            <w:vAlign w:val="bottom"/>
          </w:tcPr>
          <w:p>
            <w:pPr>
              <w:jc w:val="right"/>
              <w:spacing w:after="0"/>
              <w:rPr>
                <w:sz w:val="20"/>
                <w:szCs w:val="20"/>
                <w:color w:val="auto"/>
              </w:rPr>
            </w:pPr>
            <w:r>
              <w:rPr>
                <w:rFonts w:ascii="Arial" w:cs="Arial" w:eastAsia="Arial" w:hAnsi="Arial"/>
                <w:sz w:val="18"/>
                <w:szCs w:val="18"/>
                <w:color w:val="auto"/>
              </w:rPr>
              <w:t>11,476</w:t>
            </w:r>
          </w:p>
        </w:tc>
      </w:tr>
    </w:tbl>
    <w:p>
      <w:pPr>
        <w:spacing w:after="0" w:line="200" w:lineRule="exact"/>
        <w:rPr>
          <w:sz w:val="20"/>
          <w:szCs w:val="20"/>
          <w:color w:val="auto"/>
        </w:rPr>
      </w:pPr>
    </w:p>
    <w:p>
      <w:pPr>
        <w:spacing w:after="0" w:line="272" w:lineRule="exact"/>
        <w:rPr>
          <w:sz w:val="20"/>
          <w:szCs w:val="20"/>
          <w:color w:val="auto"/>
        </w:rPr>
      </w:pPr>
    </w:p>
    <w:p>
      <w:pPr>
        <w:ind w:left="180" w:right="20" w:hanging="172"/>
        <w:spacing w:after="0" w:line="277" w:lineRule="auto"/>
        <w:tabs>
          <w:tab w:leader="none" w:pos="266"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Revenue is determined by primary country of operations. Excludes certain sales and other operating revenues in Non-U.S. operations where attribution to a specific country is not practicable.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Long-lived assets</w:t>
            </w:r>
          </w:p>
        </w:tc>
        <w:tc>
          <w:tcPr>
            <w:tcW w:w="42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17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r>
      <w:tr>
        <w:trPr>
          <w:trHeight w:val="184"/>
        </w:trPr>
        <w:tc>
          <w:tcPr>
            <w:tcW w:w="4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tcPr>
          <w:p>
            <w:pPr>
              <w:jc w:val="right"/>
              <w:ind w:right="253"/>
              <w:spacing w:after="0"/>
              <w:rPr>
                <w:sz w:val="20"/>
                <w:szCs w:val="20"/>
                <w:color w:val="auto"/>
              </w:rPr>
            </w:pPr>
            <w:r>
              <w:rPr>
                <w:rFonts w:ascii="Arial" w:cs="Arial" w:eastAsia="Arial" w:hAnsi="Arial"/>
                <w:sz w:val="14"/>
                <w:szCs w:val="14"/>
                <w:i w:val="1"/>
                <w:iCs w:val="1"/>
                <w:color w:val="auto"/>
              </w:rPr>
              <w:t>(millions of dollars)</w:t>
            </w:r>
          </w:p>
        </w:tc>
        <w:tc>
          <w:tcPr>
            <w:tcW w:w="1000" w:type="dxa"/>
            <w:vAlign w:val="bottom"/>
          </w:tcPr>
          <w:p>
            <w:pPr>
              <w:spacing w:after="0"/>
              <w:rPr>
                <w:sz w:val="16"/>
                <w:szCs w:val="16"/>
                <w:color w:val="auto"/>
              </w:rPr>
            </w:pPr>
          </w:p>
        </w:tc>
      </w:tr>
      <w:tr>
        <w:trPr>
          <w:trHeight w:val="443"/>
        </w:trPr>
        <w:tc>
          <w:tcPr>
            <w:tcW w:w="4480" w:type="dxa"/>
            <w:vAlign w:val="bottom"/>
          </w:tcPr>
          <w:p>
            <w:pPr>
              <w:spacing w:after="0"/>
              <w:rPr>
                <w:sz w:val="20"/>
                <w:szCs w:val="20"/>
                <w:color w:val="auto"/>
              </w:rPr>
            </w:pPr>
            <w:r>
              <w:rPr>
                <w:rFonts w:ascii="Arial" w:cs="Arial" w:eastAsia="Arial" w:hAnsi="Arial"/>
                <w:sz w:val="18"/>
                <w:szCs w:val="18"/>
                <w:color w:val="auto"/>
              </w:rPr>
              <w:t>United States</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114,372</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108,147</w:t>
            </w:r>
          </w:p>
        </w:tc>
        <w:tc>
          <w:tcPr>
            <w:tcW w:w="1000" w:type="dxa"/>
            <w:vAlign w:val="bottom"/>
          </w:tcPr>
          <w:p>
            <w:pPr>
              <w:jc w:val="right"/>
              <w:spacing w:after="0"/>
              <w:rPr>
                <w:sz w:val="20"/>
                <w:szCs w:val="20"/>
                <w:color w:val="auto"/>
              </w:rPr>
            </w:pPr>
            <w:r>
              <w:rPr>
                <w:rFonts w:ascii="Arial" w:cs="Arial" w:eastAsia="Arial" w:hAnsi="Arial"/>
                <w:sz w:val="18"/>
                <w:szCs w:val="18"/>
                <w:color w:val="auto"/>
              </w:rPr>
              <w:t>105,101</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Non-U.S.</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138,646</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138,954</w:t>
            </w:r>
          </w:p>
        </w:tc>
        <w:tc>
          <w:tcPr>
            <w:tcW w:w="1000" w:type="dxa"/>
            <w:vAlign w:val="bottom"/>
          </w:tcPr>
          <w:p>
            <w:pPr>
              <w:jc w:val="right"/>
              <w:spacing w:after="0"/>
              <w:rPr>
                <w:sz w:val="20"/>
                <w:szCs w:val="20"/>
                <w:color w:val="auto"/>
              </w:rPr>
            </w:pPr>
            <w:r>
              <w:rPr>
                <w:rFonts w:ascii="Arial" w:cs="Arial" w:eastAsia="Arial" w:hAnsi="Arial"/>
                <w:sz w:val="18"/>
                <w:szCs w:val="18"/>
                <w:color w:val="auto"/>
              </w:rPr>
              <w:t>147,529</w:t>
            </w:r>
          </w:p>
        </w:tc>
      </w:tr>
      <w:tr>
        <w:trPr>
          <w:trHeight w:val="210"/>
        </w:trPr>
        <w:tc>
          <w:tcPr>
            <w:tcW w:w="4480" w:type="dxa"/>
            <w:vAlign w:val="bottom"/>
          </w:tcPr>
          <w:p>
            <w:pPr>
              <w:ind w:left="12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253,018</w:t>
            </w:r>
          </w:p>
        </w:tc>
        <w:tc>
          <w:tcPr>
            <w:tcW w:w="17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8"/>
                <w:szCs w:val="18"/>
                <w:color w:val="auto"/>
              </w:rPr>
              <w:t>247,101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252,630</w:t>
            </w:r>
          </w:p>
        </w:tc>
      </w:tr>
      <w:tr>
        <w:trPr>
          <w:trHeight w:val="411"/>
        </w:trPr>
        <w:tc>
          <w:tcPr>
            <w:tcW w:w="4480" w:type="dxa"/>
            <w:vAlign w:val="bottom"/>
          </w:tcPr>
          <w:p>
            <w:pPr>
              <w:spacing w:after="0"/>
              <w:rPr>
                <w:sz w:val="20"/>
                <w:szCs w:val="20"/>
                <w:color w:val="auto"/>
              </w:rPr>
            </w:pPr>
            <w:r>
              <w:rPr>
                <w:rFonts w:ascii="Arial" w:cs="Arial" w:eastAsia="Arial" w:hAnsi="Arial"/>
                <w:sz w:val="18"/>
                <w:szCs w:val="18"/>
                <w:color w:val="auto"/>
              </w:rPr>
              <w:t>Significant non-U.S. long-lived assets include:</w:t>
            </w: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Canada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39,130</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37,433</w:t>
            </w:r>
          </w:p>
        </w:tc>
        <w:tc>
          <w:tcPr>
            <w:tcW w:w="1000" w:type="dxa"/>
            <w:vAlign w:val="bottom"/>
          </w:tcPr>
          <w:p>
            <w:pPr>
              <w:jc w:val="right"/>
              <w:spacing w:after="0"/>
              <w:rPr>
                <w:sz w:val="20"/>
                <w:szCs w:val="20"/>
                <w:color w:val="auto"/>
              </w:rPr>
            </w:pPr>
            <w:r>
              <w:rPr>
                <w:rFonts w:ascii="Arial" w:cs="Arial" w:eastAsia="Arial" w:hAnsi="Arial"/>
                <w:sz w:val="18"/>
                <w:szCs w:val="18"/>
                <w:color w:val="auto"/>
              </w:rPr>
              <w:t>41,138</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13,933</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14,548</w:t>
            </w:r>
          </w:p>
        </w:tc>
        <w:tc>
          <w:tcPr>
            <w:tcW w:w="1000" w:type="dxa"/>
            <w:vAlign w:val="bottom"/>
          </w:tcPr>
          <w:p>
            <w:pPr>
              <w:jc w:val="right"/>
              <w:spacing w:after="0"/>
              <w:rPr>
                <w:sz w:val="20"/>
                <w:szCs w:val="20"/>
                <w:color w:val="auto"/>
              </w:rPr>
            </w:pPr>
            <w:r>
              <w:rPr>
                <w:rFonts w:ascii="Arial" w:cs="Arial" w:eastAsia="Arial" w:hAnsi="Arial"/>
                <w:sz w:val="18"/>
                <w:szCs w:val="18"/>
                <w:color w:val="auto"/>
              </w:rPr>
              <w:t>16,908</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Singapore</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11,645</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11,148</w:t>
            </w:r>
          </w:p>
        </w:tc>
        <w:tc>
          <w:tcPr>
            <w:tcW w:w="1000" w:type="dxa"/>
            <w:vAlign w:val="bottom"/>
          </w:tcPr>
          <w:p>
            <w:pPr>
              <w:jc w:val="right"/>
              <w:spacing w:after="0"/>
              <w:rPr>
                <w:sz w:val="20"/>
                <w:szCs w:val="20"/>
                <w:color w:val="auto"/>
              </w:rPr>
            </w:pPr>
            <w:r>
              <w:rPr>
                <w:rFonts w:ascii="Arial" w:cs="Arial" w:eastAsia="Arial" w:hAnsi="Arial"/>
                <w:sz w:val="18"/>
                <w:szCs w:val="18"/>
                <w:color w:val="auto"/>
              </w:rPr>
              <w:t>11,292</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Kazakhstan</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9,315</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9,726</w:t>
            </w:r>
          </w:p>
        </w:tc>
        <w:tc>
          <w:tcPr>
            <w:tcW w:w="1000" w:type="dxa"/>
            <w:vAlign w:val="bottom"/>
          </w:tcPr>
          <w:p>
            <w:pPr>
              <w:jc w:val="right"/>
              <w:spacing w:after="0"/>
              <w:rPr>
                <w:sz w:val="20"/>
                <w:szCs w:val="20"/>
                <w:color w:val="auto"/>
              </w:rPr>
            </w:pPr>
            <w:r>
              <w:rPr>
                <w:rFonts w:ascii="Arial" w:cs="Arial" w:eastAsia="Arial" w:hAnsi="Arial"/>
                <w:sz w:val="18"/>
                <w:szCs w:val="18"/>
                <w:color w:val="auto"/>
              </w:rPr>
              <w:t>10,121</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Papua New Guinea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8,057</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8,269</w:t>
            </w:r>
          </w:p>
        </w:tc>
        <w:tc>
          <w:tcPr>
            <w:tcW w:w="1000" w:type="dxa"/>
            <w:vAlign w:val="bottom"/>
          </w:tcPr>
          <w:p>
            <w:pPr>
              <w:jc w:val="right"/>
              <w:spacing w:after="0"/>
              <w:rPr>
                <w:sz w:val="20"/>
                <w:szCs w:val="20"/>
                <w:color w:val="auto"/>
              </w:rPr>
            </w:pPr>
            <w:r>
              <w:rPr>
                <w:rFonts w:ascii="Arial" w:cs="Arial" w:eastAsia="Arial" w:hAnsi="Arial"/>
                <w:sz w:val="18"/>
                <w:szCs w:val="18"/>
                <w:color w:val="auto"/>
              </w:rPr>
              <w:t>8,463</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Nigeria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7,640</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8,421</w:t>
            </w:r>
          </w:p>
        </w:tc>
        <w:tc>
          <w:tcPr>
            <w:tcW w:w="1000" w:type="dxa"/>
            <w:vAlign w:val="bottom"/>
          </w:tcPr>
          <w:p>
            <w:pPr>
              <w:jc w:val="right"/>
              <w:spacing w:after="0"/>
              <w:rPr>
                <w:sz w:val="20"/>
                <w:szCs w:val="20"/>
                <w:color w:val="auto"/>
              </w:rPr>
            </w:pPr>
            <w:r>
              <w:rPr>
                <w:rFonts w:ascii="Arial" w:cs="Arial" w:eastAsia="Arial" w:hAnsi="Arial"/>
                <w:sz w:val="18"/>
                <w:szCs w:val="18"/>
                <w:color w:val="auto"/>
              </w:rPr>
              <w:t>9,734</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Angola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5,784</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7,021</w:t>
            </w:r>
          </w:p>
        </w:tc>
        <w:tc>
          <w:tcPr>
            <w:tcW w:w="1000" w:type="dxa"/>
            <w:vAlign w:val="bottom"/>
          </w:tcPr>
          <w:p>
            <w:pPr>
              <w:jc w:val="right"/>
              <w:spacing w:after="0"/>
              <w:rPr>
                <w:sz w:val="20"/>
                <w:szCs w:val="20"/>
                <w:color w:val="auto"/>
              </w:rPr>
            </w:pPr>
            <w:r>
              <w:rPr>
                <w:rFonts w:ascii="Arial" w:cs="Arial" w:eastAsia="Arial" w:hAnsi="Arial"/>
                <w:sz w:val="18"/>
                <w:szCs w:val="18"/>
                <w:color w:val="auto"/>
              </w:rPr>
              <w:t>7,689</w:t>
            </w: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United Arab Emirates</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5,262</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4,859</w:t>
            </w:r>
          </w:p>
        </w:tc>
        <w:tc>
          <w:tcPr>
            <w:tcW w:w="1000" w:type="dxa"/>
            <w:vAlign w:val="bottom"/>
          </w:tcPr>
          <w:p>
            <w:pPr>
              <w:jc w:val="right"/>
              <w:spacing w:after="0"/>
              <w:rPr>
                <w:sz w:val="20"/>
                <w:szCs w:val="20"/>
                <w:color w:val="auto"/>
              </w:rPr>
            </w:pPr>
            <w:r>
              <w:rPr>
                <w:rFonts w:ascii="Arial" w:cs="Arial" w:eastAsia="Arial" w:hAnsi="Arial"/>
                <w:sz w:val="18"/>
                <w:szCs w:val="18"/>
                <w:color w:val="auto"/>
              </w:rPr>
              <w:t>4,304</w:t>
            </w:r>
          </w:p>
        </w:tc>
      </w:tr>
      <w:tr>
        <w:trPr>
          <w:trHeight w:val="230"/>
        </w:trPr>
        <w:tc>
          <w:tcPr>
            <w:tcW w:w="4480" w:type="dxa"/>
            <w:vAlign w:val="bottom"/>
          </w:tcPr>
          <w:p>
            <w:pPr>
              <w:ind w:left="120"/>
              <w:spacing w:after="0"/>
              <w:rPr>
                <w:sz w:val="20"/>
                <w:szCs w:val="20"/>
                <w:color w:val="auto"/>
              </w:rPr>
            </w:pPr>
            <w:r>
              <w:rPr>
                <w:rFonts w:ascii="Arial" w:cs="Arial" w:eastAsia="Arial" w:hAnsi="Arial"/>
                <w:sz w:val="18"/>
                <w:szCs w:val="18"/>
                <w:color w:val="auto"/>
              </w:rPr>
              <w:t>Russia</w:t>
            </w:r>
          </w:p>
        </w:tc>
        <w:tc>
          <w:tcPr>
            <w:tcW w:w="4200" w:type="dxa"/>
            <w:vAlign w:val="bottom"/>
            <w:gridSpan w:val="2"/>
          </w:tcPr>
          <w:p>
            <w:pPr>
              <w:jc w:val="right"/>
              <w:ind w:right="170"/>
              <w:spacing w:after="0"/>
              <w:rPr>
                <w:sz w:val="20"/>
                <w:szCs w:val="20"/>
                <w:color w:val="auto"/>
              </w:rPr>
            </w:pPr>
            <w:r>
              <w:rPr>
                <w:rFonts w:ascii="Arial" w:cs="Arial" w:eastAsia="Arial" w:hAnsi="Arial"/>
                <w:sz w:val="18"/>
                <w:szCs w:val="18"/>
                <w:color w:val="auto"/>
              </w:rPr>
              <w:t>5,135</w:t>
            </w:r>
          </w:p>
        </w:tc>
        <w:tc>
          <w:tcPr>
            <w:tcW w:w="1740" w:type="dxa"/>
            <w:vAlign w:val="bottom"/>
          </w:tcPr>
          <w:p>
            <w:pPr>
              <w:jc w:val="right"/>
              <w:ind w:right="433"/>
              <w:spacing w:after="0"/>
              <w:rPr>
                <w:sz w:val="20"/>
                <w:szCs w:val="20"/>
                <w:color w:val="auto"/>
              </w:rPr>
            </w:pPr>
            <w:r>
              <w:rPr>
                <w:rFonts w:ascii="Arial" w:cs="Arial" w:eastAsia="Arial" w:hAnsi="Arial"/>
                <w:sz w:val="18"/>
                <w:szCs w:val="18"/>
                <w:color w:val="auto"/>
              </w:rPr>
              <w:t>5,456</w:t>
            </w:r>
          </w:p>
        </w:tc>
        <w:tc>
          <w:tcPr>
            <w:tcW w:w="1000" w:type="dxa"/>
            <w:vAlign w:val="bottom"/>
          </w:tcPr>
          <w:p>
            <w:pPr>
              <w:jc w:val="right"/>
              <w:spacing w:after="0"/>
              <w:rPr>
                <w:sz w:val="20"/>
                <w:szCs w:val="20"/>
                <w:color w:val="auto"/>
              </w:rPr>
            </w:pPr>
            <w:r>
              <w:rPr>
                <w:rFonts w:ascii="Arial" w:cs="Arial" w:eastAsia="Arial" w:hAnsi="Arial"/>
                <w:sz w:val="18"/>
                <w:szCs w:val="18"/>
                <w:color w:val="auto"/>
              </w:rPr>
              <w:t>5,702</w:t>
            </w:r>
          </w:p>
        </w:tc>
      </w:tr>
      <w:tr>
        <w:trPr>
          <w:trHeight w:val="230"/>
        </w:trPr>
        <w:tc>
          <w:tcPr>
            <w:tcW w:w="4480" w:type="dxa"/>
            <w:vAlign w:val="bottom"/>
          </w:tcPr>
          <w:p>
            <w:pPr>
              <w:spacing w:after="0"/>
              <w:rPr>
                <w:sz w:val="20"/>
                <w:szCs w:val="20"/>
                <w:color w:val="auto"/>
              </w:rPr>
            </w:pPr>
          </w:p>
        </w:tc>
        <w:tc>
          <w:tcPr>
            <w:tcW w:w="3100" w:type="dxa"/>
            <w:vAlign w:val="bottom"/>
          </w:tcPr>
          <w:p>
            <w:pPr>
              <w:jc w:val="right"/>
              <w:ind w:right="1651"/>
              <w:spacing w:after="0"/>
              <w:rPr>
                <w:sz w:val="20"/>
                <w:szCs w:val="20"/>
                <w:color w:val="auto"/>
              </w:rPr>
            </w:pPr>
            <w:r>
              <w:rPr>
                <w:rFonts w:ascii="Arial" w:cs="Arial" w:eastAsia="Arial" w:hAnsi="Arial"/>
                <w:sz w:val="18"/>
                <w:szCs w:val="18"/>
                <w:color w:val="auto"/>
              </w:rPr>
              <w:t>104</w:t>
            </w:r>
          </w:p>
        </w:tc>
        <w:tc>
          <w:tcPr>
            <w:tcW w:w="1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6"/>
        </w:trPr>
        <w:tc>
          <w:tcPr>
            <w:tcW w:w="4480" w:type="dxa"/>
            <w:vAlign w:val="bottom"/>
            <w:tcBorders>
              <w:bottom w:val="single" w:sz="8" w:color="9A9A9A"/>
            </w:tcBorders>
          </w:tcPr>
          <w:p>
            <w:pPr>
              <w:spacing w:after="0"/>
              <w:rPr>
                <w:sz w:val="17"/>
                <w:szCs w:val="17"/>
                <w:color w:val="auto"/>
              </w:rPr>
            </w:pPr>
          </w:p>
        </w:tc>
        <w:tc>
          <w:tcPr>
            <w:tcW w:w="31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and Other Taxes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U.S.</w:t>
            </w: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Non-U.S.</w:t>
            </w: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U.S.</w:t>
            </w: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4"/>
              </w:rPr>
              <w:t>Non-U.S.</w:t>
            </w: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U.S.</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Non-U.S.</w:t>
            </w: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85"/>
        </w:trPr>
        <w:tc>
          <w:tcPr>
            <w:tcW w:w="3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gridSpan w:val="2"/>
          </w:tcPr>
          <w:p>
            <w:pPr>
              <w:jc w:val="center"/>
              <w:ind w:left="473"/>
              <w:spacing w:after="0"/>
              <w:rPr>
                <w:sz w:val="20"/>
                <w:szCs w:val="20"/>
                <w:color w:val="auto"/>
              </w:rPr>
            </w:pPr>
            <w:r>
              <w:rPr>
                <w:rFonts w:ascii="Arial" w:cs="Arial" w:eastAsia="Arial" w:hAnsi="Arial"/>
                <w:sz w:val="14"/>
                <w:szCs w:val="14"/>
                <w:i w:val="1"/>
                <w:iCs w:val="1"/>
                <w:color w:val="auto"/>
                <w:w w:val="99"/>
              </w:rPr>
              <w:t>(millions of dollars)</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Federal and non-U.S.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color w:val="auto"/>
              </w:rPr>
              <w:t>Current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6,171</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6,050</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459</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9,001</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9,460</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577</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6,633</w:t>
            </w:r>
          </w:p>
        </w:tc>
        <w:tc>
          <w:tcPr>
            <w:tcW w:w="760" w:type="dxa"/>
            <w:vAlign w:val="bottom"/>
          </w:tcPr>
          <w:p>
            <w:pPr>
              <w:jc w:val="right"/>
              <w:spacing w:after="0"/>
              <w:rPr>
                <w:sz w:val="20"/>
                <w:szCs w:val="20"/>
                <w:color w:val="auto"/>
              </w:rPr>
            </w:pPr>
            <w:r>
              <w:rPr>
                <w:rFonts w:ascii="Arial" w:cs="Arial" w:eastAsia="Arial" w:hAnsi="Arial"/>
                <w:sz w:val="18"/>
                <w:szCs w:val="18"/>
                <w:color w:val="auto"/>
              </w:rPr>
              <w:t>7,210</w:t>
            </w:r>
          </w:p>
        </w:tc>
        <w:tc>
          <w:tcPr>
            <w:tcW w:w="20" w:type="dxa"/>
            <w:vAlign w:val="bottom"/>
          </w:tcPr>
          <w:p>
            <w:pPr>
              <w:spacing w:after="0"/>
              <w:rPr>
                <w:sz w:val="18"/>
                <w:szCs w:val="18"/>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color w:val="auto"/>
              </w:rPr>
              <w:t>Deferred - net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(420)</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(675)</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518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(614)</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(96)</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(9,075)</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754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(8,321)</w:t>
            </w: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U.S. tax on non-U.S. operations</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89</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42</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42</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r>
      <w:tr>
        <w:trPr>
          <w:trHeight w:val="195"/>
        </w:trPr>
        <w:tc>
          <w:tcPr>
            <w:tcW w:w="3340" w:type="dxa"/>
            <w:vAlign w:val="bottom"/>
          </w:tcPr>
          <w:p>
            <w:pPr>
              <w:ind w:left="380"/>
              <w:spacing w:after="0" w:line="195" w:lineRule="exact"/>
              <w:rPr>
                <w:sz w:val="20"/>
                <w:szCs w:val="20"/>
                <w:color w:val="auto"/>
              </w:rPr>
            </w:pPr>
            <w:r>
              <w:rPr>
                <w:rFonts w:ascii="Arial" w:cs="Arial" w:eastAsia="Arial" w:hAnsi="Arial"/>
                <w:sz w:val="18"/>
                <w:szCs w:val="18"/>
                <w:color w:val="auto"/>
              </w:rPr>
              <w:t>Total federal and non-U.S.</w:t>
            </w:r>
          </w:p>
        </w:tc>
        <w:tc>
          <w:tcPr>
            <w:tcW w:w="940" w:type="dxa"/>
            <w:vAlign w:val="bottom"/>
          </w:tcPr>
          <w:p>
            <w:pPr>
              <w:jc w:val="right"/>
              <w:ind w:right="31"/>
              <w:spacing w:after="0" w:line="195" w:lineRule="exact"/>
              <w:rPr>
                <w:sz w:val="20"/>
                <w:szCs w:val="20"/>
                <w:color w:val="auto"/>
              </w:rPr>
            </w:pPr>
            <w:r>
              <w:rPr>
                <w:rFonts w:ascii="Arial" w:cs="Arial" w:eastAsia="Arial" w:hAnsi="Arial"/>
                <w:sz w:val="18"/>
                <w:szCs w:val="18"/>
                <w:color w:val="auto"/>
              </w:rPr>
              <w:t>(287)</w:t>
            </w:r>
          </w:p>
        </w:tc>
        <w:tc>
          <w:tcPr>
            <w:tcW w:w="980" w:type="dxa"/>
            <w:vAlign w:val="bottom"/>
          </w:tcPr>
          <w:p>
            <w:pPr>
              <w:jc w:val="right"/>
              <w:ind w:right="133"/>
              <w:spacing w:after="0" w:line="195" w:lineRule="exact"/>
              <w:rPr>
                <w:sz w:val="20"/>
                <w:szCs w:val="20"/>
                <w:color w:val="auto"/>
              </w:rPr>
            </w:pPr>
            <w:r>
              <w:rPr>
                <w:rFonts w:ascii="Arial" w:cs="Arial" w:eastAsia="Arial" w:hAnsi="Arial"/>
                <w:sz w:val="18"/>
                <w:szCs w:val="18"/>
                <w:color w:val="auto"/>
              </w:rPr>
              <w:t>5,751</w:t>
            </w:r>
          </w:p>
        </w:tc>
        <w:tc>
          <w:tcPr>
            <w:tcW w:w="92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5,464</w:t>
            </w:r>
          </w:p>
        </w:tc>
        <w:tc>
          <w:tcPr>
            <w:tcW w:w="800" w:type="dxa"/>
            <w:vAlign w:val="bottom"/>
          </w:tcPr>
          <w:p>
            <w:pPr>
              <w:jc w:val="right"/>
              <w:ind w:right="53"/>
              <w:spacing w:after="0" w:line="195" w:lineRule="exact"/>
              <w:rPr>
                <w:sz w:val="20"/>
                <w:szCs w:val="20"/>
                <w:color w:val="auto"/>
              </w:rPr>
            </w:pPr>
            <w:r>
              <w:rPr>
                <w:rFonts w:ascii="Arial" w:cs="Arial" w:eastAsia="Arial" w:hAnsi="Arial"/>
                <w:sz w:val="18"/>
                <w:szCs w:val="18"/>
                <w:color w:val="auto"/>
              </w:rPr>
              <w:t>1,019</w:t>
            </w:r>
          </w:p>
        </w:tc>
        <w:tc>
          <w:tcPr>
            <w:tcW w:w="1080" w:type="dxa"/>
            <w:vAlign w:val="bottom"/>
          </w:tcPr>
          <w:p>
            <w:pPr>
              <w:jc w:val="right"/>
              <w:ind w:right="233"/>
              <w:spacing w:after="0" w:line="195" w:lineRule="exact"/>
              <w:rPr>
                <w:sz w:val="20"/>
                <w:szCs w:val="20"/>
                <w:color w:val="auto"/>
              </w:rPr>
            </w:pPr>
            <w:r>
              <w:rPr>
                <w:rFonts w:ascii="Arial" w:cs="Arial" w:eastAsia="Arial" w:hAnsi="Arial"/>
                <w:sz w:val="18"/>
                <w:szCs w:val="18"/>
                <w:color w:val="auto"/>
              </w:rPr>
              <w:t>8,387</w:t>
            </w:r>
          </w:p>
        </w:tc>
        <w:tc>
          <w:tcPr>
            <w:tcW w:w="84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9,406</w:t>
            </w:r>
          </w:p>
        </w:tc>
        <w:tc>
          <w:tcPr>
            <w:tcW w:w="8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(8,481)</w:t>
            </w:r>
          </w:p>
        </w:tc>
        <w:tc>
          <w:tcPr>
            <w:tcW w:w="940" w:type="dxa"/>
            <w:vAlign w:val="bottom"/>
          </w:tcPr>
          <w:p>
            <w:pPr>
              <w:jc w:val="right"/>
              <w:ind w:right="113"/>
              <w:spacing w:after="0" w:line="195" w:lineRule="exact"/>
              <w:rPr>
                <w:sz w:val="20"/>
                <w:szCs w:val="20"/>
                <w:color w:val="auto"/>
              </w:rPr>
            </w:pPr>
            <w:r>
              <w:rPr>
                <w:rFonts w:ascii="Arial" w:cs="Arial" w:eastAsia="Arial" w:hAnsi="Arial"/>
                <w:sz w:val="18"/>
                <w:szCs w:val="18"/>
                <w:color w:val="auto"/>
              </w:rPr>
              <w:t>7,387</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(1,094)</w:t>
            </w:r>
          </w:p>
        </w:tc>
        <w:tc>
          <w:tcPr>
            <w:tcW w:w="20" w:type="dxa"/>
            <w:vAlign w:val="bottom"/>
          </w:tcPr>
          <w:p>
            <w:pPr>
              <w:spacing w:after="0"/>
              <w:rPr>
                <w:sz w:val="16"/>
                <w:szCs w:val="16"/>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(182)</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126</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126</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195"/>
        </w:trPr>
        <w:tc>
          <w:tcPr>
            <w:tcW w:w="3340" w:type="dxa"/>
            <w:vAlign w:val="bottom"/>
          </w:tcPr>
          <w:p>
            <w:pPr>
              <w:ind w:left="380"/>
              <w:spacing w:after="0" w:line="195" w:lineRule="exact"/>
              <w:rPr>
                <w:sz w:val="20"/>
                <w:szCs w:val="20"/>
                <w:color w:val="auto"/>
              </w:rPr>
            </w:pPr>
            <w:r>
              <w:rPr>
                <w:rFonts w:ascii="Arial" w:cs="Arial" w:eastAsia="Arial" w:hAnsi="Arial"/>
                <w:sz w:val="18"/>
                <w:szCs w:val="18"/>
                <w:color w:val="auto"/>
              </w:rPr>
              <w:t>Total income tax expense</w:t>
            </w:r>
          </w:p>
        </w:tc>
        <w:tc>
          <w:tcPr>
            <w:tcW w:w="940" w:type="dxa"/>
            <w:vAlign w:val="bottom"/>
          </w:tcPr>
          <w:p>
            <w:pPr>
              <w:jc w:val="right"/>
              <w:ind w:right="31"/>
              <w:spacing w:after="0" w:line="195" w:lineRule="exact"/>
              <w:rPr>
                <w:sz w:val="20"/>
                <w:szCs w:val="20"/>
                <w:color w:val="auto"/>
              </w:rPr>
            </w:pPr>
            <w:r>
              <w:rPr>
                <w:rFonts w:ascii="Arial" w:cs="Arial" w:eastAsia="Arial" w:hAnsi="Arial"/>
                <w:sz w:val="18"/>
                <w:szCs w:val="18"/>
                <w:color w:val="auto"/>
              </w:rPr>
              <w:t>(469)</w:t>
            </w:r>
          </w:p>
        </w:tc>
        <w:tc>
          <w:tcPr>
            <w:tcW w:w="980" w:type="dxa"/>
            <w:vAlign w:val="bottom"/>
          </w:tcPr>
          <w:p>
            <w:pPr>
              <w:jc w:val="right"/>
              <w:ind w:right="133"/>
              <w:spacing w:after="0" w:line="195" w:lineRule="exact"/>
              <w:rPr>
                <w:sz w:val="20"/>
                <w:szCs w:val="20"/>
                <w:color w:val="auto"/>
              </w:rPr>
            </w:pPr>
            <w:r>
              <w:rPr>
                <w:rFonts w:ascii="Arial" w:cs="Arial" w:eastAsia="Arial" w:hAnsi="Arial"/>
                <w:sz w:val="18"/>
                <w:szCs w:val="18"/>
                <w:color w:val="auto"/>
              </w:rPr>
              <w:t>5,751</w:t>
            </w:r>
          </w:p>
        </w:tc>
        <w:tc>
          <w:tcPr>
            <w:tcW w:w="92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5,282</w:t>
            </w:r>
          </w:p>
        </w:tc>
        <w:tc>
          <w:tcPr>
            <w:tcW w:w="800" w:type="dxa"/>
            <w:vAlign w:val="bottom"/>
          </w:tcPr>
          <w:p>
            <w:pPr>
              <w:jc w:val="right"/>
              <w:ind w:right="53"/>
              <w:spacing w:after="0" w:line="195" w:lineRule="exact"/>
              <w:rPr>
                <w:sz w:val="20"/>
                <w:szCs w:val="20"/>
                <w:color w:val="auto"/>
              </w:rPr>
            </w:pPr>
            <w:r>
              <w:rPr>
                <w:rFonts w:ascii="Arial" w:cs="Arial" w:eastAsia="Arial" w:hAnsi="Arial"/>
                <w:sz w:val="18"/>
                <w:szCs w:val="18"/>
                <w:color w:val="auto"/>
              </w:rPr>
              <w:t>1,145</w:t>
            </w:r>
          </w:p>
        </w:tc>
        <w:tc>
          <w:tcPr>
            <w:tcW w:w="1080" w:type="dxa"/>
            <w:vAlign w:val="bottom"/>
          </w:tcPr>
          <w:p>
            <w:pPr>
              <w:jc w:val="right"/>
              <w:ind w:right="233"/>
              <w:spacing w:after="0" w:line="195" w:lineRule="exact"/>
              <w:rPr>
                <w:sz w:val="20"/>
                <w:szCs w:val="20"/>
                <w:color w:val="auto"/>
              </w:rPr>
            </w:pPr>
            <w:r>
              <w:rPr>
                <w:rFonts w:ascii="Arial" w:cs="Arial" w:eastAsia="Arial" w:hAnsi="Arial"/>
                <w:sz w:val="18"/>
                <w:szCs w:val="18"/>
                <w:color w:val="auto"/>
              </w:rPr>
              <w:t>8,387</w:t>
            </w:r>
          </w:p>
        </w:tc>
        <w:tc>
          <w:tcPr>
            <w:tcW w:w="840" w:type="dxa"/>
            <w:vAlign w:val="bottom"/>
          </w:tcPr>
          <w:p>
            <w:pPr>
              <w:jc w:val="right"/>
              <w:ind w:right="151"/>
              <w:spacing w:after="0" w:line="195" w:lineRule="exact"/>
              <w:rPr>
                <w:sz w:val="20"/>
                <w:szCs w:val="20"/>
                <w:color w:val="auto"/>
              </w:rPr>
            </w:pPr>
            <w:r>
              <w:rPr>
                <w:rFonts w:ascii="Arial" w:cs="Arial" w:eastAsia="Arial" w:hAnsi="Arial"/>
                <w:sz w:val="18"/>
                <w:szCs w:val="18"/>
                <w:color w:val="auto"/>
              </w:rPr>
              <w:t>9,532</w:t>
            </w:r>
          </w:p>
        </w:tc>
        <w:tc>
          <w:tcPr>
            <w:tcW w:w="820" w:type="dxa"/>
            <w:vAlign w:val="bottom"/>
          </w:tcPr>
          <w:p>
            <w:pPr>
              <w:jc w:val="right"/>
              <w:ind w:right="11"/>
              <w:spacing w:after="0" w:line="195" w:lineRule="exact"/>
              <w:rPr>
                <w:sz w:val="20"/>
                <w:szCs w:val="20"/>
                <w:color w:val="auto"/>
              </w:rPr>
            </w:pPr>
            <w:r>
              <w:rPr>
                <w:rFonts w:ascii="Arial" w:cs="Arial" w:eastAsia="Arial" w:hAnsi="Arial"/>
                <w:sz w:val="18"/>
                <w:szCs w:val="18"/>
                <w:color w:val="auto"/>
              </w:rPr>
              <w:t>(8,561)</w:t>
            </w:r>
          </w:p>
        </w:tc>
        <w:tc>
          <w:tcPr>
            <w:tcW w:w="940" w:type="dxa"/>
            <w:vAlign w:val="bottom"/>
          </w:tcPr>
          <w:p>
            <w:pPr>
              <w:jc w:val="right"/>
              <w:ind w:right="113"/>
              <w:spacing w:after="0" w:line="195" w:lineRule="exact"/>
              <w:rPr>
                <w:sz w:val="20"/>
                <w:szCs w:val="20"/>
                <w:color w:val="auto"/>
              </w:rPr>
            </w:pPr>
            <w:r>
              <w:rPr>
                <w:rFonts w:ascii="Arial" w:cs="Arial" w:eastAsia="Arial" w:hAnsi="Arial"/>
                <w:sz w:val="18"/>
                <w:szCs w:val="18"/>
                <w:color w:val="auto"/>
              </w:rPr>
              <w:t>7,387</w:t>
            </w:r>
          </w:p>
        </w:tc>
        <w:tc>
          <w:tcPr>
            <w:tcW w:w="7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(1,174)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All other taxes and duties</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Other taxes and duties</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3,566</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26,959</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30,525</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3,498</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29,165</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32,663</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3,330</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26,774</w:t>
            </w:r>
          </w:p>
        </w:tc>
        <w:tc>
          <w:tcPr>
            <w:tcW w:w="760" w:type="dxa"/>
            <w:vAlign w:val="bottom"/>
          </w:tcPr>
          <w:p>
            <w:pPr>
              <w:jc w:val="right"/>
              <w:spacing w:after="0"/>
              <w:rPr>
                <w:sz w:val="20"/>
                <w:szCs w:val="20"/>
                <w:color w:val="auto"/>
              </w:rPr>
            </w:pPr>
            <w:r>
              <w:rPr>
                <w:rFonts w:ascii="Arial" w:cs="Arial" w:eastAsia="Arial" w:hAnsi="Arial"/>
                <w:sz w:val="18"/>
                <w:szCs w:val="18"/>
                <w:color w:val="auto"/>
              </w:rPr>
              <w:t>30,104</w:t>
            </w:r>
          </w:p>
        </w:tc>
        <w:tc>
          <w:tcPr>
            <w:tcW w:w="20" w:type="dxa"/>
            <w:vAlign w:val="bottom"/>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Included in production and</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40" w:type="dxa"/>
            <w:vAlign w:val="bottom"/>
          </w:tcPr>
          <w:p>
            <w:pPr>
              <w:ind w:left="260"/>
              <w:spacing w:after="0"/>
              <w:rPr>
                <w:sz w:val="20"/>
                <w:szCs w:val="20"/>
                <w:color w:val="auto"/>
              </w:rPr>
            </w:pPr>
            <w:r>
              <w:rPr>
                <w:rFonts w:ascii="Arial" w:cs="Arial" w:eastAsia="Arial" w:hAnsi="Arial"/>
                <w:sz w:val="18"/>
                <w:szCs w:val="18"/>
                <w:color w:val="auto"/>
              </w:rPr>
              <w:t>manufacturing expenses</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1,385</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811</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2,196</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1,245</w:t>
            </w: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857</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2,102</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1,107</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747</w:t>
            </w:r>
          </w:p>
        </w:tc>
        <w:tc>
          <w:tcPr>
            <w:tcW w:w="760" w:type="dxa"/>
            <w:vAlign w:val="bottom"/>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18"/>
                <w:szCs w:val="18"/>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Included in SG&amp;A expenses</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160</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305</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465</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153</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312</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465</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147</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0"/>
                <w:szCs w:val="20"/>
                <w:color w:val="auto"/>
              </w:rPr>
            </w:pPr>
          </w:p>
        </w:tc>
      </w:tr>
      <w:tr>
        <w:trPr>
          <w:trHeight w:val="210"/>
        </w:trPr>
        <w:tc>
          <w:tcPr>
            <w:tcW w:w="3340" w:type="dxa"/>
            <w:vAlign w:val="bottom"/>
          </w:tcPr>
          <w:p>
            <w:pPr>
              <w:ind w:left="260"/>
              <w:spacing w:after="0"/>
              <w:rPr>
                <w:sz w:val="20"/>
                <w:szCs w:val="20"/>
                <w:color w:val="auto"/>
              </w:rPr>
            </w:pPr>
            <w:r>
              <w:rPr>
                <w:rFonts w:ascii="Arial" w:cs="Arial" w:eastAsia="Arial" w:hAnsi="Arial"/>
                <w:sz w:val="18"/>
                <w:szCs w:val="18"/>
                <w:color w:val="auto"/>
              </w:rPr>
              <w:t>Total other taxes and duties</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5,111</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28,075</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33,186</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4,896</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30,334</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35,230</w:t>
            </w: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4,584</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27,875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32,459</w:t>
            </w:r>
          </w:p>
        </w:tc>
        <w:tc>
          <w:tcPr>
            <w:tcW w:w="20" w:type="dxa"/>
            <w:vAlign w:val="bottom"/>
          </w:tcPr>
          <w:p>
            <w:pPr>
              <w:spacing w:after="0"/>
              <w:rPr>
                <w:sz w:val="18"/>
                <w:szCs w:val="18"/>
                <w:color w:val="auto"/>
              </w:rPr>
            </w:pPr>
          </w:p>
        </w:tc>
      </w:tr>
      <w:tr>
        <w:trPr>
          <w:trHeight w:val="210"/>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4,642</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33,826</w:t>
            </w: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38,468</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6,041</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38,721</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44,762</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(3,977)</w:t>
            </w:r>
          </w:p>
        </w:tc>
        <w:tc>
          <w:tcPr>
            <w:tcW w:w="9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35,262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31,285</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provisions for deferred income taxes include net credits of $740 million in 2019 and $289 million in 2018 related to changes in tax laws and rates. For 2017, deferred income tax expense includes a net credit of $5,920 million, reflecting a $5,942 million credit related to U.S. tax reform and $22 million of other changes in tax laws and rates outside of the United States.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Following the December 22, 2017, enactment of the U.S. Tax Cuts and Jobs Act, in accordance with Accounting Standard Codification Topic 740 (Income Taxes) and following the guidance outlined in the SEC Staff Accounting Bulletin No. 118, the Corporation included a $5,942 million credit in its 2017 results, representing a reasonable estimate of the income tax effects of the changes in tax law and tax rate. The Corporation’s results for 2018 include a $291 million tax credit, mainly in the Non-U.S. Upstream, reflecting an updated estimate of the impact of U.S. tax reform including clarifications provided in tax regulations issued by the U.S. Treasury. The Corporation completed its accounting for the enactment-date income tax effects of the U.S. Tax Cuts and Jobs Act in accordance with Accounting Standard Codification Topic 740 (Income Taxes) during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between income tax expense and a theoretical U.S. tax computed by applying a rate of 21 percent for 2019 and 2018 and 35 percent for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r>
      <w:tr>
        <w:trPr>
          <w:trHeight w:val="184"/>
        </w:trPr>
        <w:tc>
          <w:tcPr>
            <w:tcW w:w="7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tcPr>
          <w:p>
            <w:pPr>
              <w:jc w:val="right"/>
              <w:ind w:right="312"/>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r>
      <w:tr>
        <w:trPr>
          <w:trHeight w:val="227"/>
        </w:trPr>
        <w:tc>
          <w:tcPr>
            <w:tcW w:w="7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74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1800" w:type="dxa"/>
            <w:vAlign w:val="bottom"/>
          </w:tcPr>
          <w:p>
            <w:pPr>
              <w:jc w:val="right"/>
              <w:ind w:right="492"/>
              <w:spacing w:after="0"/>
              <w:rPr>
                <w:sz w:val="20"/>
                <w:szCs w:val="20"/>
                <w:color w:val="auto"/>
              </w:rPr>
            </w:pPr>
            <w:r>
              <w:rPr>
                <w:rFonts w:ascii="Arial" w:cs="Arial" w:eastAsia="Arial" w:hAnsi="Arial"/>
                <w:sz w:val="18"/>
                <w:szCs w:val="18"/>
                <w:color w:val="auto"/>
              </w:rPr>
              <w:t>5,200</w:t>
            </w: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7480" w:type="dxa"/>
            <w:vAlign w:val="bottom"/>
          </w:tcPr>
          <w:p>
            <w:pPr>
              <w:ind w:left="120"/>
              <w:spacing w:after="0"/>
              <w:rPr>
                <w:sz w:val="20"/>
                <w:szCs w:val="20"/>
                <w:color w:val="auto"/>
              </w:rPr>
            </w:pPr>
            <w:r>
              <w:rPr>
                <w:rFonts w:ascii="Arial" w:cs="Arial" w:eastAsia="Arial" w:hAnsi="Arial"/>
                <w:sz w:val="18"/>
                <w:szCs w:val="18"/>
                <w:color w:val="auto"/>
              </w:rPr>
              <w:t>Non-U.S.</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20,109</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25,753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w:t>
            </w:r>
          </w:p>
        </w:tc>
      </w:tr>
      <w:tr>
        <w:trPr>
          <w:trHeight w:val="210"/>
        </w:trPr>
        <w:tc>
          <w:tcPr>
            <w:tcW w:w="7480" w:type="dxa"/>
            <w:vAlign w:val="bottom"/>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20,056</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30,953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18,674</w:t>
            </w:r>
          </w:p>
        </w:tc>
      </w:tr>
      <w:tr>
        <w:trPr>
          <w:trHeight w:val="195"/>
        </w:trPr>
        <w:tc>
          <w:tcPr>
            <w:tcW w:w="7480" w:type="dxa"/>
            <w:vAlign w:val="bottom"/>
          </w:tcPr>
          <w:p>
            <w:pPr>
              <w:spacing w:after="0" w:line="195" w:lineRule="exact"/>
              <w:rPr>
                <w:sz w:val="20"/>
                <w:szCs w:val="20"/>
                <w:color w:val="auto"/>
              </w:rPr>
            </w:pPr>
            <w:r>
              <w:rPr>
                <w:rFonts w:ascii="Arial" w:cs="Arial" w:eastAsia="Arial" w:hAnsi="Arial"/>
                <w:sz w:val="18"/>
                <w:szCs w:val="18"/>
                <w:color w:val="auto"/>
              </w:rPr>
              <w:t>Theoretical tax</w:t>
            </w:r>
          </w:p>
        </w:tc>
        <w:tc>
          <w:tcPr>
            <w:tcW w:w="116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4,212</w:t>
            </w:r>
          </w:p>
        </w:tc>
        <w:tc>
          <w:tcPr>
            <w:tcW w:w="1800" w:type="dxa"/>
            <w:vAlign w:val="bottom"/>
          </w:tcPr>
          <w:p>
            <w:pPr>
              <w:jc w:val="right"/>
              <w:ind w:right="492"/>
              <w:spacing w:after="0" w:line="195" w:lineRule="exact"/>
              <w:rPr>
                <w:sz w:val="20"/>
                <w:szCs w:val="20"/>
                <w:color w:val="auto"/>
              </w:rPr>
            </w:pPr>
            <w:r>
              <w:rPr>
                <w:rFonts w:ascii="Arial" w:cs="Arial" w:eastAsia="Arial" w:hAnsi="Arial"/>
                <w:sz w:val="18"/>
                <w:szCs w:val="18"/>
                <w:color w:val="auto"/>
              </w:rPr>
              <w:t>6,500</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6,536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Effect of equity method of accounting</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(1,143)</w:t>
            </w:r>
          </w:p>
        </w:tc>
        <w:tc>
          <w:tcPr>
            <w:tcW w:w="1800" w:type="dxa"/>
            <w:vAlign w:val="bottom"/>
          </w:tcPr>
          <w:p>
            <w:pPr>
              <w:jc w:val="right"/>
              <w:ind w:right="452"/>
              <w:spacing w:after="0"/>
              <w:rPr>
                <w:sz w:val="20"/>
                <w:szCs w:val="20"/>
                <w:color w:val="auto"/>
              </w:rPr>
            </w:pPr>
            <w:r>
              <w:rPr>
                <w:rFonts w:ascii="Arial" w:cs="Arial" w:eastAsia="Arial" w:hAnsi="Arial"/>
                <w:sz w:val="18"/>
                <w:szCs w:val="18"/>
                <w:color w:val="auto"/>
              </w:rPr>
              <w:t>(1,545)</w:t>
            </w:r>
          </w:p>
        </w:tc>
        <w:tc>
          <w:tcPr>
            <w:tcW w:w="98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 xml:space="preserve">Non-U.S. taxes in excess of/(less than) theoretical U.S. tax </w:t>
            </w:r>
            <w:r>
              <w:rPr>
                <w:rFonts w:ascii="Arial" w:cs="Arial" w:eastAsia="Arial" w:hAnsi="Arial"/>
                <w:sz w:val="14"/>
                <w:szCs w:val="14"/>
                <w:i w:val="1"/>
                <w:iCs w:val="1"/>
                <w:color w:val="auto"/>
              </w:rPr>
              <w:t>(1)</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2,573</w:t>
            </w:r>
          </w:p>
        </w:tc>
        <w:tc>
          <w:tcPr>
            <w:tcW w:w="1800" w:type="dxa"/>
            <w:vAlign w:val="bottom"/>
          </w:tcPr>
          <w:p>
            <w:pPr>
              <w:jc w:val="right"/>
              <w:ind w:right="492"/>
              <w:spacing w:after="0"/>
              <w:rPr>
                <w:sz w:val="20"/>
                <w:szCs w:val="20"/>
                <w:color w:val="auto"/>
              </w:rPr>
            </w:pPr>
            <w:r>
              <w:rPr>
                <w:rFonts w:ascii="Arial" w:cs="Arial" w:eastAsia="Arial" w:hAnsi="Arial"/>
                <w:sz w:val="18"/>
                <w:szCs w:val="18"/>
                <w:color w:val="auto"/>
              </w:rPr>
              <w:t>4,626</w:t>
            </w:r>
          </w:p>
        </w:tc>
        <w:tc>
          <w:tcPr>
            <w:tcW w:w="980" w:type="dxa"/>
            <w:vAlign w:val="bottom"/>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Enactment-date effects of U.S. tax reform</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52"/>
              <w:spacing w:after="0"/>
              <w:rPr>
                <w:sz w:val="20"/>
                <w:szCs w:val="20"/>
                <w:color w:val="auto"/>
              </w:rPr>
            </w:pPr>
            <w:r>
              <w:rPr>
                <w:rFonts w:ascii="Arial" w:cs="Arial" w:eastAsia="Arial" w:hAnsi="Arial"/>
                <w:sz w:val="18"/>
                <w:szCs w:val="18"/>
                <w:color w:val="auto"/>
              </w:rPr>
              <w:t>(291)</w:t>
            </w:r>
          </w:p>
        </w:tc>
        <w:tc>
          <w:tcPr>
            <w:tcW w:w="980" w:type="dxa"/>
            <w:vAlign w:val="bottom"/>
          </w:tcPr>
          <w:p>
            <w:pPr>
              <w:jc w:val="right"/>
              <w:spacing w:after="0"/>
              <w:rPr>
                <w:sz w:val="20"/>
                <w:szCs w:val="20"/>
                <w:color w:val="auto"/>
              </w:rPr>
            </w:pPr>
            <w:r>
              <w:rPr>
                <w:rFonts w:ascii="Arial" w:cs="Arial" w:eastAsia="Arial" w:hAnsi="Arial"/>
                <w:sz w:val="18"/>
                <w:szCs w:val="18"/>
                <w:color w:val="auto"/>
              </w:rPr>
              <w:t>(5,942)</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i w:val="1"/>
                <w:iCs w:val="1"/>
                <w:color w:val="auto"/>
              </w:rPr>
              <w:t>(2)</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(360)</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242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10"/>
        </w:trPr>
        <w:tc>
          <w:tcPr>
            <w:tcW w:w="7480" w:type="dxa"/>
            <w:vAlign w:val="bottom"/>
          </w:tcPr>
          <w:p>
            <w:pPr>
              <w:ind w:left="220"/>
              <w:spacing w:after="0"/>
              <w:rPr>
                <w:sz w:val="20"/>
                <w:szCs w:val="20"/>
                <w:color w:val="auto"/>
              </w:rPr>
            </w:pPr>
            <w:r>
              <w:rPr>
                <w:rFonts w:ascii="Arial" w:cs="Arial" w:eastAsia="Arial" w:hAnsi="Arial"/>
                <w:sz w:val="18"/>
                <w:szCs w:val="18"/>
                <w:color w:val="auto"/>
              </w:rPr>
              <w:t>Total income tax expense</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5,282</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9,532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411"/>
        </w:trPr>
        <w:tc>
          <w:tcPr>
            <w:tcW w:w="7480" w:type="dxa"/>
            <w:vAlign w:val="bottom"/>
          </w:tcPr>
          <w:p>
            <w:pPr>
              <w:spacing w:after="0"/>
              <w:rPr>
                <w:sz w:val="20"/>
                <w:szCs w:val="20"/>
                <w:color w:val="auto"/>
              </w:rPr>
            </w:pPr>
            <w:r>
              <w:rPr>
                <w:rFonts w:ascii="Arial" w:cs="Arial" w:eastAsia="Arial" w:hAnsi="Arial"/>
                <w:sz w:val="18"/>
                <w:szCs w:val="18"/>
                <w:color w:val="auto"/>
              </w:rPr>
              <w:t>Effective tax rate calculation</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Income taxes</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5,282</w:t>
            </w:r>
          </w:p>
        </w:tc>
        <w:tc>
          <w:tcPr>
            <w:tcW w:w="1800" w:type="dxa"/>
            <w:vAlign w:val="bottom"/>
          </w:tcPr>
          <w:p>
            <w:pPr>
              <w:jc w:val="right"/>
              <w:ind w:right="492"/>
              <w:spacing w:after="0"/>
              <w:rPr>
                <w:sz w:val="20"/>
                <w:szCs w:val="20"/>
                <w:color w:val="auto"/>
              </w:rPr>
            </w:pPr>
            <w:r>
              <w:rPr>
                <w:rFonts w:ascii="Arial" w:cs="Arial" w:eastAsia="Arial" w:hAnsi="Arial"/>
                <w:sz w:val="18"/>
                <w:szCs w:val="18"/>
                <w:color w:val="auto"/>
              </w:rPr>
              <w:t>9,532</w:t>
            </w:r>
          </w:p>
        </w:tc>
        <w:tc>
          <w:tcPr>
            <w:tcW w:w="9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ExxonMobil share of equity company income taxes</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2,490</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3,142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r>
      <w:tr>
        <w:trPr>
          <w:trHeight w:val="195"/>
        </w:trPr>
        <w:tc>
          <w:tcPr>
            <w:tcW w:w="7480" w:type="dxa"/>
            <w:vAlign w:val="bottom"/>
          </w:tcPr>
          <w:p>
            <w:pPr>
              <w:ind w:left="220"/>
              <w:spacing w:after="0" w:line="195" w:lineRule="exact"/>
              <w:rPr>
                <w:sz w:val="20"/>
                <w:szCs w:val="20"/>
                <w:color w:val="auto"/>
              </w:rPr>
            </w:pPr>
            <w:r>
              <w:rPr>
                <w:rFonts w:ascii="Arial" w:cs="Arial" w:eastAsia="Arial" w:hAnsi="Arial"/>
                <w:sz w:val="18"/>
                <w:szCs w:val="18"/>
                <w:color w:val="auto"/>
              </w:rPr>
              <w:t>Total income taxes</w:t>
            </w:r>
          </w:p>
        </w:tc>
        <w:tc>
          <w:tcPr>
            <w:tcW w:w="1160" w:type="dxa"/>
            <w:vAlign w:val="bottom"/>
          </w:tcPr>
          <w:p>
            <w:pPr>
              <w:jc w:val="right"/>
              <w:ind w:right="191"/>
              <w:spacing w:after="0" w:line="195" w:lineRule="exact"/>
              <w:rPr>
                <w:sz w:val="20"/>
                <w:szCs w:val="20"/>
                <w:color w:val="auto"/>
              </w:rPr>
            </w:pPr>
            <w:r>
              <w:rPr>
                <w:rFonts w:ascii="Arial" w:cs="Arial" w:eastAsia="Arial" w:hAnsi="Arial"/>
                <w:sz w:val="18"/>
                <w:szCs w:val="18"/>
                <w:color w:val="auto"/>
              </w:rPr>
              <w:t>7,772</w:t>
            </w:r>
          </w:p>
        </w:tc>
        <w:tc>
          <w:tcPr>
            <w:tcW w:w="1800" w:type="dxa"/>
            <w:vAlign w:val="bottom"/>
          </w:tcPr>
          <w:p>
            <w:pPr>
              <w:jc w:val="right"/>
              <w:ind w:right="492"/>
              <w:spacing w:after="0" w:line="195" w:lineRule="exact"/>
              <w:rPr>
                <w:sz w:val="20"/>
                <w:szCs w:val="20"/>
                <w:color w:val="auto"/>
              </w:rPr>
            </w:pPr>
            <w:r>
              <w:rPr>
                <w:rFonts w:ascii="Arial" w:cs="Arial" w:eastAsia="Arial" w:hAnsi="Arial"/>
                <w:sz w:val="18"/>
                <w:szCs w:val="18"/>
                <w:color w:val="auto"/>
              </w:rPr>
              <w:t>12,674</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1,054</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14,774</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21,421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19,848</w:t>
            </w:r>
          </w:p>
        </w:tc>
      </w:tr>
      <w:tr>
        <w:trPr>
          <w:trHeight w:val="210"/>
        </w:trPr>
        <w:tc>
          <w:tcPr>
            <w:tcW w:w="7480" w:type="dxa"/>
            <w:vAlign w:val="bottom"/>
          </w:tcPr>
          <w:p>
            <w:pPr>
              <w:ind w:left="220"/>
              <w:spacing w:after="0"/>
              <w:rPr>
                <w:sz w:val="20"/>
                <w:szCs w:val="20"/>
                <w:color w:val="auto"/>
              </w:rPr>
            </w:pPr>
            <w:r>
              <w:rPr>
                <w:rFonts w:ascii="Arial" w:cs="Arial" w:eastAsia="Arial" w:hAnsi="Arial"/>
                <w:sz w:val="18"/>
                <w:szCs w:val="18"/>
                <w:color w:val="auto"/>
              </w:rPr>
              <w:t>Total income before taxes</w:t>
            </w: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22,546</w:t>
            </w:r>
          </w:p>
        </w:tc>
        <w:tc>
          <w:tcPr>
            <w:tcW w:w="18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34,095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20,902</w:t>
            </w:r>
          </w:p>
        </w:tc>
      </w:tr>
      <w:tr>
        <w:trPr>
          <w:trHeight w:val="426"/>
        </w:trPr>
        <w:tc>
          <w:tcPr>
            <w:tcW w:w="74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800" w:type="dxa"/>
            <w:vAlign w:val="bottom"/>
          </w:tcPr>
          <w:p>
            <w:pPr>
              <w:jc w:val="right"/>
              <w:ind w:right="452"/>
              <w:spacing w:after="0"/>
              <w:rPr>
                <w:sz w:val="20"/>
                <w:szCs w:val="20"/>
                <w:color w:val="auto"/>
              </w:rPr>
            </w:pPr>
            <w:r>
              <w:rPr>
                <w:rFonts w:ascii="Arial" w:cs="Arial" w:eastAsia="Arial" w:hAnsi="Arial"/>
                <w:sz w:val="18"/>
                <w:szCs w:val="18"/>
                <w:color w:val="auto"/>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69" w:lineRule="exact"/>
        <w:rPr>
          <w:sz w:val="20"/>
          <w:szCs w:val="20"/>
          <w:color w:val="auto"/>
        </w:rPr>
      </w:pPr>
    </w:p>
    <w:p>
      <w:pPr>
        <w:ind w:left="180" w:right="20" w:hanging="172"/>
        <w:spacing w:after="0" w:line="309" w:lineRule="auto"/>
        <w:tabs>
          <w:tab w:leader="none" w:pos="266"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2019 includes taxes less than the theoretical U.S. tax of $773 million from Norway operations and the sale of upstream assets, $657 million from a tax rate change in Alberta, Canada, and $268 million from an adjustment to a prior year tax position.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2017 includes taxes less than the theoretical U.S. tax of $708 million from an exploration tax benefit.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impact of temporary differences between the amount of assets and liabilities recognized for financial reporting purposes and such amounts recognized for tax purposes.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liabilities/(assets) are comprised of the following at December 31: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 effects of temporary differences for:</w:t>
            </w: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r>
      <w:tr>
        <w:trPr>
          <w:trHeight w:val="184"/>
        </w:trPr>
        <w:tc>
          <w:tcPr>
            <w:tcW w:w="9160" w:type="dxa"/>
            <w:vAlign w:val="bottom"/>
          </w:tcPr>
          <w:p>
            <w:pPr>
              <w:spacing w:after="0"/>
              <w:rPr>
                <w:sz w:val="16"/>
                <w:szCs w:val="16"/>
                <w:color w:val="auto"/>
              </w:rPr>
            </w:pPr>
          </w:p>
        </w:tc>
        <w:tc>
          <w:tcPr>
            <w:tcW w:w="2280" w:type="dxa"/>
            <w:vAlign w:val="bottom"/>
            <w:gridSpan w:val="3"/>
          </w:tcPr>
          <w:p>
            <w:pPr>
              <w:jc w:val="right"/>
              <w:ind w:right="580"/>
              <w:spacing w:after="0"/>
              <w:rPr>
                <w:sz w:val="20"/>
                <w:szCs w:val="20"/>
                <w:color w:val="auto"/>
              </w:rPr>
            </w:pPr>
            <w:r>
              <w:rPr>
                <w:rFonts w:ascii="Arial" w:cs="Arial" w:eastAsia="Arial" w:hAnsi="Arial"/>
                <w:sz w:val="14"/>
                <w:szCs w:val="14"/>
                <w:i w:val="1"/>
                <w:iCs w:val="1"/>
                <w:color w:val="auto"/>
              </w:rPr>
              <w:t>(millions of dollars)</w:t>
            </w:r>
          </w:p>
        </w:tc>
      </w:tr>
      <w:tr>
        <w:trPr>
          <w:trHeight w:val="443"/>
        </w:trPr>
        <w:tc>
          <w:tcPr>
            <w:tcW w:w="91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tcPr>
          <w:p>
            <w:pPr>
              <w:jc w:val="right"/>
              <w:ind w:right="393"/>
              <w:spacing w:after="0"/>
              <w:rPr>
                <w:sz w:val="20"/>
                <w:szCs w:val="20"/>
                <w:color w:val="auto"/>
              </w:rPr>
            </w:pPr>
            <w:r>
              <w:rPr>
                <w:rFonts w:ascii="Arial" w:cs="Arial" w:eastAsia="Arial" w:hAnsi="Arial"/>
                <w:sz w:val="18"/>
                <w:szCs w:val="18"/>
                <w:color w:val="auto"/>
              </w:rPr>
              <w:t>36,029</w:t>
            </w:r>
          </w:p>
        </w:tc>
        <w:tc>
          <w:tcPr>
            <w:tcW w:w="1040" w:type="dxa"/>
            <w:vAlign w:val="bottom"/>
          </w:tcPr>
          <w:p>
            <w:pPr>
              <w:jc w:val="right"/>
              <w:spacing w:after="0"/>
              <w:rPr>
                <w:sz w:val="20"/>
                <w:szCs w:val="20"/>
                <w:color w:val="auto"/>
              </w:rPr>
            </w:pPr>
            <w:r>
              <w:rPr>
                <w:rFonts w:ascii="Arial" w:cs="Arial" w:eastAsia="Arial" w:hAnsi="Arial"/>
                <w:sz w:val="18"/>
                <w:szCs w:val="18"/>
                <w:color w:val="auto"/>
              </w:rPr>
              <w:t>35,745</w:t>
            </w:r>
          </w:p>
        </w:tc>
        <w:tc>
          <w:tcPr>
            <w:tcW w:w="20" w:type="dxa"/>
            <w:vAlign w:val="bottom"/>
          </w:tcPr>
          <w:p>
            <w:pPr>
              <w:spacing w:after="0"/>
              <w:rPr>
                <w:sz w:val="24"/>
                <w:szCs w:val="24"/>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7,653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20" w:type="dxa"/>
            <w:vAlign w:val="bottom"/>
          </w:tcPr>
          <w:p>
            <w:pPr>
              <w:spacing w:after="0"/>
              <w:rPr>
                <w:sz w:val="20"/>
                <w:szCs w:val="20"/>
                <w:color w:val="auto"/>
              </w:rPr>
            </w:pPr>
          </w:p>
        </w:tc>
      </w:tr>
      <w:tr>
        <w:trPr>
          <w:trHeight w:val="210"/>
        </w:trPr>
        <w:tc>
          <w:tcPr>
            <w:tcW w:w="9160" w:type="dxa"/>
            <w:vAlign w:val="bottom"/>
          </w:tcPr>
          <w:p>
            <w:pPr>
              <w:ind w:left="120"/>
              <w:spacing w:after="0"/>
              <w:rPr>
                <w:sz w:val="20"/>
                <w:szCs w:val="20"/>
                <w:color w:val="auto"/>
              </w:rPr>
            </w:pPr>
            <w:r>
              <w:rPr>
                <w:rFonts w:ascii="Arial" w:cs="Arial" w:eastAsia="Arial" w:hAnsi="Arial"/>
                <w:sz w:val="18"/>
                <w:szCs w:val="18"/>
                <w:color w:val="auto"/>
              </w:rPr>
              <w:t>Total deferred tax liabilities</w:t>
            </w: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43,682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42,261</w:t>
            </w:r>
          </w:p>
        </w:tc>
        <w:tc>
          <w:tcPr>
            <w:tcW w:w="20" w:type="dxa"/>
            <w:vAlign w:val="bottom"/>
          </w:tcPr>
          <w:p>
            <w:pPr>
              <w:spacing w:after="0"/>
              <w:rPr>
                <w:sz w:val="18"/>
                <w:szCs w:val="18"/>
                <w:color w:val="auto"/>
              </w:rPr>
            </w:pPr>
          </w:p>
        </w:tc>
      </w:tr>
      <w:tr>
        <w:trPr>
          <w:trHeight w:val="411"/>
        </w:trPr>
        <w:tc>
          <w:tcPr>
            <w:tcW w:w="9160" w:type="dxa"/>
            <w:vAlign w:val="bottom"/>
          </w:tcPr>
          <w:p>
            <w:pPr>
              <w:spacing w:after="0"/>
              <w:rPr>
                <w:sz w:val="20"/>
                <w:szCs w:val="20"/>
                <w:color w:val="auto"/>
              </w:rPr>
            </w:pPr>
            <w:r>
              <w:rPr>
                <w:rFonts w:ascii="Arial" w:cs="Arial" w:eastAsia="Arial" w:hAnsi="Arial"/>
                <w:sz w:val="18"/>
                <w:szCs w:val="18"/>
                <w:color w:val="auto"/>
              </w:rPr>
              <w:t>Pension and other postretirement benefits</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(4,712)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(4,115)</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(3,403)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(4,118)</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Tax loss carryforwards</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(7,404)</w:t>
            </w:r>
          </w:p>
        </w:tc>
        <w:tc>
          <w:tcPr>
            <w:tcW w:w="1040" w:type="dxa"/>
            <w:vAlign w:val="bottom"/>
          </w:tcPr>
          <w:p>
            <w:pPr>
              <w:jc w:val="right"/>
              <w:spacing w:after="0"/>
              <w:rPr>
                <w:sz w:val="20"/>
                <w:szCs w:val="20"/>
                <w:color w:val="auto"/>
              </w:rPr>
            </w:pPr>
            <w:r>
              <w:rPr>
                <w:rFonts w:ascii="Arial" w:cs="Arial" w:eastAsia="Arial" w:hAnsi="Arial"/>
                <w:sz w:val="18"/>
                <w:szCs w:val="18"/>
                <w:color w:val="auto"/>
              </w:rPr>
              <w:t>(6,321)</w:t>
            </w:r>
          </w:p>
        </w:tc>
        <w:tc>
          <w:tcPr>
            <w:tcW w:w="20" w:type="dxa"/>
            <w:vAlign w:val="bottom"/>
          </w:tcPr>
          <w:p>
            <w:pPr>
              <w:spacing w:after="0"/>
              <w:rPr>
                <w:sz w:val="18"/>
                <w:szCs w:val="18"/>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Other assets</w:t>
            </w: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(7,735)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0" w:type="dxa"/>
            <w:vAlign w:val="bottom"/>
          </w:tcPr>
          <w:p>
            <w:pPr>
              <w:spacing w:after="0"/>
              <w:rPr>
                <w:sz w:val="20"/>
                <w:szCs w:val="20"/>
                <w:color w:val="auto"/>
              </w:rPr>
            </w:pPr>
          </w:p>
        </w:tc>
      </w:tr>
      <w:tr>
        <w:trPr>
          <w:trHeight w:val="210"/>
        </w:trPr>
        <w:tc>
          <w:tcPr>
            <w:tcW w:w="9160" w:type="dxa"/>
            <w:vAlign w:val="bottom"/>
          </w:tcPr>
          <w:p>
            <w:pPr>
              <w:ind w:left="120"/>
              <w:spacing w:after="0"/>
              <w:rPr>
                <w:sz w:val="20"/>
                <w:szCs w:val="20"/>
                <w:color w:val="auto"/>
              </w:rPr>
            </w:pPr>
            <w:r>
              <w:rPr>
                <w:rFonts w:ascii="Arial" w:cs="Arial" w:eastAsia="Arial" w:hAnsi="Arial"/>
                <w:sz w:val="18"/>
                <w:szCs w:val="18"/>
                <w:color w:val="auto"/>
              </w:rPr>
              <w:t>Total deferred tax assets</w:t>
            </w: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(23,254)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(20,052)</w:t>
            </w:r>
          </w:p>
        </w:tc>
        <w:tc>
          <w:tcPr>
            <w:tcW w:w="20" w:type="dxa"/>
            <w:vAlign w:val="bottom"/>
          </w:tcPr>
          <w:p>
            <w:pPr>
              <w:spacing w:after="0"/>
              <w:rPr>
                <w:sz w:val="18"/>
                <w:szCs w:val="18"/>
                <w:color w:val="auto"/>
              </w:rPr>
            </w:pPr>
          </w:p>
        </w:tc>
      </w:tr>
      <w:tr>
        <w:trPr>
          <w:trHeight w:val="426"/>
        </w:trPr>
        <w:tc>
          <w:tcPr>
            <w:tcW w:w="9160" w:type="dxa"/>
            <w:vAlign w:val="bottom"/>
          </w:tcPr>
          <w:p>
            <w:pPr>
              <w:spacing w:after="0"/>
              <w:rPr>
                <w:sz w:val="20"/>
                <w:szCs w:val="20"/>
                <w:color w:val="auto"/>
              </w:rPr>
            </w:pPr>
            <w:r>
              <w:rPr>
                <w:rFonts w:ascii="Arial" w:cs="Arial" w:eastAsia="Arial" w:hAnsi="Arial"/>
                <w:sz w:val="18"/>
                <w:szCs w:val="18"/>
                <w:color w:val="auto"/>
              </w:rPr>
              <w:t>Asset valuation allowances</w:t>
            </w: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1,924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0" w:type="dxa"/>
            <w:vAlign w:val="bottom"/>
          </w:tcPr>
          <w:p>
            <w:pPr>
              <w:spacing w:after="0"/>
              <w:rPr>
                <w:sz w:val="24"/>
                <w:szCs w:val="24"/>
                <w:color w:val="auto"/>
              </w:rPr>
            </w:pPr>
          </w:p>
        </w:tc>
      </w:tr>
      <w:tr>
        <w:trPr>
          <w:trHeight w:val="210"/>
        </w:trPr>
        <w:tc>
          <w:tcPr>
            <w:tcW w:w="9160" w:type="dxa"/>
            <w:vAlign w:val="bottom"/>
          </w:tcPr>
          <w:p>
            <w:pPr>
              <w:ind w:left="1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22,352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asset valuation allowances of $1,924 million increased by $98 million and included net provisions of $113 million and effects of foreign currency translation of $15 million.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classification</w:t>
            </w:r>
          </w:p>
        </w:tc>
        <w:tc>
          <w:tcPr>
            <w:tcW w:w="1740" w:type="dxa"/>
            <w:vAlign w:val="bottom"/>
            <w:tcBorders>
              <w:bottom w:val="single" w:sz="8" w:color="auto"/>
            </w:tcBorders>
          </w:tcPr>
          <w:p>
            <w:pPr>
              <w:jc w:val="right"/>
              <w:ind w:right="111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2018</w:t>
            </w:r>
          </w:p>
        </w:tc>
      </w:tr>
      <w:tr>
        <w:trPr>
          <w:trHeight w:val="184"/>
        </w:trPr>
        <w:tc>
          <w:tcPr>
            <w:tcW w:w="9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560" w:type="dxa"/>
            <w:vAlign w:val="bottom"/>
          </w:tcPr>
          <w:p>
            <w:pPr>
              <w:spacing w:after="0"/>
              <w:rPr>
                <w:sz w:val="16"/>
                <w:szCs w:val="16"/>
                <w:color w:val="auto"/>
              </w:rPr>
            </w:pPr>
          </w:p>
        </w:tc>
      </w:tr>
      <w:tr>
        <w:trPr>
          <w:trHeight w:val="443"/>
        </w:trPr>
        <w:tc>
          <w:tcPr>
            <w:tcW w:w="9120" w:type="dxa"/>
            <w:vAlign w:val="bottom"/>
          </w:tcPr>
          <w:p>
            <w:pPr>
              <w:spacing w:after="0"/>
              <w:rPr>
                <w:sz w:val="20"/>
                <w:szCs w:val="20"/>
                <w:color w:val="auto"/>
              </w:rPr>
            </w:pPr>
            <w:r>
              <w:rPr>
                <w:rFonts w:ascii="Arial" w:cs="Arial" w:eastAsia="Arial" w:hAnsi="Arial"/>
                <w:sz w:val="18"/>
                <w:szCs w:val="18"/>
                <w:color w:val="auto"/>
              </w:rPr>
              <w:t>Other assets, including intangibles, net</w:t>
            </w:r>
          </w:p>
        </w:tc>
        <w:tc>
          <w:tcPr>
            <w:tcW w:w="1740" w:type="dxa"/>
            <w:vAlign w:val="bottom"/>
          </w:tcPr>
          <w:p>
            <w:pPr>
              <w:jc w:val="right"/>
              <w:ind w:right="857"/>
              <w:spacing w:after="0"/>
              <w:rPr>
                <w:sz w:val="20"/>
                <w:szCs w:val="20"/>
                <w:color w:val="auto"/>
              </w:rPr>
            </w:pPr>
            <w:r>
              <w:rPr>
                <w:rFonts w:ascii="Arial" w:cs="Arial" w:eastAsia="Arial" w:hAnsi="Arial"/>
                <w:sz w:val="18"/>
                <w:szCs w:val="18"/>
                <w:color w:val="auto"/>
              </w:rPr>
              <w:t>(3,268)</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(3,209)</w:t>
            </w: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74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25,620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27,244</w:t>
            </w:r>
          </w:p>
        </w:tc>
      </w:tr>
      <w:tr>
        <w:trPr>
          <w:trHeight w:val="210"/>
        </w:trPr>
        <w:tc>
          <w:tcPr>
            <w:tcW w:w="9120" w:type="dxa"/>
            <w:vAlign w:val="bottom"/>
          </w:tcPr>
          <w:p>
            <w:pPr>
              <w:ind w:left="120"/>
              <w:spacing w:after="0"/>
              <w:rPr>
                <w:sz w:val="20"/>
                <w:szCs w:val="20"/>
                <w:color w:val="auto"/>
              </w:rPr>
            </w:pPr>
            <w:r>
              <w:rPr>
                <w:rFonts w:ascii="Arial" w:cs="Arial" w:eastAsia="Arial" w:hAnsi="Arial"/>
                <w:sz w:val="18"/>
                <w:szCs w:val="18"/>
                <w:color w:val="auto"/>
              </w:rPr>
              <w:t>Net deferred tax liabilities</w:t>
            </w:r>
          </w:p>
        </w:tc>
        <w:tc>
          <w:tcPr>
            <w:tcW w:w="174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22,352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24,035</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Corporation’s undistributed earnings from subsidiary companies outside the United States include amounts that have been retained to fund prior and future capital project expenditures. Deferred income taxes have not been recorded for potential future tax obligations, such as foreign withholding tax and state tax, as these undistributed earnings are expected to be indefinitely reinvested for the foreseeable future. As of December 31, 2019, it is not practicable to estimate the unrecognized deferred tax liability. However, unrecognized deferred taxes on remittance of these funds are not expected to be material.</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Unrecognized Tax Benefits. </w:t>
      </w:r>
      <w:r>
        <w:rPr>
          <w:rFonts w:ascii="Arial" w:cs="Arial" w:eastAsia="Arial" w:hAnsi="Arial"/>
          <w:sz w:val="18"/>
          <w:szCs w:val="18"/>
          <w:color w:val="auto"/>
        </w:rPr>
        <w:t>The Corporation is subject to income taxation in many jurisdictions around the world. Unrecognized tax benefits reflect the</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 between positions taken or expected to be taken on income tax returns and the amounts recognized in the financial statements. The following table summarizes the movement in unrecognized tax benefits: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unrecognized tax benefits</w:t>
            </w: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7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r>
      <w:tr>
        <w:trPr>
          <w:trHeight w:val="184"/>
        </w:trPr>
        <w:tc>
          <w:tcPr>
            <w:tcW w:w="7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Arial" w:cs="Arial" w:eastAsia="Arial" w:hAnsi="Arial"/>
                <w:sz w:val="14"/>
                <w:szCs w:val="14"/>
                <w:i w:val="1"/>
                <w:iCs w:val="1"/>
                <w:color w:val="auto"/>
              </w:rPr>
              <w:t>(millions of dollars)</w:t>
            </w:r>
          </w:p>
        </w:tc>
        <w:tc>
          <w:tcPr>
            <w:tcW w:w="840" w:type="dxa"/>
            <w:vAlign w:val="bottom"/>
          </w:tcPr>
          <w:p>
            <w:pPr>
              <w:spacing w:after="0"/>
              <w:rPr>
                <w:sz w:val="16"/>
                <w:szCs w:val="16"/>
                <w:color w:val="auto"/>
              </w:rPr>
            </w:pPr>
          </w:p>
        </w:tc>
      </w:tr>
      <w:tr>
        <w:trPr>
          <w:trHeight w:val="443"/>
        </w:trPr>
        <w:tc>
          <w:tcPr>
            <w:tcW w:w="7900" w:type="dxa"/>
            <w:vAlign w:val="bottom"/>
          </w:tcPr>
          <w:p>
            <w:pPr>
              <w:spacing w:after="0"/>
              <w:rPr>
                <w:sz w:val="20"/>
                <w:szCs w:val="20"/>
                <w:color w:val="auto"/>
              </w:rPr>
            </w:pPr>
            <w:r>
              <w:rPr>
                <w:rFonts w:ascii="Arial" w:cs="Arial" w:eastAsia="Arial" w:hAnsi="Arial"/>
                <w:sz w:val="18"/>
                <w:szCs w:val="18"/>
                <w:color w:val="auto"/>
              </w:rPr>
              <w:t>Balance at January 1</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9,174</w:t>
            </w: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8,783</w:t>
            </w:r>
          </w:p>
        </w:tc>
        <w:tc>
          <w:tcPr>
            <w:tcW w:w="840" w:type="dxa"/>
            <w:vAlign w:val="bottom"/>
          </w:tcPr>
          <w:p>
            <w:pPr>
              <w:jc w:val="right"/>
              <w:spacing w:after="0"/>
              <w:rPr>
                <w:sz w:val="20"/>
                <w:szCs w:val="20"/>
                <w:color w:val="auto"/>
              </w:rPr>
            </w:pPr>
            <w:r>
              <w:rPr>
                <w:rFonts w:ascii="Arial" w:cs="Arial" w:eastAsia="Arial" w:hAnsi="Arial"/>
                <w:sz w:val="18"/>
                <w:szCs w:val="18"/>
                <w:color w:val="auto"/>
              </w:rPr>
              <w:t>9,468</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Additions based on current year's tax positions</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287</w:t>
            </w: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375</w:t>
            </w: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Additions for prior years' tax positions</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120</w:t>
            </w: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240</w:t>
            </w:r>
          </w:p>
        </w:tc>
        <w:tc>
          <w:tcPr>
            <w:tcW w:w="8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Reductions for prior years' tax positions</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(97)</w:t>
            </w:r>
          </w:p>
        </w:tc>
        <w:tc>
          <w:tcPr>
            <w:tcW w:w="1740" w:type="dxa"/>
            <w:vAlign w:val="bottom"/>
          </w:tcPr>
          <w:p>
            <w:pPr>
              <w:jc w:val="right"/>
              <w:ind w:right="474"/>
              <w:spacing w:after="0"/>
              <w:rPr>
                <w:sz w:val="20"/>
                <w:szCs w:val="20"/>
                <w:color w:val="auto"/>
              </w:rPr>
            </w:pPr>
            <w:r>
              <w:rPr>
                <w:rFonts w:ascii="Arial" w:cs="Arial" w:eastAsia="Arial" w:hAnsi="Arial"/>
                <w:sz w:val="18"/>
                <w:szCs w:val="18"/>
                <w:color w:val="auto"/>
              </w:rPr>
              <w:t>(125)</w:t>
            </w:r>
          </w:p>
        </w:tc>
        <w:tc>
          <w:tcPr>
            <w:tcW w:w="84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Reductions due to lapse of the statute of limitations</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(279)</w:t>
            </w:r>
          </w:p>
        </w:tc>
        <w:tc>
          <w:tcPr>
            <w:tcW w:w="1740" w:type="dxa"/>
            <w:vAlign w:val="bottom"/>
          </w:tcPr>
          <w:p>
            <w:pPr>
              <w:jc w:val="right"/>
              <w:ind w:right="474"/>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Settlements with tax authorities</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1740" w:type="dxa"/>
            <w:vAlign w:val="bottom"/>
          </w:tcPr>
          <w:p>
            <w:pPr>
              <w:jc w:val="right"/>
              <w:ind w:right="474"/>
              <w:spacing w:after="0"/>
              <w:rPr>
                <w:sz w:val="20"/>
                <w:szCs w:val="20"/>
                <w:color w:val="auto"/>
              </w:rPr>
            </w:pPr>
            <w:r>
              <w:rPr>
                <w:rFonts w:ascii="Arial" w:cs="Arial" w:eastAsia="Arial" w:hAnsi="Arial"/>
                <w:sz w:val="18"/>
                <w:szCs w:val="18"/>
                <w:color w:val="auto"/>
              </w:rPr>
              <w:t>(68)</w:t>
            </w:r>
          </w:p>
        </w:tc>
        <w:tc>
          <w:tcPr>
            <w:tcW w:w="84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Foreign exchange effects/other</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177</w:t>
            </w:r>
          </w:p>
        </w:tc>
        <w:tc>
          <w:tcPr>
            <w:tcW w:w="174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8,844</w:t>
            </w:r>
          </w:p>
        </w:tc>
        <w:tc>
          <w:tcPr>
            <w:tcW w:w="174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9,174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8,783</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unrecognized tax benefit balances shown above are predominantly related to tax positions that would reduce the Corporation’s effective tax rate if the positions are favorably resolved. Unfavorable resolution of these tax positions generally would not increase the effective tax rate. The 2019, 2018 and 2017 changes in unrecognized tax benefits did not have a material effect on the Corporation’s net income.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Resolution of these tax positions through negotiations with the relevant tax authorities or through litigation will take many years to complete. It is difficult to predict the timing of resolution for tax positions since such timing is not entirely within the control of the Corporation. In the United States, the Corporation has various ongoing U.S. federal income tax positions at issue with the Internal Revenue Service (IRS) for tax years beginning in 2006. The Corporation filed a refund suit for tax years 2006-2009 in U.S. federal district court with respect to the positions at issue for those years. These positions are reflected in the unrecognized tax benefits table above. On February 24, 2020, the Corporation received an adverse ruling on this suit and is assessing the ruling. Unfavorable resolution of all positions at issue with the IRS would not have a materially adverse effect on the Corporation’s net income or liquidity. The IRS has asserted penalties associated with several of those positions. The Corporation has not recognized the penalties as an expense because the Corporation does not expect the penalties to be sustained under applicable law.</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total amount of unrecognized tax benefits could increase or decrease by 10 percent in the next 12 months with no material impact on the Corporation's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tax years that remain subject to examination by major tax jurisdiction:</w:t>
      </w:r>
    </w:p>
    <w:p>
      <w:pPr>
        <w:spacing w:after="0" w:line="200" w:lineRule="exact"/>
        <w:rPr>
          <w:sz w:val="20"/>
          <w:szCs w:val="20"/>
          <w:color w:val="auto"/>
        </w:rPr>
      </w:pPr>
    </w:p>
    <w:p>
      <w:pPr>
        <w:spacing w:after="0" w:line="23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Country of Operation</w:t>
            </w:r>
          </w:p>
        </w:tc>
        <w:tc>
          <w:tcPr>
            <w:tcW w:w="3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Open Tax Years</w:t>
            </w:r>
          </w:p>
        </w:tc>
      </w:tr>
      <w:tr>
        <w:trPr>
          <w:trHeight w:val="195"/>
        </w:trPr>
        <w:tc>
          <w:tcPr>
            <w:tcW w:w="4300" w:type="dxa"/>
            <w:vAlign w:val="bottom"/>
          </w:tcPr>
          <w:p>
            <w:pPr>
              <w:spacing w:after="0" w:line="195" w:lineRule="exact"/>
              <w:rPr>
                <w:sz w:val="20"/>
                <w:szCs w:val="20"/>
                <w:color w:val="auto"/>
              </w:rPr>
            </w:pPr>
            <w:r>
              <w:rPr>
                <w:rFonts w:ascii="Arial" w:cs="Arial" w:eastAsia="Arial" w:hAnsi="Arial"/>
                <w:sz w:val="18"/>
                <w:szCs w:val="18"/>
                <w:color w:val="auto"/>
              </w:rPr>
              <w:t>Abu Dhabi</w:t>
            </w:r>
          </w:p>
        </w:tc>
        <w:tc>
          <w:tcPr>
            <w:tcW w:w="3260" w:type="dxa"/>
            <w:vAlign w:val="bottom"/>
          </w:tcPr>
          <w:p>
            <w:pPr>
              <w:jc w:val="right"/>
              <w:spacing w:after="0" w:line="195" w:lineRule="exact"/>
              <w:rPr>
                <w:sz w:val="20"/>
                <w:szCs w:val="20"/>
                <w:color w:val="auto"/>
              </w:rPr>
            </w:pPr>
            <w:r>
              <w:rPr>
                <w:rFonts w:ascii="Arial" w:cs="Arial" w:eastAsia="Arial" w:hAnsi="Arial"/>
                <w:sz w:val="18"/>
                <w:szCs w:val="18"/>
                <w:color w:val="auto"/>
              </w:rPr>
              <w:t>2018</w:t>
            </w: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Angola</w:t>
            </w:r>
          </w:p>
        </w:tc>
        <w:tc>
          <w:tcPr>
            <w:tcW w:w="3260" w:type="dxa"/>
            <w:vAlign w:val="bottom"/>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Australia</w:t>
            </w:r>
          </w:p>
        </w:tc>
        <w:tc>
          <w:tcPr>
            <w:tcW w:w="3260" w:type="dxa"/>
            <w:vAlign w:val="bottom"/>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Belgium</w:t>
            </w:r>
          </w:p>
        </w:tc>
        <w:tc>
          <w:tcPr>
            <w:tcW w:w="326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Canada</w:t>
            </w:r>
          </w:p>
        </w:tc>
        <w:tc>
          <w:tcPr>
            <w:tcW w:w="326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Equatorial Guinea</w:t>
            </w:r>
          </w:p>
        </w:tc>
        <w:tc>
          <w:tcPr>
            <w:tcW w:w="3260" w:type="dxa"/>
            <w:vAlign w:val="bottom"/>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Indonesia</w:t>
            </w:r>
          </w:p>
        </w:tc>
        <w:tc>
          <w:tcPr>
            <w:tcW w:w="3260" w:type="dxa"/>
            <w:vAlign w:val="bottom"/>
          </w:tcPr>
          <w:p>
            <w:pPr>
              <w:jc w:val="right"/>
              <w:spacing w:after="0"/>
              <w:rPr>
                <w:sz w:val="20"/>
                <w:szCs w:val="20"/>
                <w:color w:val="auto"/>
              </w:rPr>
            </w:pPr>
            <w:r>
              <w:rPr>
                <w:rFonts w:ascii="Arial" w:cs="Arial" w:eastAsia="Arial" w:hAnsi="Arial"/>
                <w:sz w:val="18"/>
                <w:szCs w:val="18"/>
                <w:color w:val="auto"/>
              </w:rPr>
              <w:t>2007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Iraq</w:t>
            </w:r>
          </w:p>
        </w:tc>
        <w:tc>
          <w:tcPr>
            <w:tcW w:w="3260" w:type="dxa"/>
            <w:vAlign w:val="bottom"/>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Malaysia</w:t>
            </w:r>
          </w:p>
        </w:tc>
        <w:tc>
          <w:tcPr>
            <w:tcW w:w="3260" w:type="dxa"/>
            <w:vAlign w:val="bottom"/>
          </w:tcPr>
          <w:p>
            <w:pPr>
              <w:jc w:val="right"/>
              <w:spacing w:after="0"/>
              <w:rPr>
                <w:sz w:val="20"/>
                <w:szCs w:val="20"/>
                <w:color w:val="auto"/>
              </w:rPr>
            </w:pPr>
            <w:r>
              <w:rPr>
                <w:rFonts w:ascii="Arial" w:cs="Arial" w:eastAsia="Arial" w:hAnsi="Arial"/>
                <w:sz w:val="18"/>
                <w:szCs w:val="18"/>
                <w:color w:val="auto"/>
              </w:rPr>
              <w:t>2011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Nigeria</w:t>
            </w:r>
          </w:p>
        </w:tc>
        <w:tc>
          <w:tcPr>
            <w:tcW w:w="3260"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Norway</w:t>
            </w:r>
          </w:p>
        </w:tc>
        <w:tc>
          <w:tcPr>
            <w:tcW w:w="3260" w:type="dxa"/>
            <w:vAlign w:val="bottom"/>
          </w:tcPr>
          <w:p>
            <w:pPr>
              <w:jc w:val="right"/>
              <w:spacing w:after="0"/>
              <w:rPr>
                <w:sz w:val="20"/>
                <w:szCs w:val="20"/>
                <w:color w:val="auto"/>
              </w:rPr>
            </w:pPr>
            <w:r>
              <w:rPr>
                <w:rFonts w:ascii="Arial" w:cs="Arial" w:eastAsia="Arial" w:hAnsi="Arial"/>
                <w:sz w:val="18"/>
                <w:szCs w:val="18"/>
                <w:color w:val="auto"/>
              </w:rPr>
              <w:t>2007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Papua New Guinea</w:t>
            </w:r>
          </w:p>
        </w:tc>
        <w:tc>
          <w:tcPr>
            <w:tcW w:w="3260" w:type="dxa"/>
            <w:vAlign w:val="bottom"/>
          </w:tcPr>
          <w:p>
            <w:pPr>
              <w:jc w:val="right"/>
              <w:spacing w:after="0"/>
              <w:rPr>
                <w:sz w:val="20"/>
                <w:szCs w:val="20"/>
                <w:color w:val="auto"/>
              </w:rPr>
            </w:pPr>
            <w:r>
              <w:rPr>
                <w:rFonts w:ascii="Arial" w:cs="Arial" w:eastAsia="Arial" w:hAnsi="Arial"/>
                <w:sz w:val="18"/>
                <w:szCs w:val="18"/>
                <w:color w:val="auto"/>
              </w:rPr>
              <w:t>2008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Russia</w:t>
            </w:r>
          </w:p>
        </w:tc>
        <w:tc>
          <w:tcPr>
            <w:tcW w:w="326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United Kingdom</w:t>
            </w:r>
          </w:p>
        </w:tc>
        <w:tc>
          <w:tcPr>
            <w:tcW w:w="3260" w:type="dxa"/>
            <w:vAlign w:val="bottom"/>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United States</w:t>
            </w:r>
          </w:p>
        </w:tc>
        <w:tc>
          <w:tcPr>
            <w:tcW w:w="3260"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2019</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classifies interest on income tax-related balances as interest expense or interest income and classifies tax-related penalties as operating expense.</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incurred $0 million, $3 million and $36 million in interest expense on income tax reserves in 2019, 2018 and 2017, respectively. The related interest payable balances were $71 million and $169 million at December 31, 2019, and 2018,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Sale of Norway Assets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10, 2019, the Corporation completed the sale of non-operated upstream assets in Norway to Vår Energi AS (Vår). The agreed sales price of $4.5 billion was subject to interim period adjustments from the effective date of January 1, 2019, to the closing date, and reduction of obligations for income taxes from the effective date. Cash flow related to the divestment was $3.1 billion in 2019 and the Corporation expects to receive a refund of income tax payments of $0.6 billion and deferred consideration of $0.3 billion plus interest by 2022. The Corporation recognized a gain of $3.7 billion at closing of which $2.7 billion is included in “Other income” and $1.0 billion in “Income taxes” in the Consolidated Statement of Income.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6"/>
          <w:szCs w:val="16"/>
          <w:b w:val="1"/>
          <w:bCs w:val="1"/>
          <w:color w:val="auto"/>
        </w:rPr>
        <w:t>(unaudited)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of operations for producing activities shown below do not include earnings from other activities that ExxonMobil includes in the Upstream function, such as oil and gas transportation operations, LNG liquefaction and transportation operations, coal and power operations, technical service agreements, other nonoperating activities and adjustments for noncontrolling interests. These excluded amounts for both consolidated and equity companies totaled $3,502 million in 2019, $1,484 million in 2018 and $1,402 million in 2017. Oil sands mining operations are included in the results of operations in accordance with Securities and Exchange Commission and Financial Accounting Standards Board rules.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Results of Operations</w:t>
            </w:r>
          </w:p>
        </w:tc>
        <w:tc>
          <w:tcPr>
            <w:tcW w:w="2480" w:type="dxa"/>
            <w:vAlign w:val="bottom"/>
          </w:tcPr>
          <w:p>
            <w:pPr>
              <w:jc w:val="center"/>
              <w:ind w:left="1588"/>
              <w:spacing w:after="0"/>
              <w:rPr>
                <w:sz w:val="20"/>
                <w:szCs w:val="20"/>
                <w:color w:val="auto"/>
              </w:rPr>
            </w:pPr>
            <w:r>
              <w:rPr>
                <w:rFonts w:ascii="Arial" w:cs="Arial" w:eastAsia="Arial" w:hAnsi="Arial"/>
                <w:sz w:val="14"/>
                <w:szCs w:val="14"/>
                <w:b w:val="1"/>
                <w:bCs w:val="1"/>
                <w:color w:val="auto"/>
                <w:w w:val="96"/>
              </w:rPr>
              <w:t>United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60" w:type="dxa"/>
            <w:vAlign w:val="bottom"/>
            <w:tcBorders>
              <w:bottom w:val="single" w:sz="8" w:color="auto"/>
            </w:tcBorders>
            <w:vMerge w:val="continue"/>
          </w:tcPr>
          <w:p>
            <w:pPr>
              <w:spacing w:after="0"/>
              <w:rPr>
                <w:sz w:val="18"/>
                <w:szCs w:val="18"/>
                <w:color w:val="auto"/>
              </w:rPr>
            </w:pPr>
          </w:p>
        </w:tc>
        <w:tc>
          <w:tcPr>
            <w:tcW w:w="2480" w:type="dxa"/>
            <w:vAlign w:val="bottom"/>
            <w:tcBorders>
              <w:bottom w:val="single" w:sz="8" w:color="auto"/>
            </w:tcBorders>
          </w:tcPr>
          <w:p>
            <w:pPr>
              <w:jc w:val="center"/>
              <w:ind w:left="1568"/>
              <w:spacing w:after="0"/>
              <w:rPr>
                <w:sz w:val="20"/>
                <w:szCs w:val="20"/>
                <w:color w:val="auto"/>
              </w:rPr>
            </w:pPr>
            <w:r>
              <w:rPr>
                <w:rFonts w:ascii="Arial" w:cs="Arial" w:eastAsia="Arial" w:hAnsi="Arial"/>
                <w:sz w:val="14"/>
                <w:szCs w:val="14"/>
                <w:b w:val="1"/>
                <w:bCs w:val="1"/>
                <w:color w:val="auto"/>
                <w:w w:val="85"/>
              </w:rPr>
              <w:t>States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Europe</w:t>
            </w: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Africa</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Asia</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ind w:left="80"/>
              <w:spacing w:after="0"/>
              <w:rPr>
                <w:sz w:val="20"/>
                <w:szCs w:val="20"/>
                <w:color w:val="auto"/>
              </w:rPr>
            </w:pPr>
            <w:r>
              <w:rPr>
                <w:rFonts w:ascii="Arial" w:cs="Arial" w:eastAsia="Arial" w:hAnsi="Arial"/>
                <w:sz w:val="14"/>
                <w:szCs w:val="14"/>
                <w:i w:val="1"/>
                <w:iCs w:val="1"/>
                <w:color w:val="auto"/>
              </w:rPr>
              <w:t>(millions of dollars)</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2019 -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220" w:right="1120" w:hanging="107"/>
        <w:spacing w:after="0" w:line="306" w:lineRule="auto"/>
        <w:rPr>
          <w:sz w:val="20"/>
          <w:szCs w:val="20"/>
          <w:color w:val="auto"/>
        </w:rPr>
      </w:pPr>
      <w:r>
        <w:rPr>
          <w:rFonts w:ascii="Arial" w:cs="Arial" w:eastAsia="Arial" w:hAnsi="Arial"/>
          <w:sz w:val="16"/>
          <w:szCs w:val="16"/>
          <w:color w:val="auto"/>
        </w:rPr>
        <w:t>Results of producing activities for consolidated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Companies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2019 -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Results of producing activities for equity companies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5,070</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1,452</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2,141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802</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2,393</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3,132</w:t>
            </w:r>
          </w:p>
        </w:tc>
        <w:tc>
          <w:tcPr>
            <w:tcW w:w="760" w:type="dxa"/>
            <w:vAlign w:val="bottom"/>
          </w:tcPr>
          <w:p>
            <w:pPr>
              <w:jc w:val="right"/>
              <w:spacing w:after="0"/>
              <w:rPr>
                <w:sz w:val="20"/>
                <w:szCs w:val="20"/>
                <w:color w:val="auto"/>
              </w:rPr>
            </w:pPr>
            <w:r>
              <w:rPr>
                <w:rFonts w:ascii="Arial" w:cs="Arial" w:eastAsia="Arial" w:hAnsi="Arial"/>
                <w:sz w:val="16"/>
                <w:szCs w:val="16"/>
                <w:color w:val="auto"/>
              </w:rPr>
              <w:t>14,990</w:t>
            </w:r>
          </w:p>
        </w:tc>
      </w:tr>
      <w:tr>
        <w:trPr>
          <w:trHeight w:val="209"/>
        </w:trPr>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6,544</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5,979</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1,345</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7,892</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8,706</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31,094</w:t>
            </w:r>
          </w:p>
        </w:tc>
      </w:tr>
      <w:tr>
        <w:trPr>
          <w:trHeight w:val="189"/>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11,614</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7,431</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3,486</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8,694</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11,099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3,760</w:t>
            </w:r>
          </w:p>
        </w:tc>
        <w:tc>
          <w:tcPr>
            <w:tcW w:w="760" w:type="dxa"/>
            <w:vAlign w:val="bottom"/>
          </w:tcPr>
          <w:p>
            <w:pPr>
              <w:jc w:val="right"/>
              <w:spacing w:after="0"/>
              <w:rPr>
                <w:sz w:val="20"/>
                <w:szCs w:val="20"/>
                <w:color w:val="auto"/>
              </w:rPr>
            </w:pPr>
            <w:r>
              <w:rPr>
                <w:rFonts w:ascii="Arial" w:cs="Arial" w:eastAsia="Arial" w:hAnsi="Arial"/>
                <w:sz w:val="16"/>
                <w:szCs w:val="16"/>
                <w:color w:val="auto"/>
              </w:rPr>
              <w:t>46,084</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4,697</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4,366</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1,196</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2,387</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1,597</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637</w:t>
            </w:r>
          </w:p>
        </w:tc>
        <w:tc>
          <w:tcPr>
            <w:tcW w:w="760" w:type="dxa"/>
            <w:vAlign w:val="bottom"/>
          </w:tcPr>
          <w:p>
            <w:pPr>
              <w:jc w:val="right"/>
              <w:spacing w:after="0"/>
              <w:rPr>
                <w:sz w:val="20"/>
                <w:szCs w:val="20"/>
                <w:color w:val="auto"/>
              </w:rPr>
            </w:pPr>
            <w:r>
              <w:rPr>
                <w:rFonts w:ascii="Arial" w:cs="Arial" w:eastAsia="Arial" w:hAnsi="Arial"/>
                <w:sz w:val="16"/>
                <w:szCs w:val="16"/>
                <w:color w:val="auto"/>
              </w:rPr>
              <w:t>14,880</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120</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498</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118</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234</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180</w:t>
            </w:r>
          </w:p>
        </w:tc>
        <w:tc>
          <w:tcPr>
            <w:tcW w:w="76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5,916</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1,975</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601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3,019</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2,264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703</w:t>
            </w:r>
          </w:p>
        </w:tc>
        <w:tc>
          <w:tcPr>
            <w:tcW w:w="760" w:type="dxa"/>
            <w:vAlign w:val="bottom"/>
          </w:tcPr>
          <w:p>
            <w:pPr>
              <w:jc w:val="right"/>
              <w:spacing w:after="0"/>
              <w:rPr>
                <w:sz w:val="20"/>
                <w:szCs w:val="20"/>
                <w:color w:val="auto"/>
              </w:rPr>
            </w:pPr>
            <w:r>
              <w:rPr>
                <w:rFonts w:ascii="Arial" w:cs="Arial" w:eastAsia="Arial" w:hAnsi="Arial"/>
                <w:sz w:val="16"/>
                <w:szCs w:val="16"/>
                <w:color w:val="auto"/>
              </w:rPr>
              <w:t>14,478</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998</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122</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113</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682</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1,182</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760" w:type="dxa"/>
            <w:vAlign w:val="bottom"/>
          </w:tcPr>
          <w:p>
            <w:pPr>
              <w:jc w:val="right"/>
              <w:spacing w:after="0"/>
              <w:rPr>
                <w:sz w:val="20"/>
                <w:szCs w:val="20"/>
                <w:color w:val="auto"/>
              </w:rPr>
            </w:pPr>
            <w:r>
              <w:rPr>
                <w:rFonts w:ascii="Arial" w:cs="Arial" w:eastAsia="Arial" w:hAnsi="Arial"/>
                <w:sz w:val="16"/>
                <w:szCs w:val="16"/>
                <w:color w:val="auto"/>
              </w:rPr>
              <w:t>3,347</w:t>
            </w:r>
          </w:p>
        </w:tc>
      </w:tr>
      <w:tr>
        <w:trPr>
          <w:trHeight w:val="209"/>
        </w:trPr>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(423)</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1,188</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4,238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w:t>
            </w:r>
          </w:p>
        </w:tc>
      </w:tr>
      <w:tr>
        <w:trPr>
          <w:trHeight w:val="399"/>
        </w:trPr>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(88)</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893</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1,478</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1,184</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1,699</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r>
      <w:tr>
        <w:trPr>
          <w:trHeight w:val="797"/>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664</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1,248</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10,536</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12,448</w:t>
            </w:r>
          </w:p>
        </w:tc>
      </w:tr>
      <w:tr>
        <w:trPr>
          <w:trHeight w:val="209"/>
        </w:trPr>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530</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464</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189"/>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1,194</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1,254</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11,000</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13,448</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595</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570</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555</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1,726</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379</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231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528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03"/>
        </w:trPr>
        <w:tc>
          <w:tcPr>
            <w:tcW w:w="1060" w:type="dxa"/>
            <w:vAlign w:val="bottom"/>
          </w:tcPr>
          <w:p>
            <w:pPr>
              <w:jc w:val="right"/>
              <w:ind w:right="219"/>
              <w:spacing w:after="0"/>
              <w:rPr>
                <w:sz w:val="20"/>
                <w:szCs w:val="20"/>
                <w:color w:val="auto"/>
              </w:rPr>
            </w:pPr>
            <w:r>
              <w:rPr>
                <w:rFonts w:ascii="Arial" w:cs="Arial" w:eastAsia="Arial" w:hAnsi="Arial"/>
                <w:sz w:val="16"/>
                <w:szCs w:val="16"/>
                <w:color w:val="auto"/>
              </w:rPr>
              <w:t>33</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75</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3,634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3,742</w:t>
            </w:r>
          </w:p>
        </w:tc>
      </w:tr>
      <w:tr>
        <w:trPr>
          <w:trHeight w:val="209"/>
        </w:trPr>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180</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2,275</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199"/>
        </w:trPr>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186</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194</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4,008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w:t>
            </w:r>
          </w:p>
        </w:tc>
      </w:tr>
      <w:tr>
        <w:trPr>
          <w:trHeight w:val="396"/>
        </w:trPr>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98</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893</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1,672</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1,179</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5,707</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10,940</w:t>
            </w:r>
          </w:p>
        </w:tc>
      </w:tr>
    </w:tbl>
    <w:p>
      <w:pPr>
        <w:spacing w:after="0" w:line="200" w:lineRule="exact"/>
        <w:rPr>
          <w:sz w:val="20"/>
          <w:szCs w:val="20"/>
          <w:color w:val="auto"/>
        </w:rPr>
      </w:pPr>
    </w:p>
    <w:p>
      <w:pPr>
        <w:sectPr>
          <w:pgSz w:w="11900" w:h="16838" w:orient="portrait"/>
          <w:cols w:equalWidth="0" w:num="2">
            <w:col w:w="4300" w:space="720"/>
            <w:col w:w="6400"/>
          </w:cols>
          <w:pgMar w:left="240" w:top="121"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Results of Operations</w:t>
            </w:r>
          </w:p>
        </w:tc>
        <w:tc>
          <w:tcPr>
            <w:tcW w:w="2480" w:type="dxa"/>
            <w:vAlign w:val="bottom"/>
          </w:tcPr>
          <w:p>
            <w:pPr>
              <w:jc w:val="center"/>
              <w:ind w:left="1588"/>
              <w:spacing w:after="0"/>
              <w:rPr>
                <w:sz w:val="20"/>
                <w:szCs w:val="20"/>
                <w:color w:val="auto"/>
              </w:rPr>
            </w:pPr>
            <w:r>
              <w:rPr>
                <w:rFonts w:ascii="Arial" w:cs="Arial" w:eastAsia="Arial" w:hAnsi="Arial"/>
                <w:sz w:val="14"/>
                <w:szCs w:val="14"/>
                <w:b w:val="1"/>
                <w:bCs w:val="1"/>
                <w:color w:val="auto"/>
                <w:w w:val="96"/>
              </w:rPr>
              <w:t>United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Borders>
              <w:bottom w:val="single" w:sz="8" w:color="auto"/>
            </w:tcBorders>
            <w:vMerge w:val="continue"/>
          </w:tcPr>
          <w:p>
            <w:pPr>
              <w:spacing w:after="0"/>
              <w:rPr>
                <w:sz w:val="18"/>
                <w:szCs w:val="18"/>
                <w:color w:val="auto"/>
              </w:rPr>
            </w:pPr>
          </w:p>
        </w:tc>
        <w:tc>
          <w:tcPr>
            <w:tcW w:w="2480" w:type="dxa"/>
            <w:vAlign w:val="bottom"/>
            <w:tcBorders>
              <w:bottom w:val="single" w:sz="8" w:color="auto"/>
            </w:tcBorders>
          </w:tcPr>
          <w:p>
            <w:pPr>
              <w:jc w:val="center"/>
              <w:ind w:left="1568"/>
              <w:spacing w:after="0"/>
              <w:rPr>
                <w:sz w:val="20"/>
                <w:szCs w:val="20"/>
                <w:color w:val="auto"/>
              </w:rPr>
            </w:pPr>
            <w:r>
              <w:rPr>
                <w:rFonts w:ascii="Arial" w:cs="Arial" w:eastAsia="Arial" w:hAnsi="Arial"/>
                <w:sz w:val="14"/>
                <w:szCs w:val="14"/>
                <w:b w:val="1"/>
                <w:bCs w:val="1"/>
                <w:color w:val="auto"/>
                <w:w w:val="85"/>
              </w:rPr>
              <w:t>States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Europe</w:t>
            </w: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Africa</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Asia</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ind w:left="80"/>
              <w:spacing w:after="0"/>
              <w:rPr>
                <w:sz w:val="20"/>
                <w:szCs w:val="20"/>
                <w:color w:val="auto"/>
              </w:rPr>
            </w:pPr>
            <w:r>
              <w:rPr>
                <w:rFonts w:ascii="Arial" w:cs="Arial" w:eastAsia="Arial" w:hAnsi="Arial"/>
                <w:sz w:val="14"/>
                <w:szCs w:val="14"/>
                <w:i w:val="1"/>
                <w:iCs w:val="1"/>
                <w:color w:val="auto"/>
              </w:rPr>
              <w:t>(millions of dollars)</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2018 -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220" w:right="1120" w:hanging="107"/>
        <w:spacing w:after="0" w:line="306" w:lineRule="auto"/>
        <w:rPr>
          <w:sz w:val="20"/>
          <w:szCs w:val="20"/>
          <w:color w:val="auto"/>
        </w:rPr>
      </w:pPr>
      <w:r>
        <w:rPr>
          <w:rFonts w:ascii="Arial" w:cs="Arial" w:eastAsia="Arial" w:hAnsi="Arial"/>
          <w:sz w:val="16"/>
          <w:szCs w:val="16"/>
          <w:color w:val="auto"/>
        </w:rPr>
        <w:t>Results of producing activities for consolidated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Companies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2018 -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Results of producing activities for equity companies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Total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2017 -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220" w:right="1120" w:hanging="107"/>
        <w:spacing w:after="0" w:line="306" w:lineRule="auto"/>
        <w:rPr>
          <w:sz w:val="20"/>
          <w:szCs w:val="20"/>
          <w:color w:val="auto"/>
        </w:rPr>
      </w:pPr>
      <w:r>
        <w:rPr>
          <w:rFonts w:ascii="Arial" w:cs="Arial" w:eastAsia="Arial" w:hAnsi="Arial"/>
          <w:sz w:val="16"/>
          <w:szCs w:val="16"/>
          <w:color w:val="auto"/>
        </w:rPr>
        <w:t>Results of producing activities for consolidated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Companies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2017 - Revenue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to third parties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Transfers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Production costs excluding taxes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Exploration expenses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depletion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other than income</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income tax</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Results of producing activities for equity companies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5,914</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1,491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3,680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1,136</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2,431</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3,256</w:t>
            </w:r>
          </w:p>
        </w:tc>
        <w:tc>
          <w:tcPr>
            <w:tcW w:w="760" w:type="dxa"/>
            <w:vAlign w:val="bottom"/>
          </w:tcPr>
          <w:p>
            <w:pPr>
              <w:jc w:val="right"/>
              <w:spacing w:after="0"/>
              <w:rPr>
                <w:sz w:val="20"/>
                <w:szCs w:val="20"/>
                <w:color w:val="auto"/>
              </w:rPr>
            </w:pPr>
            <w:r>
              <w:rPr>
                <w:rFonts w:ascii="Arial" w:cs="Arial" w:eastAsia="Arial" w:hAnsi="Arial"/>
                <w:sz w:val="16"/>
                <w:szCs w:val="16"/>
                <w:color w:val="auto"/>
              </w:rPr>
              <w:t>17,908</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5,822</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4,633</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1,573</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8,844</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8,461</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30,206</w:t>
            </w:r>
          </w:p>
        </w:tc>
      </w:tr>
      <w:tr>
        <w:trPr>
          <w:trHeight w:val="189"/>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11,736</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6,124</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5,253</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9,980</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10,892</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4,129</w:t>
            </w:r>
          </w:p>
        </w:tc>
        <w:tc>
          <w:tcPr>
            <w:tcW w:w="760" w:type="dxa"/>
            <w:vAlign w:val="bottom"/>
          </w:tcPr>
          <w:p>
            <w:pPr>
              <w:jc w:val="right"/>
              <w:spacing w:after="0"/>
              <w:rPr>
                <w:sz w:val="20"/>
                <w:szCs w:val="20"/>
                <w:color w:val="auto"/>
              </w:rPr>
            </w:pPr>
            <w:r>
              <w:rPr>
                <w:rFonts w:ascii="Arial" w:cs="Arial" w:eastAsia="Arial" w:hAnsi="Arial"/>
                <w:sz w:val="16"/>
                <w:szCs w:val="16"/>
                <w:color w:val="auto"/>
              </w:rPr>
              <w:t>48,114</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3,915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4,211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1,348</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2,454</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1,501</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680</w:t>
            </w:r>
          </w:p>
        </w:tc>
        <w:tc>
          <w:tcPr>
            <w:tcW w:w="760" w:type="dxa"/>
            <w:vAlign w:val="bottom"/>
          </w:tcPr>
          <w:p>
            <w:pPr>
              <w:jc w:val="right"/>
              <w:spacing w:after="0"/>
              <w:rPr>
                <w:sz w:val="20"/>
                <w:szCs w:val="20"/>
                <w:color w:val="auto"/>
              </w:rPr>
            </w:pPr>
            <w:r>
              <w:rPr>
                <w:rFonts w:ascii="Arial" w:cs="Arial" w:eastAsia="Arial" w:hAnsi="Arial"/>
                <w:sz w:val="16"/>
                <w:szCs w:val="16"/>
                <w:color w:val="auto"/>
              </w:rPr>
              <w:t>14,109</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237</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434</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140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318</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209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128</w:t>
            </w:r>
          </w:p>
        </w:tc>
        <w:tc>
          <w:tcPr>
            <w:tcW w:w="760" w:type="dxa"/>
            <w:vAlign w:val="bottom"/>
          </w:tcPr>
          <w:p>
            <w:pPr>
              <w:jc w:val="right"/>
              <w:spacing w:after="0"/>
              <w:rPr>
                <w:sz w:val="20"/>
                <w:szCs w:val="20"/>
                <w:color w:val="auto"/>
              </w:rPr>
            </w:pPr>
            <w:r>
              <w:rPr>
                <w:rFonts w:ascii="Arial" w:cs="Arial" w:eastAsia="Arial" w:hAnsi="Arial"/>
                <w:sz w:val="16"/>
                <w:szCs w:val="16"/>
                <w:color w:val="auto"/>
              </w:rPr>
              <w:t>1,466</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5,775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1,803</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665</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2,788</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2,088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809</w:t>
            </w:r>
          </w:p>
        </w:tc>
        <w:tc>
          <w:tcPr>
            <w:tcW w:w="760" w:type="dxa"/>
            <w:vAlign w:val="bottom"/>
          </w:tcPr>
          <w:p>
            <w:pPr>
              <w:jc w:val="right"/>
              <w:spacing w:after="0"/>
              <w:rPr>
                <w:sz w:val="20"/>
                <w:szCs w:val="20"/>
                <w:color w:val="auto"/>
              </w:rPr>
            </w:pPr>
            <w:r>
              <w:rPr>
                <w:rFonts w:ascii="Arial" w:cs="Arial" w:eastAsia="Arial" w:hAnsi="Arial"/>
                <w:sz w:val="16"/>
                <w:szCs w:val="16"/>
                <w:color w:val="auto"/>
              </w:rPr>
              <w:t>13,928</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953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133</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128</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799</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1,155</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335</w:t>
            </w:r>
          </w:p>
        </w:tc>
        <w:tc>
          <w:tcPr>
            <w:tcW w:w="760" w:type="dxa"/>
            <w:vAlign w:val="bottom"/>
          </w:tcPr>
          <w:p>
            <w:pPr>
              <w:jc w:val="right"/>
              <w:spacing w:after="0"/>
              <w:rPr>
                <w:sz w:val="20"/>
                <w:szCs w:val="20"/>
                <w:color w:val="auto"/>
              </w:rPr>
            </w:pPr>
            <w:r>
              <w:rPr>
                <w:rFonts w:ascii="Arial" w:cs="Arial" w:eastAsia="Arial" w:hAnsi="Arial"/>
                <w:sz w:val="16"/>
                <w:szCs w:val="16"/>
                <w:color w:val="auto"/>
              </w:rPr>
              <w:t>3,503</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(121)</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1,934</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1,766</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4,008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8,459</w:t>
            </w:r>
          </w:p>
        </w:tc>
      </w:tr>
      <w:tr>
        <w:trPr>
          <w:trHeight w:val="39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606</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(336)</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1,038</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1,855</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1,931</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1,555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6,649</w:t>
            </w:r>
          </w:p>
        </w:tc>
      </w:tr>
      <w:tr>
        <w:trPr>
          <w:trHeight w:val="797"/>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747</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1,420</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12,028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14,195</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588</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935</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r>
      <w:tr>
        <w:trPr>
          <w:trHeight w:val="189"/>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1,335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1,428</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12,963</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15,726</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535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745</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409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248</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172</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462</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4,104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4,198</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271</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2,726</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w:t>
            </w:r>
          </w:p>
        </w:tc>
      </w:tr>
      <w:tr>
        <w:trPr>
          <w:trHeight w:val="19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518</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175</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5,257</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w:t>
            </w:r>
          </w:p>
        </w:tc>
      </w:tr>
      <w:tr>
        <w:trPr>
          <w:trHeight w:val="396"/>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1,124</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(336)</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1,213</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1,851</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7,188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1,555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12,595</w:t>
            </w:r>
          </w:p>
        </w:tc>
      </w:tr>
      <w:tr>
        <w:trPr>
          <w:trHeight w:val="797"/>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5,223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1,911</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3,652</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993</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2,239</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2,244</w:t>
            </w:r>
          </w:p>
        </w:tc>
        <w:tc>
          <w:tcPr>
            <w:tcW w:w="760" w:type="dxa"/>
            <w:vAlign w:val="bottom"/>
          </w:tcPr>
          <w:p>
            <w:pPr>
              <w:jc w:val="right"/>
              <w:spacing w:after="0"/>
              <w:rPr>
                <w:sz w:val="20"/>
                <w:szCs w:val="20"/>
                <w:color w:val="auto"/>
              </w:rPr>
            </w:pPr>
            <w:r>
              <w:rPr>
                <w:rFonts w:ascii="Arial" w:cs="Arial" w:eastAsia="Arial" w:hAnsi="Arial"/>
                <w:sz w:val="16"/>
                <w:szCs w:val="16"/>
                <w:color w:val="auto"/>
              </w:rPr>
              <w:t>16,262</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3,852</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3,462</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1,631</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7,771</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6,035</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23,440</w:t>
            </w:r>
          </w:p>
        </w:tc>
      </w:tr>
      <w:tr>
        <w:trPr>
          <w:trHeight w:val="189"/>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9,075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5,373</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5,283</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8,764</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8,274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2,933</w:t>
            </w:r>
          </w:p>
        </w:tc>
        <w:tc>
          <w:tcPr>
            <w:tcW w:w="760" w:type="dxa"/>
            <w:vAlign w:val="bottom"/>
          </w:tcPr>
          <w:p>
            <w:pPr>
              <w:jc w:val="right"/>
              <w:spacing w:after="0"/>
              <w:rPr>
                <w:sz w:val="20"/>
                <w:szCs w:val="20"/>
                <w:color w:val="auto"/>
              </w:rPr>
            </w:pPr>
            <w:r>
              <w:rPr>
                <w:rFonts w:ascii="Arial" w:cs="Arial" w:eastAsia="Arial" w:hAnsi="Arial"/>
                <w:sz w:val="16"/>
                <w:szCs w:val="16"/>
                <w:color w:val="auto"/>
              </w:rPr>
              <w:t>39,702</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3,730</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3,833</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1,576</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2,064</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1,618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626</w:t>
            </w:r>
          </w:p>
        </w:tc>
        <w:tc>
          <w:tcPr>
            <w:tcW w:w="760" w:type="dxa"/>
            <w:vAlign w:val="bottom"/>
          </w:tcPr>
          <w:p>
            <w:pPr>
              <w:jc w:val="right"/>
              <w:spacing w:after="0"/>
              <w:rPr>
                <w:sz w:val="20"/>
                <w:szCs w:val="20"/>
                <w:color w:val="auto"/>
              </w:rPr>
            </w:pPr>
            <w:r>
              <w:rPr>
                <w:rFonts w:ascii="Arial" w:cs="Arial" w:eastAsia="Arial" w:hAnsi="Arial"/>
                <w:sz w:val="16"/>
                <w:szCs w:val="16"/>
                <w:color w:val="auto"/>
              </w:rPr>
              <w:t>13,447</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162</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647</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94</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311</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494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82</w:t>
            </w:r>
          </w:p>
        </w:tc>
        <w:tc>
          <w:tcPr>
            <w:tcW w:w="76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6,689</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2,005</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1,055</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2,957</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1,782</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913</w:t>
            </w:r>
          </w:p>
        </w:tc>
        <w:tc>
          <w:tcPr>
            <w:tcW w:w="760" w:type="dxa"/>
            <w:vAlign w:val="bottom"/>
          </w:tcPr>
          <w:p>
            <w:pPr>
              <w:jc w:val="right"/>
              <w:spacing w:after="0"/>
              <w:rPr>
                <w:sz w:val="20"/>
                <w:szCs w:val="20"/>
                <w:color w:val="auto"/>
              </w:rPr>
            </w:pPr>
            <w:r>
              <w:rPr>
                <w:rFonts w:ascii="Arial" w:cs="Arial" w:eastAsia="Arial" w:hAnsi="Arial"/>
                <w:sz w:val="16"/>
                <w:szCs w:val="16"/>
                <w:color w:val="auto"/>
              </w:rPr>
              <w:t>15,401</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684</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97</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146</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559</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811</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311</w:t>
            </w:r>
          </w:p>
        </w:tc>
        <w:tc>
          <w:tcPr>
            <w:tcW w:w="760" w:type="dxa"/>
            <w:vAlign w:val="bottom"/>
          </w:tcPr>
          <w:p>
            <w:pPr>
              <w:jc w:val="right"/>
              <w:spacing w:after="0"/>
              <w:rPr>
                <w:sz w:val="20"/>
                <w:szCs w:val="20"/>
                <w:color w:val="auto"/>
              </w:rPr>
            </w:pPr>
            <w:r>
              <w:rPr>
                <w:rFonts w:ascii="Arial" w:cs="Arial" w:eastAsia="Arial" w:hAnsi="Arial"/>
                <w:sz w:val="16"/>
                <w:szCs w:val="16"/>
                <w:color w:val="auto"/>
              </w:rPr>
              <w:t>2,608</w:t>
            </w:r>
          </w:p>
        </w:tc>
      </w:tr>
      <w:tr>
        <w:trPr>
          <w:trHeight w:val="209"/>
        </w:trPr>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(8,066)</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(180)</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1,717</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1,911</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2,148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r>
      <w:tr>
        <w:trPr>
          <w:trHeight w:val="39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5,876</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(1,029)</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695</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962</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1,421</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w:t>
            </w:r>
          </w:p>
        </w:tc>
      </w:tr>
      <w:tr>
        <w:trPr>
          <w:trHeight w:val="797"/>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585</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1,636</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8,926</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11,147</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443</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638</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r>
      <w:tr>
        <w:trPr>
          <w:trHeight w:val="189"/>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1,028</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1,646</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9,564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12,238</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523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418</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336</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1,277</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13</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878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320</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166</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477</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03"/>
        </w:trPr>
        <w:tc>
          <w:tcPr>
            <w:tcW w:w="10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679</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2,997</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3,709</w:t>
            </w:r>
          </w:p>
        </w:tc>
      </w:tr>
      <w:tr>
        <w:trPr>
          <w:trHeight w:val="20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1,924</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r>
      <w:tr>
        <w:trPr>
          <w:trHeight w:val="199"/>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151</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240</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2,952</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w:t>
            </w:r>
          </w:p>
        </w:tc>
      </w:tr>
      <w:tr>
        <w:trPr>
          <w:trHeight w:val="396"/>
        </w:trPr>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6,027</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(1,029)</w:t>
            </w: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935</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962</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4,373</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11,953</w:t>
            </w:r>
          </w:p>
        </w:tc>
      </w:tr>
    </w:tbl>
    <w:p>
      <w:pPr>
        <w:spacing w:after="0" w:line="200" w:lineRule="exact"/>
        <w:rPr>
          <w:sz w:val="20"/>
          <w:szCs w:val="20"/>
          <w:color w:val="auto"/>
        </w:rPr>
      </w:pPr>
    </w:p>
    <w:p>
      <w:pPr>
        <w:sectPr>
          <w:pgSz w:w="11900" w:h="16838" w:orient="portrait"/>
          <w:cols w:equalWidth="0" w:num="2">
            <w:col w:w="4300" w:space="720"/>
            <w:col w:w="6400"/>
          </w:cols>
          <w:pgMar w:left="240" w:top="44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Oil and Gas Exploration and Production Costs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shown for net capitalized costs of consolidated subsidiaries are $13,082 million less at year-end 2019 and $13,474 million less at year-end 2018 than the amounts reported as investments in property, plant and equipment for the Upstream in Note 9. This is due to the exclusion from capitalized costs of certain transportation and research assets and assets relating to LNG operations. Assets related to oil sands and oil shale mining operations are included in the capitalized costs in accordance with Financial Accounting Standards Board rules.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Canada/</w:t>
            </w: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Capitalized Costs</w:t>
            </w:r>
          </w:p>
        </w:tc>
        <w:tc>
          <w:tcPr>
            <w:tcW w:w="3060" w:type="dxa"/>
            <w:vAlign w:val="bottom"/>
          </w:tcPr>
          <w:p>
            <w:pPr>
              <w:spacing w:after="0"/>
              <w:rPr>
                <w:sz w:val="17"/>
                <w:szCs w:val="17"/>
                <w:color w:val="auto"/>
              </w:rPr>
            </w:pPr>
          </w:p>
        </w:tc>
        <w:tc>
          <w:tcPr>
            <w:tcW w:w="900" w:type="dxa"/>
            <w:vAlign w:val="bottom"/>
          </w:tcPr>
          <w:p>
            <w:pPr>
              <w:jc w:val="right"/>
              <w:ind w:right="200"/>
              <w:spacing w:after="0"/>
              <w:rPr>
                <w:sz w:val="20"/>
                <w:szCs w:val="20"/>
                <w:color w:val="auto"/>
              </w:rPr>
            </w:pPr>
            <w:r>
              <w:rPr>
                <w:rFonts w:ascii="Arial" w:cs="Arial" w:eastAsia="Arial" w:hAnsi="Arial"/>
                <w:sz w:val="14"/>
                <w:szCs w:val="14"/>
                <w:b w:val="1"/>
                <w:bCs w:val="1"/>
                <w:color w:val="auto"/>
              </w:rPr>
              <w:t>United</w:t>
            </w:r>
          </w:p>
        </w:tc>
        <w:tc>
          <w:tcPr>
            <w:tcW w:w="960" w:type="dxa"/>
            <w:vAlign w:val="bottom"/>
          </w:tcPr>
          <w:p>
            <w:pPr>
              <w:jc w:val="center"/>
              <w:ind w:right="20"/>
              <w:spacing w:after="0"/>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jc w:val="right"/>
              <w:ind w:right="180"/>
              <w:spacing w:after="0"/>
              <w:rPr>
                <w:sz w:val="20"/>
                <w:szCs w:val="20"/>
                <w:color w:val="auto"/>
              </w:rPr>
            </w:pPr>
            <w:r>
              <w:rPr>
                <w:rFonts w:ascii="Arial" w:cs="Arial" w:eastAsia="Arial" w:hAnsi="Arial"/>
                <w:sz w:val="14"/>
                <w:szCs w:val="14"/>
                <w:b w:val="1"/>
                <w:bCs w:val="1"/>
                <w:color w:val="auto"/>
              </w:rPr>
              <w:t>Australia/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40" w:type="dxa"/>
            <w:vAlign w:val="bottom"/>
            <w:tcBorders>
              <w:bottom w:val="single" w:sz="8" w:color="auto"/>
            </w:tcBorders>
            <w:vMerge w:val="continue"/>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States</w:t>
            </w:r>
          </w:p>
        </w:tc>
        <w:tc>
          <w:tcPr>
            <w:tcW w:w="9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Americas</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Europe</w:t>
            </w: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Africa</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Asia</w:t>
            </w: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Oceania</w:t>
            </w: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auto"/>
                <w:w w:val="95"/>
              </w:rPr>
              <w:t>Consolidated Subsidiaries</w:t>
            </w:r>
          </w:p>
        </w:tc>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Arial" w:cs="Arial" w:eastAsia="Arial" w:hAnsi="Arial"/>
                <w:sz w:val="14"/>
                <w:szCs w:val="14"/>
                <w:i w:val="1"/>
                <w:iCs w:val="1"/>
                <w:color w:val="auto"/>
                <w:w w:val="97"/>
              </w:rPr>
              <w:t>(millions of dollars)</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4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As of December 31, 2019</w:t>
            </w: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3060" w:type="dxa"/>
            <w:vAlign w:val="bottom"/>
          </w:tcPr>
          <w:p>
            <w:pPr>
              <w:ind w:left="140"/>
              <w:spacing w:after="0"/>
              <w:rPr>
                <w:sz w:val="20"/>
                <w:szCs w:val="20"/>
                <w:color w:val="auto"/>
              </w:rPr>
            </w:pPr>
            <w:r>
              <w:rPr>
                <w:rFonts w:ascii="Arial" w:cs="Arial" w:eastAsia="Arial" w:hAnsi="Arial"/>
                <w:sz w:val="16"/>
                <w:szCs w:val="16"/>
                <w:color w:val="auto"/>
              </w:rPr>
              <w:t>- Proved</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19,046</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2,579</w:t>
            </w: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988</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2,971</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719</w:t>
            </w:r>
          </w:p>
        </w:tc>
        <w:tc>
          <w:tcPr>
            <w:tcW w:w="800" w:type="dxa"/>
            <w:vAlign w:val="bottom"/>
          </w:tcPr>
          <w:p>
            <w:pPr>
              <w:jc w:val="right"/>
              <w:spacing w:after="0"/>
              <w:rPr>
                <w:sz w:val="20"/>
                <w:szCs w:val="20"/>
                <w:color w:val="auto"/>
              </w:rPr>
            </w:pPr>
            <w:r>
              <w:rPr>
                <w:rFonts w:ascii="Arial" w:cs="Arial" w:eastAsia="Arial" w:hAnsi="Arial"/>
                <w:sz w:val="16"/>
                <w:szCs w:val="16"/>
                <w:color w:val="auto"/>
              </w:rPr>
              <w:t>26,352</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23,725</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7,113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166</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2,638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33,860</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property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42,771</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9,692</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1,154</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3,152</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3,357</w:t>
            </w:r>
          </w:p>
        </w:tc>
        <w:tc>
          <w:tcPr>
            <w:tcW w:w="800" w:type="dxa"/>
            <w:vAlign w:val="bottom"/>
          </w:tcPr>
          <w:p>
            <w:pPr>
              <w:jc w:val="right"/>
              <w:spacing w:after="0"/>
              <w:rPr>
                <w:sz w:val="20"/>
                <w:szCs w:val="20"/>
                <w:color w:val="auto"/>
              </w:rPr>
            </w:pPr>
            <w:r>
              <w:rPr>
                <w:rFonts w:ascii="Arial" w:cs="Arial" w:eastAsia="Arial" w:hAnsi="Arial"/>
                <w:sz w:val="16"/>
                <w:szCs w:val="16"/>
                <w:color w:val="auto"/>
              </w:rPr>
              <w:t>60,212</w:t>
            </w: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306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99,405</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49,942</w:t>
            </w:r>
          </w:p>
        </w:tc>
        <w:tc>
          <w:tcPr>
            <w:tcW w:w="760" w:type="dxa"/>
            <w:vAlign w:val="bottom"/>
          </w:tcPr>
          <w:p>
            <w:pPr>
              <w:jc w:val="right"/>
              <w:spacing w:after="0"/>
              <w:rPr>
                <w:sz w:val="20"/>
                <w:szCs w:val="20"/>
                <w:color w:val="auto"/>
              </w:rPr>
            </w:pPr>
            <w:r>
              <w:rPr>
                <w:rFonts w:ascii="Arial" w:cs="Arial" w:eastAsia="Arial" w:hAnsi="Arial"/>
                <w:sz w:val="16"/>
                <w:szCs w:val="16"/>
                <w:color w:val="auto"/>
              </w:rPr>
              <w:t>18,982</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55,436</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41,181</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13,670</w:t>
            </w:r>
          </w:p>
        </w:tc>
        <w:tc>
          <w:tcPr>
            <w:tcW w:w="800" w:type="dxa"/>
            <w:vAlign w:val="bottom"/>
          </w:tcPr>
          <w:p>
            <w:pPr>
              <w:jc w:val="right"/>
              <w:spacing w:after="0"/>
              <w:rPr>
                <w:sz w:val="20"/>
                <w:szCs w:val="20"/>
                <w:color w:val="auto"/>
              </w:rPr>
            </w:pPr>
            <w:r>
              <w:rPr>
                <w:rFonts w:ascii="Arial" w:cs="Arial" w:eastAsia="Arial" w:hAnsi="Arial"/>
                <w:sz w:val="16"/>
                <w:szCs w:val="16"/>
                <w:color w:val="auto"/>
              </w:rPr>
              <w:t>278,616</w:t>
            </w:r>
          </w:p>
        </w:tc>
        <w:tc>
          <w:tcPr>
            <w:tcW w:w="0" w:type="dxa"/>
            <w:vAlign w:val="bottom"/>
          </w:tcPr>
          <w:p>
            <w:pPr>
              <w:spacing w:after="0"/>
              <w:rPr>
                <w:sz w:val="1"/>
                <w:szCs w:val="1"/>
                <w:color w:val="auto"/>
              </w:rPr>
            </w:pPr>
          </w:p>
        </w:tc>
      </w:tr>
      <w:tr>
        <w:trPr>
          <w:trHeight w:val="206"/>
        </w:trPr>
        <w:tc>
          <w:tcPr>
            <w:tcW w:w="194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3060" w:type="dxa"/>
            <w:vAlign w:val="bottom"/>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6,086</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4,315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2,717</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4,299</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1,811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20,742</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capitalized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148,262</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63,949</w:t>
            </w:r>
          </w:p>
        </w:tc>
        <w:tc>
          <w:tcPr>
            <w:tcW w:w="760" w:type="dxa"/>
            <w:vAlign w:val="bottom"/>
          </w:tcPr>
          <w:p>
            <w:pPr>
              <w:jc w:val="right"/>
              <w:spacing w:after="0"/>
              <w:rPr>
                <w:sz w:val="20"/>
                <w:szCs w:val="20"/>
                <w:color w:val="auto"/>
              </w:rPr>
            </w:pPr>
            <w:r>
              <w:rPr>
                <w:rFonts w:ascii="Arial" w:cs="Arial" w:eastAsia="Arial" w:hAnsi="Arial"/>
                <w:sz w:val="16"/>
                <w:szCs w:val="16"/>
                <w:color w:val="auto"/>
              </w:rPr>
              <w:t>20,582</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59,307</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48,632</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18,838</w:t>
            </w:r>
          </w:p>
        </w:tc>
        <w:tc>
          <w:tcPr>
            <w:tcW w:w="800" w:type="dxa"/>
            <w:vAlign w:val="bottom"/>
          </w:tcPr>
          <w:p>
            <w:pPr>
              <w:jc w:val="right"/>
              <w:spacing w:after="0"/>
              <w:rPr>
                <w:sz w:val="20"/>
                <w:szCs w:val="20"/>
                <w:color w:val="auto"/>
              </w:rPr>
            </w:pPr>
            <w:r>
              <w:rPr>
                <w:rFonts w:ascii="Arial" w:cs="Arial" w:eastAsia="Arial" w:hAnsi="Arial"/>
                <w:sz w:val="16"/>
                <w:szCs w:val="16"/>
                <w:color w:val="auto"/>
              </w:rPr>
              <w:t>359,570</w:t>
            </w:r>
          </w:p>
        </w:tc>
        <w:tc>
          <w:tcPr>
            <w:tcW w:w="0" w:type="dxa"/>
            <w:vAlign w:val="bottom"/>
          </w:tcPr>
          <w:p>
            <w:pPr>
              <w:spacing w:after="0"/>
              <w:rPr>
                <w:sz w:val="1"/>
                <w:szCs w:val="1"/>
                <w:color w:val="auto"/>
              </w:rPr>
            </w:pPr>
          </w:p>
        </w:tc>
      </w:tr>
      <w:tr>
        <w:trPr>
          <w:trHeight w:val="206"/>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63,333</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21,533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17,544</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43,743</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22,497</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7,235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175,885</w:t>
            </w:r>
          </w:p>
        </w:tc>
        <w:tc>
          <w:tcPr>
            <w:tcW w:w="0" w:type="dxa"/>
            <w:vAlign w:val="bottom"/>
          </w:tcPr>
          <w:p>
            <w:pPr>
              <w:spacing w:after="0"/>
              <w:rPr>
                <w:sz w:val="1"/>
                <w:szCs w:val="1"/>
                <w:color w:val="auto"/>
              </w:rPr>
            </w:pPr>
          </w:p>
        </w:tc>
      </w:tr>
      <w:tr>
        <w:trPr>
          <w:trHeight w:val="202"/>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consolidated subsidiaries</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84,929</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42,416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15,564</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26,135</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11,603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183,685</w:t>
            </w:r>
          </w:p>
        </w:tc>
        <w:tc>
          <w:tcPr>
            <w:tcW w:w="0" w:type="dxa"/>
            <w:vAlign w:val="bottom"/>
          </w:tcPr>
          <w:p>
            <w:pPr>
              <w:spacing w:after="0"/>
              <w:rPr>
                <w:sz w:val="1"/>
                <w:szCs w:val="1"/>
                <w:color w:val="auto"/>
              </w:rPr>
            </w:pPr>
          </w:p>
        </w:tc>
      </w:tr>
      <w:tr>
        <w:trPr>
          <w:trHeight w:val="389"/>
        </w:trPr>
        <w:tc>
          <w:tcPr>
            <w:tcW w:w="1940" w:type="dxa"/>
            <w:vAlign w:val="bottom"/>
          </w:tcPr>
          <w:p>
            <w:pPr>
              <w:spacing w:after="0"/>
              <w:rPr>
                <w:sz w:val="20"/>
                <w:szCs w:val="20"/>
                <w:color w:val="auto"/>
              </w:rPr>
            </w:pPr>
            <w:r>
              <w:rPr>
                <w:rFonts w:ascii="Arial" w:cs="Arial" w:eastAsia="Arial" w:hAnsi="Arial"/>
                <w:sz w:val="16"/>
                <w:szCs w:val="16"/>
                <w:b w:val="1"/>
                <w:bCs w:val="1"/>
                <w:color w:val="auto"/>
              </w:rPr>
              <w:t>Equity Companies</w:t>
            </w:r>
          </w:p>
        </w:tc>
        <w:tc>
          <w:tcPr>
            <w:tcW w:w="3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As of December 31, 2019</w:t>
            </w: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3060" w:type="dxa"/>
            <w:vAlign w:val="bottom"/>
          </w:tcPr>
          <w:p>
            <w:pPr>
              <w:ind w:left="140"/>
              <w:spacing w:after="0"/>
              <w:rPr>
                <w:sz w:val="20"/>
                <w:szCs w:val="20"/>
                <w:color w:val="auto"/>
              </w:rPr>
            </w:pPr>
            <w:r>
              <w:rPr>
                <w:rFonts w:ascii="Arial" w:cs="Arial" w:eastAsia="Arial" w:hAnsi="Arial"/>
                <w:sz w:val="16"/>
                <w:szCs w:val="16"/>
                <w:color w:val="auto"/>
              </w:rPr>
              <w:t>- Proved</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308</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3,112</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property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3,420</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3,529</w:t>
            </w: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306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6,825</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5,413</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7,731</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19,969</w:t>
            </w:r>
          </w:p>
        </w:tc>
        <w:tc>
          <w:tcPr>
            <w:tcW w:w="0" w:type="dxa"/>
            <w:vAlign w:val="bottom"/>
          </w:tcPr>
          <w:p>
            <w:pPr>
              <w:spacing w:after="0"/>
              <w:rPr>
                <w:sz w:val="1"/>
                <w:szCs w:val="1"/>
                <w:color w:val="auto"/>
              </w:rPr>
            </w:pPr>
          </w:p>
        </w:tc>
      </w:tr>
      <w:tr>
        <w:trPr>
          <w:trHeight w:val="206"/>
        </w:trPr>
        <w:tc>
          <w:tcPr>
            <w:tcW w:w="194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3060" w:type="dxa"/>
            <w:vAlign w:val="bottom"/>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212</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650</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9,581</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10,462</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capitalized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7,142</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5,436</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4,070</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17,312</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33,960</w:t>
            </w:r>
          </w:p>
        </w:tc>
        <w:tc>
          <w:tcPr>
            <w:tcW w:w="0" w:type="dxa"/>
            <w:vAlign w:val="bottom"/>
          </w:tcPr>
          <w:p>
            <w:pPr>
              <w:spacing w:after="0"/>
              <w:rPr>
                <w:sz w:val="1"/>
                <w:szCs w:val="1"/>
                <w:color w:val="auto"/>
              </w:rPr>
            </w:pPr>
          </w:p>
        </w:tc>
      </w:tr>
      <w:tr>
        <w:trPr>
          <w:trHeight w:val="206"/>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3,288</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5,380</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13,446</w:t>
            </w:r>
          </w:p>
        </w:tc>
        <w:tc>
          <w:tcPr>
            <w:tcW w:w="0" w:type="dxa"/>
            <w:vAlign w:val="bottom"/>
          </w:tcPr>
          <w:p>
            <w:pPr>
              <w:spacing w:after="0"/>
              <w:rPr>
                <w:sz w:val="1"/>
                <w:szCs w:val="1"/>
                <w:color w:val="auto"/>
              </w:rPr>
            </w:pPr>
          </w:p>
        </w:tc>
      </w:tr>
      <w:tr>
        <w:trPr>
          <w:trHeight w:val="202"/>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equity companies</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3,854</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4,070</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11,932</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20,514</w:t>
            </w:r>
          </w:p>
        </w:tc>
        <w:tc>
          <w:tcPr>
            <w:tcW w:w="0" w:type="dxa"/>
            <w:vAlign w:val="bottom"/>
          </w:tcPr>
          <w:p>
            <w:pPr>
              <w:spacing w:after="0"/>
              <w:rPr>
                <w:sz w:val="1"/>
                <w:szCs w:val="1"/>
                <w:color w:val="auto"/>
              </w:rPr>
            </w:pPr>
          </w:p>
        </w:tc>
      </w:tr>
      <w:tr>
        <w:trPr>
          <w:trHeight w:val="389"/>
        </w:trPr>
        <w:tc>
          <w:tcPr>
            <w:tcW w:w="1940" w:type="dxa"/>
            <w:vAlign w:val="bottom"/>
          </w:tcPr>
          <w:p>
            <w:pPr>
              <w:spacing w:after="0"/>
              <w:rPr>
                <w:sz w:val="20"/>
                <w:szCs w:val="20"/>
                <w:color w:val="auto"/>
              </w:rPr>
            </w:pPr>
            <w:r>
              <w:rPr>
                <w:rFonts w:ascii="Arial" w:cs="Arial" w:eastAsia="Arial" w:hAnsi="Arial"/>
                <w:sz w:val="16"/>
                <w:szCs w:val="16"/>
                <w:b w:val="1"/>
                <w:bCs w:val="1"/>
                <w:color w:val="auto"/>
                <w:w w:val="95"/>
              </w:rPr>
              <w:t>Consolidated Subsidiaries</w:t>
            </w:r>
          </w:p>
        </w:tc>
        <w:tc>
          <w:tcPr>
            <w:tcW w:w="3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As of December 31, 2018</w:t>
            </w: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3060" w:type="dxa"/>
            <w:vAlign w:val="bottom"/>
          </w:tcPr>
          <w:p>
            <w:pPr>
              <w:ind w:left="140"/>
              <w:spacing w:after="0"/>
              <w:rPr>
                <w:sz w:val="20"/>
                <w:szCs w:val="20"/>
                <w:color w:val="auto"/>
              </w:rPr>
            </w:pPr>
            <w:r>
              <w:rPr>
                <w:rFonts w:ascii="Arial" w:cs="Arial" w:eastAsia="Arial" w:hAnsi="Arial"/>
                <w:sz w:val="16"/>
                <w:szCs w:val="16"/>
                <w:color w:val="auto"/>
              </w:rPr>
              <w:t>- Proved</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17,996</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2,482</w:t>
            </w:r>
          </w:p>
        </w:tc>
        <w:tc>
          <w:tcPr>
            <w:tcW w:w="760" w:type="dxa"/>
            <w:vAlign w:val="bottom"/>
          </w:tcPr>
          <w:p>
            <w:pPr>
              <w:jc w:val="right"/>
              <w:spacing w:after="0"/>
              <w:rPr>
                <w:sz w:val="20"/>
                <w:szCs w:val="20"/>
                <w:color w:val="auto"/>
              </w:rPr>
            </w:pPr>
            <w:r>
              <w:rPr>
                <w:rFonts w:ascii="Arial" w:cs="Arial" w:eastAsia="Arial" w:hAnsi="Arial"/>
                <w:sz w:val="16"/>
                <w:szCs w:val="16"/>
                <w:color w:val="auto"/>
              </w:rPr>
              <w:t>147</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982</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2,944</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722</w:t>
            </w:r>
          </w:p>
        </w:tc>
        <w:tc>
          <w:tcPr>
            <w:tcW w:w="800" w:type="dxa"/>
            <w:vAlign w:val="bottom"/>
          </w:tcPr>
          <w:p>
            <w:pPr>
              <w:jc w:val="right"/>
              <w:spacing w:after="0"/>
              <w:rPr>
                <w:sz w:val="20"/>
                <w:szCs w:val="20"/>
                <w:color w:val="auto"/>
              </w:rPr>
            </w:pPr>
            <w:r>
              <w:rPr>
                <w:rFonts w:ascii="Arial" w:cs="Arial" w:eastAsia="Arial" w:hAnsi="Arial"/>
                <w:sz w:val="16"/>
                <w:szCs w:val="16"/>
                <w:color w:val="auto"/>
              </w:rPr>
              <w:t>25,273</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26,357</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6,872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155</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2,692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36,300</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property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44,353</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9,354</w:t>
            </w: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1,137</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3,123</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3,414</w:t>
            </w:r>
          </w:p>
        </w:tc>
        <w:tc>
          <w:tcPr>
            <w:tcW w:w="800" w:type="dxa"/>
            <w:vAlign w:val="bottom"/>
          </w:tcPr>
          <w:p>
            <w:pPr>
              <w:jc w:val="right"/>
              <w:spacing w:after="0"/>
              <w:rPr>
                <w:sz w:val="20"/>
                <w:szCs w:val="20"/>
                <w:color w:val="auto"/>
              </w:rPr>
            </w:pPr>
            <w:r>
              <w:rPr>
                <w:rFonts w:ascii="Arial" w:cs="Arial" w:eastAsia="Arial" w:hAnsi="Arial"/>
                <w:sz w:val="16"/>
                <w:szCs w:val="16"/>
                <w:color w:val="auto"/>
              </w:rPr>
              <w:t>61,573</w:t>
            </w: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306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95,532</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45,874</w:t>
            </w:r>
          </w:p>
        </w:tc>
        <w:tc>
          <w:tcPr>
            <w:tcW w:w="760" w:type="dxa"/>
            <w:vAlign w:val="bottom"/>
          </w:tcPr>
          <w:p>
            <w:pPr>
              <w:jc w:val="right"/>
              <w:spacing w:after="0"/>
              <w:rPr>
                <w:sz w:val="20"/>
                <w:szCs w:val="20"/>
                <w:color w:val="auto"/>
              </w:rPr>
            </w:pPr>
            <w:r>
              <w:rPr>
                <w:rFonts w:ascii="Arial" w:cs="Arial" w:eastAsia="Arial" w:hAnsi="Arial"/>
                <w:sz w:val="16"/>
                <w:szCs w:val="16"/>
                <w:color w:val="auto"/>
              </w:rPr>
              <w:t>28,564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53,722</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39,173</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13,587</w:t>
            </w:r>
          </w:p>
        </w:tc>
        <w:tc>
          <w:tcPr>
            <w:tcW w:w="800" w:type="dxa"/>
            <w:vAlign w:val="bottom"/>
          </w:tcPr>
          <w:p>
            <w:pPr>
              <w:jc w:val="right"/>
              <w:spacing w:after="0"/>
              <w:rPr>
                <w:sz w:val="20"/>
                <w:szCs w:val="20"/>
                <w:color w:val="auto"/>
              </w:rPr>
            </w:pPr>
            <w:r>
              <w:rPr>
                <w:rFonts w:ascii="Arial" w:cs="Arial" w:eastAsia="Arial" w:hAnsi="Arial"/>
                <w:sz w:val="16"/>
                <w:szCs w:val="16"/>
                <w:color w:val="auto"/>
              </w:rPr>
              <w:t>276,452</w:t>
            </w:r>
          </w:p>
        </w:tc>
        <w:tc>
          <w:tcPr>
            <w:tcW w:w="0" w:type="dxa"/>
            <w:vAlign w:val="bottom"/>
          </w:tcPr>
          <w:p>
            <w:pPr>
              <w:spacing w:after="0"/>
              <w:rPr>
                <w:sz w:val="1"/>
                <w:szCs w:val="1"/>
                <w:color w:val="auto"/>
              </w:rPr>
            </w:pPr>
          </w:p>
        </w:tc>
      </w:tr>
      <w:tr>
        <w:trPr>
          <w:trHeight w:val="206"/>
        </w:trPr>
        <w:tc>
          <w:tcPr>
            <w:tcW w:w="194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3060" w:type="dxa"/>
            <w:vAlign w:val="bottom"/>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4,174</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2,873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3,368</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4,985</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1,525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18,400</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capitalized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144,059</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58,101</w:t>
            </w:r>
          </w:p>
        </w:tc>
        <w:tc>
          <w:tcPr>
            <w:tcW w:w="760" w:type="dxa"/>
            <w:vAlign w:val="bottom"/>
          </w:tcPr>
          <w:p>
            <w:pPr>
              <w:jc w:val="right"/>
              <w:spacing w:after="0"/>
              <w:rPr>
                <w:sz w:val="20"/>
                <w:szCs w:val="20"/>
                <w:color w:val="auto"/>
              </w:rPr>
            </w:pPr>
            <w:r>
              <w:rPr>
                <w:rFonts w:ascii="Arial" w:cs="Arial" w:eastAsia="Arial" w:hAnsi="Arial"/>
                <w:sz w:val="16"/>
                <w:szCs w:val="16"/>
                <w:color w:val="auto"/>
              </w:rPr>
              <w:t>30,231</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58,227</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47,281</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18,526</w:t>
            </w:r>
          </w:p>
        </w:tc>
        <w:tc>
          <w:tcPr>
            <w:tcW w:w="800" w:type="dxa"/>
            <w:vAlign w:val="bottom"/>
          </w:tcPr>
          <w:p>
            <w:pPr>
              <w:jc w:val="right"/>
              <w:spacing w:after="0"/>
              <w:rPr>
                <w:sz w:val="20"/>
                <w:szCs w:val="20"/>
                <w:color w:val="auto"/>
              </w:rPr>
            </w:pPr>
            <w:r>
              <w:rPr>
                <w:rFonts w:ascii="Arial" w:cs="Arial" w:eastAsia="Arial" w:hAnsi="Arial"/>
                <w:sz w:val="16"/>
                <w:szCs w:val="16"/>
                <w:color w:val="auto"/>
              </w:rPr>
              <w:t>356,425</w:t>
            </w:r>
          </w:p>
        </w:tc>
        <w:tc>
          <w:tcPr>
            <w:tcW w:w="0" w:type="dxa"/>
            <w:vAlign w:val="bottom"/>
          </w:tcPr>
          <w:p>
            <w:pPr>
              <w:spacing w:after="0"/>
              <w:rPr>
                <w:sz w:val="1"/>
                <w:szCs w:val="1"/>
                <w:color w:val="auto"/>
              </w:rPr>
            </w:pPr>
          </w:p>
        </w:tc>
      </w:tr>
      <w:tr>
        <w:trPr>
          <w:trHeight w:val="206"/>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62,950</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18,994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25,803</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40,710</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20,206</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6,574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175,237</w:t>
            </w:r>
          </w:p>
        </w:tc>
        <w:tc>
          <w:tcPr>
            <w:tcW w:w="0" w:type="dxa"/>
            <w:vAlign w:val="bottom"/>
          </w:tcPr>
          <w:p>
            <w:pPr>
              <w:spacing w:after="0"/>
              <w:rPr>
                <w:sz w:val="1"/>
                <w:szCs w:val="1"/>
                <w:color w:val="auto"/>
              </w:rPr>
            </w:pPr>
          </w:p>
        </w:tc>
      </w:tr>
      <w:tr>
        <w:trPr>
          <w:trHeight w:val="202"/>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consolidated subsidiaries</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81,109</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39,107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17,517</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27,075</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11,952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181,188</w:t>
            </w:r>
          </w:p>
        </w:tc>
        <w:tc>
          <w:tcPr>
            <w:tcW w:w="0" w:type="dxa"/>
            <w:vAlign w:val="bottom"/>
          </w:tcPr>
          <w:p>
            <w:pPr>
              <w:spacing w:after="0"/>
              <w:rPr>
                <w:sz w:val="1"/>
                <w:szCs w:val="1"/>
                <w:color w:val="auto"/>
              </w:rPr>
            </w:pPr>
          </w:p>
        </w:tc>
      </w:tr>
      <w:tr>
        <w:trPr>
          <w:trHeight w:val="389"/>
        </w:trPr>
        <w:tc>
          <w:tcPr>
            <w:tcW w:w="1940" w:type="dxa"/>
            <w:vAlign w:val="bottom"/>
          </w:tcPr>
          <w:p>
            <w:pPr>
              <w:spacing w:after="0"/>
              <w:rPr>
                <w:sz w:val="20"/>
                <w:szCs w:val="20"/>
                <w:color w:val="auto"/>
              </w:rPr>
            </w:pPr>
            <w:r>
              <w:rPr>
                <w:rFonts w:ascii="Arial" w:cs="Arial" w:eastAsia="Arial" w:hAnsi="Arial"/>
                <w:sz w:val="16"/>
                <w:szCs w:val="16"/>
                <w:b w:val="1"/>
                <w:bCs w:val="1"/>
                <w:color w:val="auto"/>
              </w:rPr>
              <w:t>Equity Companies</w:t>
            </w:r>
          </w:p>
        </w:tc>
        <w:tc>
          <w:tcPr>
            <w:tcW w:w="3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As of December 31, 2018</w:t>
            </w:r>
          </w:p>
        </w:tc>
        <w:tc>
          <w:tcPr>
            <w:tcW w:w="3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3060" w:type="dxa"/>
            <w:vAlign w:val="bottom"/>
          </w:tcPr>
          <w:p>
            <w:pPr>
              <w:ind w:left="140"/>
              <w:spacing w:after="0"/>
              <w:rPr>
                <w:sz w:val="20"/>
                <w:szCs w:val="20"/>
                <w:color w:val="auto"/>
              </w:rPr>
            </w:pPr>
            <w:r>
              <w:rPr>
                <w:rFonts w:ascii="Arial" w:cs="Arial" w:eastAsia="Arial" w:hAnsi="Arial"/>
                <w:sz w:val="16"/>
                <w:szCs w:val="16"/>
                <w:color w:val="auto"/>
              </w:rPr>
              <w:t>- Proved</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98</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309</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3,111</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property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3,420</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3,532</w:t>
            </w:r>
          </w:p>
        </w:tc>
        <w:tc>
          <w:tcPr>
            <w:tcW w:w="0" w:type="dxa"/>
            <w:vAlign w:val="bottom"/>
          </w:tcPr>
          <w:p>
            <w:pPr>
              <w:spacing w:after="0"/>
              <w:rPr>
                <w:sz w:val="1"/>
                <w:szCs w:val="1"/>
                <w:color w:val="auto"/>
              </w:rPr>
            </w:pPr>
          </w:p>
        </w:tc>
      </w:tr>
      <w:tr>
        <w:trPr>
          <w:trHeight w:val="203"/>
        </w:trPr>
        <w:tc>
          <w:tcPr>
            <w:tcW w:w="194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306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6,766</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5,547</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7,719</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20,032</w:t>
            </w:r>
          </w:p>
        </w:tc>
        <w:tc>
          <w:tcPr>
            <w:tcW w:w="0" w:type="dxa"/>
            <w:vAlign w:val="bottom"/>
          </w:tcPr>
          <w:p>
            <w:pPr>
              <w:spacing w:after="0"/>
              <w:rPr>
                <w:sz w:val="1"/>
                <w:szCs w:val="1"/>
                <w:color w:val="auto"/>
              </w:rPr>
            </w:pPr>
          </w:p>
        </w:tc>
      </w:tr>
      <w:tr>
        <w:trPr>
          <w:trHeight w:val="206"/>
        </w:trPr>
        <w:tc>
          <w:tcPr>
            <w:tcW w:w="194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3060" w:type="dxa"/>
            <w:vAlign w:val="bottom"/>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148</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581</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7,044</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7,785</w:t>
            </w:r>
          </w:p>
        </w:tc>
        <w:tc>
          <w:tcPr>
            <w:tcW w:w="0" w:type="dxa"/>
            <w:vAlign w:val="bottom"/>
          </w:tcPr>
          <w:p>
            <w:pPr>
              <w:spacing w:after="0"/>
              <w:rPr>
                <w:sz w:val="1"/>
                <w:szCs w:val="1"/>
                <w:color w:val="auto"/>
              </w:rPr>
            </w:pPr>
          </w:p>
        </w:tc>
      </w:tr>
      <w:tr>
        <w:trPr>
          <w:trHeight w:val="192"/>
        </w:trPr>
        <w:tc>
          <w:tcPr>
            <w:tcW w:w="1940" w:type="dxa"/>
            <w:vAlign w:val="bottom"/>
          </w:tcPr>
          <w:p>
            <w:pPr>
              <w:ind w:left="220"/>
              <w:spacing w:after="0"/>
              <w:rPr>
                <w:sz w:val="20"/>
                <w:szCs w:val="20"/>
                <w:color w:val="auto"/>
              </w:rPr>
            </w:pPr>
            <w:r>
              <w:rPr>
                <w:rFonts w:ascii="Arial" w:cs="Arial" w:eastAsia="Arial" w:hAnsi="Arial"/>
                <w:sz w:val="16"/>
                <w:szCs w:val="16"/>
                <w:color w:val="auto"/>
              </w:rPr>
              <w:t>Total capitalized costs</w:t>
            </w:r>
          </w:p>
        </w:tc>
        <w:tc>
          <w:tcPr>
            <w:tcW w:w="30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7,022</w:t>
            </w: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5,563</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4,001</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14,763</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31,349</w:t>
            </w:r>
          </w:p>
        </w:tc>
        <w:tc>
          <w:tcPr>
            <w:tcW w:w="0" w:type="dxa"/>
            <w:vAlign w:val="bottom"/>
          </w:tcPr>
          <w:p>
            <w:pPr>
              <w:spacing w:after="0"/>
              <w:rPr>
                <w:sz w:val="1"/>
                <w:szCs w:val="1"/>
                <w:color w:val="auto"/>
              </w:rPr>
            </w:pPr>
          </w:p>
        </w:tc>
      </w:tr>
      <w:tr>
        <w:trPr>
          <w:trHeight w:val="206"/>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2,968</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4,653</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4,843</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12,464</w:t>
            </w:r>
          </w:p>
        </w:tc>
        <w:tc>
          <w:tcPr>
            <w:tcW w:w="0" w:type="dxa"/>
            <w:vAlign w:val="bottom"/>
          </w:tcPr>
          <w:p>
            <w:pPr>
              <w:spacing w:after="0"/>
              <w:rPr>
                <w:sz w:val="1"/>
                <w:szCs w:val="1"/>
                <w:color w:val="auto"/>
              </w:rPr>
            </w:pPr>
          </w:p>
        </w:tc>
      </w:tr>
      <w:tr>
        <w:trPr>
          <w:trHeight w:val="202"/>
        </w:trPr>
        <w:tc>
          <w:tcPr>
            <w:tcW w:w="500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equity companies</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4,054</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4,001</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9,920</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Oil and Gas Exploration and Production Costs (continued)</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2019 were $19,240 million, up $2,912 million from 2018, due primarily to higher development costs, partially offset by lower acquisition costs of unproved properties. In 2018 costs were $16,328 million, down $3,316 million from 2017, due primarily to lower acquisition costs of unproved properties, partially offset by higher development costs. Total equity company costs incurred in 2019 were $2,916 million, down $115 million from 2018, due primarily to lower development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Costs Incurred in Property Acquisitions,</w:t>
            </w:r>
          </w:p>
        </w:tc>
        <w:tc>
          <w:tcPr>
            <w:tcW w:w="9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920" w:type="dxa"/>
            <w:vAlign w:val="bottom"/>
          </w:tcPr>
          <w:p>
            <w:pPr>
              <w:jc w:val="right"/>
              <w:ind w:right="200"/>
              <w:spacing w:after="0"/>
              <w:rPr>
                <w:sz w:val="20"/>
                <w:szCs w:val="20"/>
                <w:color w:val="auto"/>
              </w:rPr>
            </w:pPr>
            <w:r>
              <w:rPr>
                <w:rFonts w:ascii="Arial" w:cs="Arial" w:eastAsia="Arial" w:hAnsi="Arial"/>
                <w:sz w:val="14"/>
                <w:szCs w:val="14"/>
                <w:b w:val="1"/>
                <w:bCs w:val="1"/>
                <w:color w:val="auto"/>
              </w:rPr>
              <w:t>United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ind w:right="180"/>
              <w:spacing w:after="0"/>
              <w:rPr>
                <w:sz w:val="20"/>
                <w:szCs w:val="20"/>
                <w:color w:val="auto"/>
              </w:rPr>
            </w:pPr>
            <w:r>
              <w:rPr>
                <w:rFonts w:ascii="Arial" w:cs="Arial" w:eastAsia="Arial" w:hAnsi="Arial"/>
                <w:sz w:val="14"/>
                <w:szCs w:val="14"/>
                <w:b w:val="1"/>
                <w:bCs w:val="1"/>
                <w:color w:val="auto"/>
              </w:rPr>
              <w:t>Australia/</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Exploration and Development Activities</w:t>
            </w: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States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Europe</w:t>
            </w: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Africa</w:t>
            </w: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Asia</w:t>
            </w: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Oceania</w:t>
            </w: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During 2019</w:t>
            </w:r>
          </w:p>
        </w:tc>
        <w:tc>
          <w:tcPr>
            <w:tcW w:w="2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40" w:type="dxa"/>
            <w:vAlign w:val="bottom"/>
            <w:gridSpan w:val="2"/>
          </w:tcPr>
          <w:p>
            <w:pPr>
              <w:jc w:val="right"/>
              <w:ind w:right="59"/>
              <w:spacing w:after="0"/>
              <w:rPr>
                <w:sz w:val="20"/>
                <w:szCs w:val="20"/>
                <w:color w:val="auto"/>
              </w:rPr>
            </w:pPr>
            <w:r>
              <w:rPr>
                <w:rFonts w:ascii="Arial" w:cs="Arial" w:eastAsia="Arial" w:hAnsi="Arial"/>
                <w:sz w:val="14"/>
                <w:szCs w:val="14"/>
                <w:i w:val="1"/>
                <w:iCs w:val="1"/>
                <w:color w:val="auto"/>
              </w:rPr>
              <w:t>(millions of dollars)</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4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Consolidated Subsidiaries</w:t>
            </w: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226</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105</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20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134</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1,107</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155</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252</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194</w:t>
            </w:r>
          </w:p>
        </w:tc>
        <w:tc>
          <w:tcPr>
            <w:tcW w:w="82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10,275</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2,946</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809</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1,066</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1,317</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484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16,897</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10,647</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4,158</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965</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1,338</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1,454</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678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19,240</w:t>
            </w:r>
          </w:p>
        </w:tc>
        <w:tc>
          <w:tcPr>
            <w:tcW w:w="0" w:type="dxa"/>
            <w:vAlign w:val="bottom"/>
          </w:tcPr>
          <w:p>
            <w:pPr>
              <w:spacing w:after="0"/>
              <w:rPr>
                <w:sz w:val="1"/>
                <w:szCs w:val="1"/>
                <w:color w:val="auto"/>
              </w:rPr>
            </w:pPr>
          </w:p>
        </w:tc>
      </w:tr>
      <w:tr>
        <w:trPr>
          <w:trHeight w:val="389"/>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Equity Companies</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15</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69</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2,585</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242</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69</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2,585</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385"/>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During 2018</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Consolidated Subsidiaries</w:t>
            </w: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238</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2,109</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235</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1,113</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147</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342</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217</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174</w:t>
            </w:r>
          </w:p>
        </w:tc>
        <w:tc>
          <w:tcPr>
            <w:tcW w:w="820" w:type="dxa"/>
            <w:vAlign w:val="bottom"/>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7,440</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1,734</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96</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791</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1,104</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256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7,920</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4,959</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243</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1,134</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1,642</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430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16,328</w:t>
            </w:r>
          </w:p>
        </w:tc>
        <w:tc>
          <w:tcPr>
            <w:tcW w:w="0" w:type="dxa"/>
            <w:vAlign w:val="bottom"/>
          </w:tcPr>
          <w:p>
            <w:pPr>
              <w:spacing w:after="0"/>
              <w:rPr>
                <w:sz w:val="1"/>
                <w:szCs w:val="1"/>
                <w:color w:val="auto"/>
              </w:rPr>
            </w:pPr>
          </w:p>
        </w:tc>
      </w:tr>
      <w:tr>
        <w:trPr>
          <w:trHeight w:val="389"/>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Equity Companies</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442</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40</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66</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2,452</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464</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44</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66</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2,457</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385"/>
        </w:trPr>
        <w:tc>
          <w:tcPr>
            <w:tcW w:w="2240" w:type="dxa"/>
            <w:vAlign w:val="bottom"/>
          </w:tcPr>
          <w:p>
            <w:pPr>
              <w:ind w:left="40"/>
              <w:spacing w:after="0"/>
              <w:rPr>
                <w:sz w:val="20"/>
                <w:szCs w:val="20"/>
                <w:color w:val="auto"/>
              </w:rPr>
            </w:pPr>
            <w:r>
              <w:rPr>
                <w:rFonts w:ascii="Arial" w:cs="Arial" w:eastAsia="Arial" w:hAnsi="Arial"/>
                <w:sz w:val="16"/>
                <w:szCs w:val="16"/>
                <w:b w:val="1"/>
                <w:bCs w:val="1"/>
                <w:color w:val="auto"/>
              </w:rPr>
              <w:t>During 2017</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Consolidated Subsidiaries</w:t>
            </w:r>
          </w:p>
        </w:tc>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88</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50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583</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6,167</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1,004</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35</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70</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2,601</w:t>
            </w:r>
          </w:p>
        </w:tc>
        <w:tc>
          <w:tcPr>
            <w:tcW w:w="820" w:type="dxa"/>
            <w:vAlign w:val="bottom"/>
          </w:tcPr>
          <w:p>
            <w:pPr>
              <w:jc w:val="right"/>
              <w:spacing w:after="0"/>
              <w:rPr>
                <w:sz w:val="20"/>
                <w:szCs w:val="20"/>
                <w:color w:val="auto"/>
              </w:rPr>
            </w:pPr>
            <w:r>
              <w:rPr>
                <w:rFonts w:ascii="Arial" w:cs="Arial" w:eastAsia="Arial" w:hAnsi="Arial"/>
                <w:sz w:val="16"/>
                <w:szCs w:val="16"/>
                <w:color w:val="auto"/>
              </w:rPr>
              <w:t>9,877</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190</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702</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109</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373</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509</w:t>
            </w:r>
          </w:p>
        </w:tc>
        <w:tc>
          <w:tcPr>
            <w:tcW w:w="820" w:type="dxa"/>
            <w:vAlign w:val="bottom"/>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3,752</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877</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(39)</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628</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1,450</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10,197</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2,588</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105</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1,121</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2,257</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3,376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19,644</w:t>
            </w:r>
          </w:p>
        </w:tc>
        <w:tc>
          <w:tcPr>
            <w:tcW w:w="0" w:type="dxa"/>
            <w:vAlign w:val="bottom"/>
          </w:tcPr>
          <w:p>
            <w:pPr>
              <w:spacing w:after="0"/>
              <w:rPr>
                <w:sz w:val="1"/>
                <w:szCs w:val="1"/>
                <w:color w:val="auto"/>
              </w:rPr>
            </w:pPr>
          </w:p>
        </w:tc>
      </w:tr>
      <w:tr>
        <w:trPr>
          <w:trHeight w:val="389"/>
        </w:trPr>
        <w:tc>
          <w:tcPr>
            <w:tcW w:w="2240" w:type="dxa"/>
            <w:vAlign w:val="bottom"/>
          </w:tcPr>
          <w:p>
            <w:pPr>
              <w:ind w:left="160"/>
              <w:spacing w:after="0"/>
              <w:rPr>
                <w:sz w:val="20"/>
                <w:szCs w:val="20"/>
                <w:color w:val="auto"/>
              </w:rPr>
            </w:pPr>
            <w:r>
              <w:rPr>
                <w:rFonts w:ascii="Arial" w:cs="Arial" w:eastAsia="Arial" w:hAnsi="Arial"/>
                <w:sz w:val="16"/>
                <w:szCs w:val="16"/>
                <w:b w:val="1"/>
                <w:bCs w:val="1"/>
                <w:color w:val="auto"/>
              </w:rPr>
              <w:t>Equity Companies</w:t>
            </w:r>
          </w:p>
        </w:tc>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Property acquisition costs</w:t>
            </w:r>
          </w:p>
        </w:tc>
        <w:tc>
          <w:tcPr>
            <w:tcW w:w="2620" w:type="dxa"/>
            <w:vAlign w:val="bottom"/>
          </w:tcPr>
          <w:p>
            <w:pPr>
              <w:ind w:left="280"/>
              <w:spacing w:after="0"/>
              <w:rPr>
                <w:sz w:val="20"/>
                <w:szCs w:val="20"/>
                <w:color w:val="auto"/>
              </w:rPr>
            </w:pPr>
            <w:r>
              <w:rPr>
                <w:rFonts w:ascii="Arial" w:cs="Arial" w:eastAsia="Arial" w:hAnsi="Arial"/>
                <w:sz w:val="16"/>
                <w:szCs w:val="16"/>
                <w:color w:val="auto"/>
              </w:rPr>
              <w:t>- 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309</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620" w:type="dxa"/>
            <w:vAlign w:val="bottom"/>
          </w:tcPr>
          <w:p>
            <w:pPr>
              <w:ind w:left="280"/>
              <w:spacing w:after="0"/>
              <w:rPr>
                <w:sz w:val="20"/>
                <w:szCs w:val="20"/>
                <w:color w:val="auto"/>
              </w:rPr>
            </w:pPr>
            <w:r>
              <w:rPr>
                <w:rFonts w:ascii="Arial" w:cs="Arial" w:eastAsia="Arial" w:hAnsi="Arial"/>
                <w:sz w:val="16"/>
                <w:szCs w:val="16"/>
                <w:color w:val="auto"/>
              </w:rPr>
              <w:t>- Unproved</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3,111</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03"/>
        </w:trPr>
        <w:tc>
          <w:tcPr>
            <w:tcW w:w="224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62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3</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323</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90</w:t>
            </w: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6"/>
        </w:trPr>
        <w:tc>
          <w:tcPr>
            <w:tcW w:w="224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620" w:type="dxa"/>
            <w:vAlign w:val="bottom"/>
          </w:tcPr>
          <w:p>
            <w:pPr>
              <w:spacing w:after="0"/>
              <w:rPr>
                <w:sz w:val="17"/>
                <w:szCs w:val="17"/>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137</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41</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192</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1,801</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02"/>
        </w:trPr>
        <w:tc>
          <w:tcPr>
            <w:tcW w:w="486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138</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44</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3,935</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1,891</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Oil and Gas Reserves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changes during the years and balances of proved oil and gas reserves at year-end 2017, 2018 and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definitions used are in accordance with the Securities and Exchange Commission’s Rule 4-10 (a) of Regulation S-X.</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In some cases, substantial new investments in additional wells and related facilities will be required to recover these proved reserves.</w:t>
      </w:r>
    </w:p>
    <w:p>
      <w:pPr>
        <w:spacing w:after="0" w:line="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the Securities and Exchange Commission’s (SEC) rules, the Corporation’s year-end reserves volumes as well as the reserves change categories shown in the following tables are required to be calculated on the basis of average prices during the 12-month period prior to the ending date of the period covered by the report, determined as an unweighted arithmetic average of the first-day-of-the-month price for each month within such period. These reserves quantities are also used in calculating unit-of-production depreciation rates and in calculating the standardized measure of discounted net cash flows.</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the average of first-of-month oil and natural gas prices and / or costs that are used in the estimation of reserves. Revisions can also result from significant changes in either development strategy or production equipment/facility capacity. Reserve volumes that were subject to a downward revision can be revised upward at some point in the future when price levels increase, costs decline, and / or operating efficiencies occur.</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Proved reserves include 100 percent of each majority-owned affiliate’s participation in proved reserves and ExxonMobil’s ownership percentage of the proved reserves of equity companies, but exclude royalties and quantities due others. Natural gas reserves exclude the gaseous equivalent of liquids expected to be removed from the natural gas on leases, at field facilities and at gas processing plants. These liquids are included in net proved reserves of crude oil and natural gas liquids.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Reserves reported under production sharing and other nonconcessionary agreements are based on the economic interest as defined by the specific fiscal terms in the agreement. The production and reserves reported for these types of arrangements typically vary inversely with oil and natural gas price changes. As oil and natural gas prices increase, the cash flow and value received by the company increase; however, the production volumes and reserves required to achieve this value will typically be lower because of the higher prices. When prices decrease, the opposite effect generally occurs. The percentage of total liquids and natural gas proved reserves (consolidated subsidiaries plus equity companies) at year-end 2019 that were associated with production sharing contract arrangements was 10 percent of liquids, 12 percent of natural gas and 10 percent on an oil-equivalent basis (natural gas is converted to an oil-equivalent basis at six billion cubic feet per one million barrels).</w:t>
      </w:r>
    </w:p>
    <w:p>
      <w:pPr>
        <w:spacing w:after="0" w:line="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proved developed reserves are those volumes that are expected to be recovered through existing wells with existing equipment and operating methods or in which the cost of the required equipment is relatively minor compared to the cost of a new well. Net proved undeveloped reserves are those volumes that are expected to be recovered from new wells on undrilled acreage, or from existing wells where a relatively major expenditure is required for recompletion.</w:t>
      </w:r>
    </w:p>
    <w:p>
      <w:pPr>
        <w:spacing w:after="0" w:line="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Crude oil, natural gas liquids, and natural gas production quantities shown are the net volumes withdrawn from ExxonMobil’s oil and natural gas reserves. The natural gas quantities differ from the quantities of natural gas delivered for sale by the producing function as reported in the Operating Information due to volumes consumed or flared and inventory changes.</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changes between 2019 year-end proved reserves and 2018 year-end proved reserves include worldwide production of 1.5 billion oil-equivalent barrels (GOEB), a reduction of 0.2 GOEB due to the sale of non-operated assets in Norway, and other net reductions of 0.4 GOEB in the United States and Canada. Additions to proved reserves resulted from revisions in Asia of 0.3 GOEB and extensions/discoveries of 0.1 GOEB in Guyana.</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changes between 2018 year-end proved reserves and 2017 year-end proved reserves include upward revisions of 3.4 billion barrels of bitumen at Kearl as a result of improved prices; downward natural gas revisions for the Groningen field in the Netherlands; and extensions/discoveries primarily in the United States. In 2018, the Dutch Cabinet notified Parliament of its intention to further reduce previously legislated Groningen gas extraction in response to seismic events over the last several years. In anticipation of a lower production outlook, the Corporation reduced its estimate of proved reserves by 0.8 billion oil-equivalent barrels for the Groningen gas field.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color w:val="auto"/>
        </w:rPr>
        <w:t>Crude Oil, Natural Gas Liquids, Bitumen and Synthetic Oil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Natural Gas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4"/>
                <w:szCs w:val="14"/>
                <w:color w:val="auto"/>
                <w:w w:val="98"/>
              </w:rPr>
              <w:t>Crude Oil</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Liquids</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Bitumen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Synthetic Oil</w:t>
            </w:r>
          </w:p>
        </w:tc>
        <w:tc>
          <w:tcPr>
            <w:tcW w:w="680" w:type="dxa"/>
            <w:vAlign w:val="bottom"/>
          </w:tcPr>
          <w:p>
            <w:pPr>
              <w:spacing w:after="0"/>
              <w:rPr>
                <w:sz w:val="18"/>
                <w:szCs w:val="18"/>
                <w:color w:val="auto"/>
              </w:rPr>
            </w:pPr>
          </w:p>
        </w:tc>
      </w:tr>
      <w:tr>
        <w:trPr>
          <w:trHeight w:val="182"/>
        </w:trPr>
        <w:tc>
          <w:tcPr>
            <w:tcW w:w="30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ind w:right="20"/>
              <w:spacing w:after="0"/>
              <w:rPr>
                <w:sz w:val="20"/>
                <w:szCs w:val="20"/>
                <w:color w:val="auto"/>
              </w:rPr>
            </w:pPr>
            <w:r>
              <w:rPr>
                <w:rFonts w:ascii="Arial" w:cs="Arial" w:eastAsia="Arial" w:hAnsi="Arial"/>
                <w:sz w:val="14"/>
                <w:szCs w:val="14"/>
                <w:color w:val="auto"/>
                <w:w w:val="86"/>
              </w:rPr>
              <w:t>Canada/</w:t>
            </w:r>
          </w:p>
        </w:tc>
        <w:tc>
          <w:tcPr>
            <w:tcW w:w="6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Canada/</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0"/>
              </w:rPr>
              <w:t>Canada/</w:t>
            </w:r>
          </w:p>
        </w:tc>
        <w:tc>
          <w:tcPr>
            <w:tcW w:w="680" w:type="dxa"/>
            <w:vAlign w:val="bottom"/>
          </w:tcPr>
          <w:p>
            <w:pPr>
              <w:spacing w:after="0"/>
              <w:rPr>
                <w:sz w:val="15"/>
                <w:szCs w:val="15"/>
                <w:color w:val="auto"/>
              </w:rPr>
            </w:pPr>
          </w:p>
        </w:tc>
      </w:tr>
      <w:tr>
        <w:trPr>
          <w:trHeight w:val="197"/>
        </w:trPr>
        <w:tc>
          <w:tcPr>
            <w:tcW w:w="300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Arial" w:cs="Arial" w:eastAsia="Arial" w:hAnsi="Arial"/>
                <w:sz w:val="14"/>
                <w:szCs w:val="14"/>
                <w:color w:val="auto"/>
              </w:rPr>
              <w:t>United</w:t>
            </w:r>
          </w:p>
        </w:tc>
        <w:tc>
          <w:tcPr>
            <w:tcW w:w="720" w:type="dxa"/>
            <w:vAlign w:val="bottom"/>
          </w:tcPr>
          <w:p>
            <w:pPr>
              <w:jc w:val="center"/>
              <w:ind w:right="40"/>
              <w:spacing w:after="0"/>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4"/>
                <w:szCs w:val="14"/>
                <w:color w:val="auto"/>
                <w:w w:val="99"/>
              </w:rPr>
              <w:t>Australia/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Other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7"/>
                <w:szCs w:val="17"/>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States</w:t>
            </w: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2"/>
              </w:rPr>
              <w:t>Americas</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Europe</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Africa</w:t>
            </w: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Asia</w:t>
            </w: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Oceania</w:t>
            </w: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Worldwide</w:t>
            </w: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2"/>
              </w:rPr>
              <w:t>Americas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Americas</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Total</w:t>
            </w:r>
          </w:p>
        </w:tc>
      </w:tr>
      <w:tr>
        <w:trPr>
          <w:trHeight w:val="190"/>
        </w:trPr>
        <w:tc>
          <w:tcPr>
            <w:tcW w:w="3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(millions of barrels)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3000" w:type="dxa"/>
            <w:vAlign w:val="bottom"/>
          </w:tcPr>
          <w:p>
            <w:pPr>
              <w:spacing w:after="0"/>
              <w:rPr>
                <w:sz w:val="20"/>
                <w:szCs w:val="20"/>
                <w:color w:val="auto"/>
              </w:rPr>
            </w:pPr>
            <w:r>
              <w:rPr>
                <w:rFonts w:ascii="Arial" w:cs="Arial" w:eastAsia="Arial" w:hAnsi="Arial"/>
                <w:sz w:val="16"/>
                <w:szCs w:val="16"/>
                <w:color w:val="auto"/>
              </w:rPr>
              <w:t>Net proved developed and</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undeveloped reserves of</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consolidated subsidiaries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2,181</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640" w:type="dxa"/>
            <w:vAlign w:val="bottom"/>
          </w:tcPr>
          <w:p>
            <w:pPr>
              <w:jc w:val="right"/>
              <w:spacing w:after="0"/>
              <w:rPr>
                <w:sz w:val="20"/>
                <w:szCs w:val="20"/>
                <w:color w:val="auto"/>
              </w:rPr>
            </w:pPr>
            <w:r>
              <w:rPr>
                <w:rFonts w:ascii="Arial" w:cs="Arial" w:eastAsia="Arial" w:hAnsi="Arial"/>
                <w:sz w:val="16"/>
                <w:szCs w:val="16"/>
                <w:color w:val="auto"/>
              </w:rPr>
              <w:t>173</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844</w:t>
            </w:r>
          </w:p>
        </w:tc>
        <w:tc>
          <w:tcPr>
            <w:tcW w:w="600" w:type="dxa"/>
            <w:vAlign w:val="bottom"/>
          </w:tcPr>
          <w:p>
            <w:pPr>
              <w:jc w:val="right"/>
              <w:spacing w:after="0"/>
              <w:rPr>
                <w:sz w:val="20"/>
                <w:szCs w:val="20"/>
                <w:color w:val="auto"/>
              </w:rPr>
            </w:pPr>
            <w:r>
              <w:rPr>
                <w:rFonts w:ascii="Arial" w:cs="Arial" w:eastAsia="Arial" w:hAnsi="Arial"/>
                <w:sz w:val="16"/>
                <w:szCs w:val="16"/>
                <w:color w:val="auto"/>
              </w:rPr>
              <w:t>2,758</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580" w:type="dxa"/>
            <w:vAlign w:val="bottom"/>
          </w:tcPr>
          <w:p>
            <w:pPr>
              <w:jc w:val="right"/>
              <w:spacing w:after="0"/>
              <w:rPr>
                <w:sz w:val="20"/>
                <w:szCs w:val="20"/>
                <w:color w:val="auto"/>
              </w:rPr>
            </w:pPr>
            <w:r>
              <w:rPr>
                <w:rFonts w:ascii="Arial" w:cs="Arial" w:eastAsia="Arial" w:hAnsi="Arial"/>
                <w:sz w:val="16"/>
                <w:szCs w:val="16"/>
                <w:color w:val="auto"/>
              </w:rPr>
              <w:t>6,318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8,737</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600" w:type="dxa"/>
            <w:vAlign w:val="bottom"/>
          </w:tcPr>
          <w:p>
            <w:pPr>
              <w:jc w:val="right"/>
              <w:spacing w:after="0"/>
              <w:rPr>
                <w:sz w:val="20"/>
                <w:szCs w:val="20"/>
                <w:color w:val="auto"/>
              </w:rPr>
            </w:pPr>
            <w:r>
              <w:rPr>
                <w:rFonts w:ascii="Arial" w:cs="Arial" w:eastAsia="Arial" w:hAnsi="Arial"/>
                <w:sz w:val="16"/>
                <w:szCs w:val="16"/>
                <w:color w:val="auto"/>
              </w:rPr>
              <w:t>490</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58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80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680" w:type="dxa"/>
            <w:vAlign w:val="bottom"/>
          </w:tcPr>
          <w:p>
            <w:pPr>
              <w:jc w:val="right"/>
              <w:spacing w:after="0"/>
              <w:rPr>
                <w:sz w:val="20"/>
                <w:szCs w:val="20"/>
                <w:color w:val="auto"/>
              </w:rPr>
            </w:pPr>
            <w:r>
              <w:rPr>
                <w:rFonts w:ascii="Arial" w:cs="Arial" w:eastAsia="Arial" w:hAnsi="Arial"/>
                <w:sz w:val="16"/>
                <w:szCs w:val="16"/>
                <w:color w:val="auto"/>
              </w:rPr>
              <w:t>951</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600" w:type="dxa"/>
            <w:vAlign w:val="bottom"/>
          </w:tcPr>
          <w:p>
            <w:pPr>
              <w:jc w:val="right"/>
              <w:spacing w:after="0"/>
              <w:rPr>
                <w:sz w:val="20"/>
                <w:szCs w:val="20"/>
                <w:color w:val="auto"/>
              </w:rPr>
            </w:pPr>
            <w:r>
              <w:rPr>
                <w:rFonts w:ascii="Arial" w:cs="Arial" w:eastAsia="Arial" w:hAnsi="Arial"/>
                <w:sz w:val="16"/>
                <w:szCs w:val="16"/>
                <w:color w:val="auto"/>
              </w:rPr>
              <w:t>384</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(132)</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(501)</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68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2017</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2,695</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410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729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110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10,302</w:t>
            </w:r>
          </w:p>
        </w:tc>
      </w:tr>
      <w:tr>
        <w:trPr>
          <w:trHeight w:val="176"/>
        </w:trPr>
        <w:tc>
          <w:tcPr>
            <w:tcW w:w="300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72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i w:val="1"/>
                <w:iCs w:val="1"/>
                <w:color w:val="auto"/>
              </w:rPr>
              <w:t>10</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288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144</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2"/>
        </w:trPr>
        <w:tc>
          <w:tcPr>
            <w:tcW w:w="3000" w:type="dxa"/>
            <w:vAlign w:val="bottom"/>
          </w:tcPr>
          <w:p>
            <w:pPr>
              <w:spacing w:after="0"/>
              <w:rPr>
                <w:sz w:val="20"/>
                <w:szCs w:val="20"/>
                <w:color w:val="auto"/>
              </w:rPr>
            </w:pPr>
            <w:r>
              <w:rPr>
                <w:rFonts w:ascii="Arial" w:cs="Arial" w:eastAsia="Arial" w:hAnsi="Arial"/>
                <w:sz w:val="16"/>
                <w:szCs w:val="16"/>
                <w:color w:val="auto"/>
              </w:rPr>
              <w:t>Proportional interest in proved</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reserves of equity companies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2017</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1,183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1,820</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(86)</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2017</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1,727</w:t>
            </w:r>
          </w:p>
        </w:tc>
      </w:tr>
      <w:tr>
        <w:trPr>
          <w:trHeight w:val="186"/>
        </w:trPr>
        <w:tc>
          <w:tcPr>
            <w:tcW w:w="3000" w:type="dxa"/>
            <w:vAlign w:val="bottom"/>
          </w:tcPr>
          <w:p>
            <w:pPr>
              <w:spacing w:after="0"/>
              <w:rPr>
                <w:sz w:val="20"/>
                <w:szCs w:val="20"/>
                <w:color w:val="auto"/>
              </w:rPr>
            </w:pPr>
            <w:r>
              <w:rPr>
                <w:rFonts w:ascii="Arial" w:cs="Arial" w:eastAsia="Arial" w:hAnsi="Arial"/>
                <w:sz w:val="16"/>
                <w:szCs w:val="16"/>
                <w:color w:val="auto"/>
              </w:rPr>
              <w:t>Total liquids proved reserves</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at December 31, 2017</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2,940</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4,593</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12,029</w:t>
            </w:r>
          </w:p>
        </w:tc>
      </w:tr>
      <w:tr>
        <w:trPr>
          <w:trHeight w:val="395"/>
        </w:trPr>
        <w:tc>
          <w:tcPr>
            <w:tcW w:w="3000" w:type="dxa"/>
            <w:vAlign w:val="bottom"/>
          </w:tcPr>
          <w:p>
            <w:pPr>
              <w:spacing w:after="0"/>
              <w:rPr>
                <w:sz w:val="20"/>
                <w:szCs w:val="20"/>
                <w:color w:val="auto"/>
              </w:rPr>
            </w:pPr>
            <w:r>
              <w:rPr>
                <w:rFonts w:ascii="Arial" w:cs="Arial" w:eastAsia="Arial" w:hAnsi="Arial"/>
                <w:sz w:val="16"/>
                <w:szCs w:val="16"/>
                <w:color w:val="auto"/>
              </w:rPr>
              <w:t>Net proved developed and</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undeveloped reserves of</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consolidated subsidiaries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2018</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2,695</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410</w:t>
            </w: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600" w:type="dxa"/>
            <w:vAlign w:val="bottom"/>
          </w:tcPr>
          <w:p>
            <w:pPr>
              <w:jc w:val="right"/>
              <w:spacing w:after="0"/>
              <w:rPr>
                <w:sz w:val="20"/>
                <w:szCs w:val="20"/>
                <w:color w:val="auto"/>
              </w:rPr>
            </w:pPr>
            <w:r>
              <w:rPr>
                <w:rFonts w:ascii="Arial" w:cs="Arial" w:eastAsia="Arial" w:hAnsi="Arial"/>
                <w:sz w:val="16"/>
                <w:szCs w:val="16"/>
                <w:color w:val="auto"/>
              </w:rPr>
              <w:t>3,496</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110</w:t>
            </w:r>
          </w:p>
        </w:tc>
        <w:tc>
          <w:tcPr>
            <w:tcW w:w="580" w:type="dxa"/>
            <w:vAlign w:val="bottom"/>
          </w:tcPr>
          <w:p>
            <w:pPr>
              <w:jc w:val="right"/>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10,302</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5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800" w:type="dxa"/>
            <w:vAlign w:val="bottom"/>
          </w:tcPr>
          <w:p>
            <w:pPr>
              <w:jc w:val="right"/>
              <w:spacing w:after="0"/>
              <w:rPr>
                <w:sz w:val="20"/>
                <w:szCs w:val="20"/>
                <w:color w:val="auto"/>
              </w:rPr>
            </w:pPr>
            <w:r>
              <w:rPr>
                <w:rFonts w:ascii="Arial" w:cs="Arial" w:eastAsia="Arial" w:hAnsi="Arial"/>
                <w:sz w:val="16"/>
                <w:szCs w:val="16"/>
                <w:color w:val="auto"/>
              </w:rPr>
              <w:t>3,286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3,438</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(144)</w:t>
            </w: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640" w:type="dxa"/>
            <w:vAlign w:val="bottom"/>
          </w:tcPr>
          <w:p>
            <w:pPr>
              <w:jc w:val="right"/>
              <w:spacing w:after="0"/>
              <w:rPr>
                <w:sz w:val="20"/>
                <w:szCs w:val="20"/>
                <w:color w:val="auto"/>
              </w:rPr>
            </w:pPr>
            <w:r>
              <w:rPr>
                <w:rFonts w:ascii="Arial" w:cs="Arial" w:eastAsia="Arial" w:hAnsi="Arial"/>
                <w:sz w:val="16"/>
                <w:szCs w:val="16"/>
                <w:color w:val="auto"/>
              </w:rPr>
              <w:t>(37)</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600" w:type="dxa"/>
            <w:vAlign w:val="bottom"/>
          </w:tcPr>
          <w:p>
            <w:pPr>
              <w:jc w:val="right"/>
              <w:spacing w:after="0"/>
              <w:rPr>
                <w:sz w:val="20"/>
                <w:szCs w:val="20"/>
                <w:color w:val="auto"/>
              </w:rPr>
            </w:pPr>
            <w:r>
              <w:rPr>
                <w:rFonts w:ascii="Arial" w:cs="Arial" w:eastAsia="Arial" w:hAnsi="Arial"/>
                <w:sz w:val="16"/>
                <w:szCs w:val="16"/>
                <w:color w:val="auto"/>
              </w:rPr>
              <w:t>(146)</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(498)</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8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68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2018</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529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604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3,357</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7,965</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14,020</w:t>
            </w:r>
          </w:p>
        </w:tc>
      </w:tr>
      <w:tr>
        <w:trPr>
          <w:trHeight w:val="176"/>
        </w:trPr>
        <w:tc>
          <w:tcPr>
            <w:tcW w:w="300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72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i w:val="1"/>
                <w:iCs w:val="1"/>
                <w:color w:val="auto"/>
              </w:rPr>
              <w:t>44</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962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142</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2"/>
        </w:trPr>
        <w:tc>
          <w:tcPr>
            <w:tcW w:w="3000" w:type="dxa"/>
            <w:vAlign w:val="bottom"/>
          </w:tcPr>
          <w:p>
            <w:pPr>
              <w:spacing w:after="0"/>
              <w:rPr>
                <w:sz w:val="20"/>
                <w:szCs w:val="20"/>
                <w:color w:val="auto"/>
              </w:rPr>
            </w:pPr>
            <w:r>
              <w:rPr>
                <w:rFonts w:ascii="Arial" w:cs="Arial" w:eastAsia="Arial" w:hAnsi="Arial"/>
                <w:sz w:val="16"/>
                <w:szCs w:val="16"/>
                <w:color w:val="auto"/>
              </w:rPr>
              <w:t>Proportional interest in proved</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reserves of equity companies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2018</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600" w:type="dxa"/>
            <w:vAlign w:val="bottom"/>
          </w:tcPr>
          <w:p>
            <w:pPr>
              <w:jc w:val="right"/>
              <w:spacing w:after="0"/>
              <w:rPr>
                <w:sz w:val="20"/>
                <w:szCs w:val="20"/>
                <w:color w:val="auto"/>
              </w:rPr>
            </w:pPr>
            <w:r>
              <w:rPr>
                <w:rFonts w:ascii="Arial" w:cs="Arial" w:eastAsia="Arial" w:hAnsi="Arial"/>
                <w:sz w:val="16"/>
                <w:szCs w:val="16"/>
                <w:color w:val="auto"/>
              </w:rPr>
              <w:t>1,097</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1,727</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(104)</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2018</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1,637</w:t>
            </w:r>
          </w:p>
        </w:tc>
      </w:tr>
      <w:tr>
        <w:trPr>
          <w:trHeight w:val="186"/>
        </w:trPr>
        <w:tc>
          <w:tcPr>
            <w:tcW w:w="3000" w:type="dxa"/>
            <w:vAlign w:val="bottom"/>
          </w:tcPr>
          <w:p>
            <w:pPr>
              <w:spacing w:after="0"/>
              <w:rPr>
                <w:sz w:val="20"/>
                <w:szCs w:val="20"/>
                <w:color w:val="auto"/>
              </w:rPr>
            </w:pPr>
            <w:r>
              <w:rPr>
                <w:rFonts w:ascii="Arial" w:cs="Arial" w:eastAsia="Arial" w:hAnsi="Arial"/>
                <w:sz w:val="16"/>
                <w:szCs w:val="16"/>
                <w:color w:val="auto"/>
              </w:rPr>
              <w:t>Total liquids proved reserves</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9"/>
        </w:trPr>
        <w:tc>
          <w:tcPr>
            <w:tcW w:w="3000" w:type="dxa"/>
            <w:vAlign w:val="bottom"/>
          </w:tcPr>
          <w:p>
            <w:pPr>
              <w:ind w:left="120"/>
              <w:spacing w:after="0"/>
              <w:rPr>
                <w:sz w:val="20"/>
                <w:szCs w:val="20"/>
                <w:color w:val="auto"/>
              </w:rPr>
            </w:pPr>
            <w:r>
              <w:rPr>
                <w:rFonts w:ascii="Arial" w:cs="Arial" w:eastAsia="Arial" w:hAnsi="Arial"/>
                <w:sz w:val="16"/>
                <w:szCs w:val="16"/>
                <w:color w:val="auto"/>
              </w:rPr>
              <w:t>at December 31, 2018</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3,458</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4,377</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15,657</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Natural Gas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3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Arial" w:cs="Arial" w:eastAsia="Arial" w:hAnsi="Arial"/>
                <w:sz w:val="14"/>
                <w:szCs w:val="14"/>
                <w:color w:val="auto"/>
                <w:w w:val="98"/>
              </w:rPr>
              <w:t>Crude Oil</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Liquids</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Bitumen</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Synthetic Oil</w:t>
            </w:r>
          </w:p>
        </w:tc>
        <w:tc>
          <w:tcPr>
            <w:tcW w:w="680" w:type="dxa"/>
            <w:vAlign w:val="bottom"/>
          </w:tcPr>
          <w:p>
            <w:pPr>
              <w:spacing w:after="0"/>
              <w:rPr>
                <w:sz w:val="18"/>
                <w:szCs w:val="18"/>
                <w:color w:val="auto"/>
              </w:rPr>
            </w:pPr>
          </w:p>
        </w:tc>
      </w:tr>
      <w:tr>
        <w:trPr>
          <w:trHeight w:val="182"/>
        </w:trPr>
        <w:tc>
          <w:tcPr>
            <w:tcW w:w="30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w w:val="86"/>
              </w:rPr>
              <w:t>Canada/</w:t>
            </w:r>
          </w:p>
        </w:tc>
        <w:tc>
          <w:tcPr>
            <w:tcW w:w="6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Canada/</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0"/>
              </w:rPr>
              <w:t>Canada/</w:t>
            </w:r>
          </w:p>
        </w:tc>
        <w:tc>
          <w:tcPr>
            <w:tcW w:w="680" w:type="dxa"/>
            <w:vAlign w:val="bottom"/>
          </w:tcPr>
          <w:p>
            <w:pPr>
              <w:spacing w:after="0"/>
              <w:rPr>
                <w:sz w:val="15"/>
                <w:szCs w:val="15"/>
                <w:color w:val="auto"/>
              </w:rPr>
            </w:pPr>
          </w:p>
        </w:tc>
      </w:tr>
      <w:tr>
        <w:trPr>
          <w:trHeight w:val="197"/>
        </w:trPr>
        <w:tc>
          <w:tcPr>
            <w:tcW w:w="3000" w:type="dxa"/>
            <w:vAlign w:val="bottom"/>
          </w:tcPr>
          <w:p>
            <w:pPr>
              <w:spacing w:after="0"/>
              <w:rPr>
                <w:sz w:val="17"/>
                <w:szCs w:val="17"/>
                <w:color w:val="auto"/>
              </w:rPr>
            </w:pPr>
          </w:p>
        </w:tc>
        <w:tc>
          <w:tcPr>
            <w:tcW w:w="720" w:type="dxa"/>
            <w:vAlign w:val="bottom"/>
          </w:tcPr>
          <w:p>
            <w:pPr>
              <w:jc w:val="right"/>
              <w:ind w:right="100"/>
              <w:spacing w:after="0"/>
              <w:rPr>
                <w:sz w:val="20"/>
                <w:szCs w:val="20"/>
                <w:color w:val="auto"/>
              </w:rPr>
            </w:pPr>
            <w:r>
              <w:rPr>
                <w:rFonts w:ascii="Arial" w:cs="Arial" w:eastAsia="Arial" w:hAnsi="Arial"/>
                <w:sz w:val="14"/>
                <w:szCs w:val="14"/>
                <w:color w:val="auto"/>
              </w:rPr>
              <w:t>United</w:t>
            </w:r>
          </w:p>
        </w:tc>
        <w:tc>
          <w:tcPr>
            <w:tcW w:w="720" w:type="dxa"/>
            <w:vAlign w:val="bottom"/>
          </w:tcPr>
          <w:p>
            <w:pPr>
              <w:jc w:val="center"/>
              <w:ind w:right="41"/>
              <w:spacing w:after="0"/>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ind w:right="80"/>
              <w:spacing w:after="0"/>
              <w:rPr>
                <w:sz w:val="20"/>
                <w:szCs w:val="20"/>
                <w:color w:val="auto"/>
              </w:rPr>
            </w:pPr>
            <w:r>
              <w:rPr>
                <w:rFonts w:ascii="Arial" w:cs="Arial" w:eastAsia="Arial" w:hAnsi="Arial"/>
                <w:sz w:val="14"/>
                <w:szCs w:val="14"/>
                <w:color w:val="auto"/>
                <w:w w:val="99"/>
              </w:rPr>
              <w:t>Australia/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Other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Other</w:t>
            </w:r>
          </w:p>
        </w:tc>
        <w:tc>
          <w:tcPr>
            <w:tcW w:w="680" w:type="dxa"/>
            <w:vAlign w:val="bottom"/>
          </w:tcPr>
          <w:p>
            <w:pPr>
              <w:spacing w:after="0"/>
              <w:rPr>
                <w:sz w:val="17"/>
                <w:szCs w:val="17"/>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States</w:t>
            </w: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2"/>
              </w:rPr>
              <w:t>Americas</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Europe</w:t>
            </w: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Africa</w:t>
            </w: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Asia</w:t>
            </w: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Oceania</w:t>
            </w:r>
          </w:p>
        </w:tc>
        <w:tc>
          <w:tcPr>
            <w:tcW w:w="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Worldwide</w:t>
            </w:r>
          </w:p>
        </w:tc>
        <w:tc>
          <w:tcPr>
            <w:tcW w:w="10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2"/>
              </w:rPr>
              <w:t>Americas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5"/>
              </w:rPr>
              <w:t>Americas</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Total</w:t>
            </w:r>
          </w:p>
        </w:tc>
      </w:tr>
      <w:tr>
        <w:trPr>
          <w:trHeight w:val="190"/>
        </w:trPr>
        <w:tc>
          <w:tcPr>
            <w:tcW w:w="3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(millions of barrels)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5"/>
        </w:trPr>
        <w:tc>
          <w:tcPr>
            <w:tcW w:w="3000" w:type="dxa"/>
            <w:vAlign w:val="bottom"/>
          </w:tcPr>
          <w:p>
            <w:pPr>
              <w:spacing w:after="0"/>
              <w:rPr>
                <w:sz w:val="20"/>
                <w:szCs w:val="20"/>
                <w:color w:val="auto"/>
              </w:rPr>
            </w:pPr>
            <w:r>
              <w:rPr>
                <w:rFonts w:ascii="Arial" w:cs="Arial" w:eastAsia="Arial" w:hAnsi="Arial"/>
                <w:sz w:val="16"/>
                <w:szCs w:val="16"/>
                <w:color w:val="auto"/>
              </w:rPr>
              <w:t>Net proved developed and</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undeveloped reserves of</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consolidated subsidiaries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2019</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3,204</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529</w:t>
            </w:r>
          </w:p>
        </w:tc>
        <w:tc>
          <w:tcPr>
            <w:tcW w:w="640" w:type="dxa"/>
            <w:vAlign w:val="bottom"/>
          </w:tcPr>
          <w:p>
            <w:pPr>
              <w:jc w:val="right"/>
              <w:spacing w:after="0"/>
              <w:rPr>
                <w:sz w:val="20"/>
                <w:szCs w:val="20"/>
                <w:color w:val="auto"/>
              </w:rPr>
            </w:pPr>
            <w:r>
              <w:rPr>
                <w:rFonts w:ascii="Arial" w:cs="Arial" w:eastAsia="Arial" w:hAnsi="Arial"/>
                <w:sz w:val="16"/>
                <w:szCs w:val="16"/>
                <w:color w:val="auto"/>
              </w:rPr>
              <w:t>166</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604</w:t>
            </w:r>
          </w:p>
        </w:tc>
        <w:tc>
          <w:tcPr>
            <w:tcW w:w="600" w:type="dxa"/>
            <w:vAlign w:val="bottom"/>
          </w:tcPr>
          <w:p>
            <w:pPr>
              <w:jc w:val="right"/>
              <w:spacing w:after="0"/>
              <w:rPr>
                <w:sz w:val="20"/>
                <w:szCs w:val="20"/>
                <w:color w:val="auto"/>
              </w:rPr>
            </w:pPr>
            <w:r>
              <w:rPr>
                <w:rFonts w:ascii="Arial" w:cs="Arial" w:eastAsia="Arial" w:hAnsi="Arial"/>
                <w:sz w:val="16"/>
                <w:szCs w:val="16"/>
                <w:color w:val="auto"/>
              </w:rPr>
              <w:t>3,357</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580" w:type="dxa"/>
            <w:vAlign w:val="bottom"/>
          </w:tcPr>
          <w:p>
            <w:pPr>
              <w:jc w:val="right"/>
              <w:spacing w:after="0"/>
              <w:rPr>
                <w:sz w:val="20"/>
                <w:szCs w:val="20"/>
                <w:color w:val="auto"/>
              </w:rPr>
            </w:pPr>
            <w:r>
              <w:rPr>
                <w:rFonts w:ascii="Arial" w:cs="Arial" w:eastAsia="Arial" w:hAnsi="Arial"/>
                <w:sz w:val="16"/>
                <w:szCs w:val="16"/>
                <w:color w:val="auto"/>
              </w:rPr>
              <w:t>7,965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14,020</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spacing w:after="0"/>
              <w:rPr>
                <w:sz w:val="20"/>
                <w:szCs w:val="20"/>
                <w:color w:val="auto"/>
              </w:rPr>
            </w:pPr>
            <w:r>
              <w:rPr>
                <w:rFonts w:ascii="Arial" w:cs="Arial" w:eastAsia="Arial" w:hAnsi="Arial"/>
                <w:sz w:val="16"/>
                <w:szCs w:val="16"/>
                <w:color w:val="auto"/>
              </w:rPr>
              <w:t>(677)</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(612)</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(305)</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68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(117)</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(118)</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710</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125</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1,098</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(168)</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600" w:type="dxa"/>
            <w:vAlign w:val="bottom"/>
          </w:tcPr>
          <w:p>
            <w:pPr>
              <w:jc w:val="right"/>
              <w:spacing w:after="0"/>
              <w:rPr>
                <w:sz w:val="20"/>
                <w:szCs w:val="20"/>
                <w:color w:val="auto"/>
              </w:rPr>
            </w:pPr>
            <w:r>
              <w:rPr>
                <w:rFonts w:ascii="Arial" w:cs="Arial" w:eastAsia="Arial" w:hAnsi="Arial"/>
                <w:sz w:val="16"/>
                <w:szCs w:val="16"/>
                <w:color w:val="auto"/>
              </w:rPr>
              <w:t>(158)</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(530)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8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6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2019</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3,088</w:t>
            </w: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557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447</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3,335</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94</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7,560</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13,108</w:t>
            </w:r>
          </w:p>
        </w:tc>
      </w:tr>
      <w:tr>
        <w:trPr>
          <w:trHeight w:val="176"/>
        </w:trPr>
        <w:tc>
          <w:tcPr>
            <w:tcW w:w="300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720" w:type="dxa"/>
            <w:vAlign w:val="bottom"/>
          </w:tcPr>
          <w:p>
            <w:pPr>
              <w:spacing w:after="0"/>
              <w:rPr>
                <w:sz w:val="15"/>
                <w:szCs w:val="15"/>
                <w:color w:val="auto"/>
              </w:rPr>
            </w:pPr>
          </w:p>
        </w:tc>
        <w:tc>
          <w:tcPr>
            <w:tcW w:w="720" w:type="dxa"/>
            <w:vAlign w:val="bottom"/>
          </w:tcPr>
          <w:p>
            <w:pPr>
              <w:jc w:val="right"/>
              <w:ind w:right="41"/>
              <w:spacing w:after="0"/>
              <w:rPr>
                <w:sz w:val="20"/>
                <w:szCs w:val="20"/>
                <w:color w:val="auto"/>
              </w:rPr>
            </w:pPr>
            <w:r>
              <w:rPr>
                <w:rFonts w:ascii="Arial" w:cs="Arial" w:eastAsia="Arial" w:hAnsi="Arial"/>
                <w:sz w:val="14"/>
                <w:szCs w:val="14"/>
                <w:i w:val="1"/>
                <w:iCs w:val="1"/>
                <w:color w:val="auto"/>
              </w:rPr>
              <w:t>21</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894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126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2"/>
        </w:trPr>
        <w:tc>
          <w:tcPr>
            <w:tcW w:w="3000" w:type="dxa"/>
            <w:vAlign w:val="bottom"/>
          </w:tcPr>
          <w:p>
            <w:pPr>
              <w:spacing w:after="0"/>
              <w:rPr>
                <w:sz w:val="20"/>
                <w:szCs w:val="20"/>
                <w:color w:val="auto"/>
              </w:rPr>
            </w:pPr>
            <w:r>
              <w:rPr>
                <w:rFonts w:ascii="Arial" w:cs="Arial" w:eastAsia="Arial" w:hAnsi="Arial"/>
                <w:sz w:val="16"/>
                <w:szCs w:val="16"/>
                <w:color w:val="auto"/>
              </w:rPr>
              <w:t>Proportional interest in proved</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reserves of equity companies</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January 1, 2019</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600" w:type="dxa"/>
            <w:vAlign w:val="bottom"/>
          </w:tcPr>
          <w:p>
            <w:pPr>
              <w:jc w:val="right"/>
              <w:spacing w:after="0"/>
              <w:rPr>
                <w:sz w:val="20"/>
                <w:szCs w:val="20"/>
                <w:color w:val="auto"/>
              </w:rPr>
            </w:pPr>
            <w:r>
              <w:rPr>
                <w:rFonts w:ascii="Arial" w:cs="Arial" w:eastAsia="Arial" w:hAnsi="Arial"/>
                <w:sz w:val="16"/>
                <w:szCs w:val="16"/>
                <w:color w:val="auto"/>
              </w:rPr>
              <w:t>1,020</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1,637</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Revisions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Improved recovery</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Purchases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Sales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Extensions/discoveries</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3000" w:type="dxa"/>
            <w:vAlign w:val="bottom"/>
          </w:tcPr>
          <w:p>
            <w:pPr>
              <w:ind w:left="120"/>
              <w:spacing w:after="0"/>
              <w:rPr>
                <w:sz w:val="20"/>
                <w:szCs w:val="20"/>
                <w:color w:val="auto"/>
              </w:rPr>
            </w:pPr>
            <w:r>
              <w:rPr>
                <w:rFonts w:ascii="Arial" w:cs="Arial" w:eastAsia="Arial" w:hAnsi="Arial"/>
                <w:sz w:val="16"/>
                <w:szCs w:val="16"/>
                <w:color w:val="auto"/>
              </w:rPr>
              <w:t>Production</w:t>
            </w: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(105)</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02"/>
        </w:trPr>
        <w:tc>
          <w:tcPr>
            <w:tcW w:w="3000" w:type="dxa"/>
            <w:vAlign w:val="bottom"/>
          </w:tcPr>
          <w:p>
            <w:pPr>
              <w:spacing w:after="0"/>
              <w:rPr>
                <w:sz w:val="20"/>
                <w:szCs w:val="20"/>
                <w:color w:val="auto"/>
              </w:rPr>
            </w:pPr>
            <w:r>
              <w:rPr>
                <w:rFonts w:ascii="Arial" w:cs="Arial" w:eastAsia="Arial" w:hAnsi="Arial"/>
                <w:sz w:val="16"/>
                <w:szCs w:val="16"/>
                <w:color w:val="auto"/>
              </w:rPr>
              <w:t>December 31, 2019</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251</w:t>
            </w: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186"/>
        </w:trPr>
        <w:tc>
          <w:tcPr>
            <w:tcW w:w="3000" w:type="dxa"/>
            <w:vAlign w:val="bottom"/>
          </w:tcPr>
          <w:p>
            <w:pPr>
              <w:spacing w:after="0"/>
              <w:rPr>
                <w:sz w:val="20"/>
                <w:szCs w:val="20"/>
                <w:color w:val="auto"/>
              </w:rPr>
            </w:pPr>
            <w:r>
              <w:rPr>
                <w:rFonts w:ascii="Arial" w:cs="Arial" w:eastAsia="Arial" w:hAnsi="Arial"/>
                <w:sz w:val="16"/>
                <w:szCs w:val="16"/>
                <w:color w:val="auto"/>
              </w:rPr>
              <w:t>Total liquids proved reserves</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9"/>
        </w:trPr>
        <w:tc>
          <w:tcPr>
            <w:tcW w:w="3000" w:type="dxa"/>
            <w:vAlign w:val="bottom"/>
          </w:tcPr>
          <w:p>
            <w:pPr>
              <w:ind w:left="120"/>
              <w:spacing w:after="0"/>
              <w:rPr>
                <w:sz w:val="20"/>
                <w:szCs w:val="20"/>
                <w:color w:val="auto"/>
              </w:rPr>
            </w:pPr>
            <w:r>
              <w:rPr>
                <w:rFonts w:ascii="Arial" w:cs="Arial" w:eastAsia="Arial" w:hAnsi="Arial"/>
                <w:sz w:val="16"/>
                <w:szCs w:val="16"/>
                <w:color w:val="auto"/>
              </w:rPr>
              <w:t>at December 31, 2019</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3,339</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8,728</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14,598</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Synthetic</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gridSpan w:val="3"/>
          </w:tcPr>
          <w:p>
            <w:pPr>
              <w:jc w:val="right"/>
              <w:ind w:right="20"/>
              <w:spacing w:after="0"/>
              <w:rPr>
                <w:sz w:val="20"/>
                <w:szCs w:val="20"/>
                <w:color w:val="auto"/>
              </w:rPr>
            </w:pPr>
            <w:r>
              <w:rPr>
                <w:rFonts w:ascii="Arial" w:cs="Arial" w:eastAsia="Arial" w:hAnsi="Arial"/>
                <w:sz w:val="14"/>
                <w:szCs w:val="14"/>
                <w:color w:val="auto"/>
                <w:w w:val="97"/>
              </w:rPr>
              <w:t>Crude Oil and Natural Gas Liquids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Bitumen</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rPr>
              <w:t>Oil</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Canada/</w:t>
            </w: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6"/>
              </w:rPr>
              <w:t>Canada/</w:t>
            </w:r>
          </w:p>
        </w:tc>
        <w:tc>
          <w:tcPr>
            <w:tcW w:w="100" w:type="dxa"/>
            <w:vAlign w:val="bottom"/>
          </w:tcPr>
          <w:p>
            <w:pPr>
              <w:spacing w:after="0"/>
              <w:rPr>
                <w:sz w:val="15"/>
                <w:szCs w:val="15"/>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6"/>
              </w:rPr>
              <w:t>Canada/</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color w:val="auto"/>
              </w:rPr>
              <w:t>United</w:t>
            </w: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Other</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color w:val="auto"/>
              </w:rPr>
              <w:t>Australia/</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Other</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Other</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States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Americas</w:t>
            </w: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Europe</w:t>
            </w: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Africa</w:t>
            </w: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Asia</w:t>
            </w: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Oceania</w:t>
            </w: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2"/>
              </w:rPr>
              <w:t>Americas</w:t>
            </w: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2"/>
              </w:rPr>
              <w:t>Americas</w:t>
            </w: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i w:val="1"/>
                <w:iCs w:val="1"/>
                <w:color w:val="auto"/>
              </w:rPr>
              <w:t>(millions of barrels)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2017</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1,489</w:t>
            </w: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676</w:t>
            </w:r>
          </w:p>
        </w:tc>
        <w:tc>
          <w:tcPr>
            <w:tcW w:w="660" w:type="dxa"/>
            <w:vAlign w:val="bottom"/>
          </w:tcPr>
          <w:p>
            <w:pPr>
              <w:jc w:val="right"/>
              <w:spacing w:after="0"/>
              <w:rPr>
                <w:sz w:val="20"/>
                <w:szCs w:val="20"/>
                <w:color w:val="auto"/>
              </w:rPr>
            </w:pPr>
            <w:r>
              <w:rPr>
                <w:rFonts w:ascii="Arial" w:cs="Arial" w:eastAsia="Arial" w:hAnsi="Arial"/>
                <w:sz w:val="16"/>
                <w:szCs w:val="16"/>
                <w:color w:val="auto"/>
              </w:rPr>
              <w:t>2,182</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131</w:t>
            </w:r>
          </w:p>
        </w:tc>
        <w:tc>
          <w:tcPr>
            <w:tcW w:w="580" w:type="dxa"/>
            <w:vAlign w:val="bottom"/>
          </w:tcPr>
          <w:p>
            <w:pPr>
              <w:jc w:val="right"/>
              <w:spacing w:after="0"/>
              <w:rPr>
                <w:sz w:val="20"/>
                <w:szCs w:val="20"/>
                <w:color w:val="auto"/>
              </w:rPr>
            </w:pPr>
            <w:r>
              <w:rPr>
                <w:rFonts w:ascii="Arial" w:cs="Arial" w:eastAsia="Arial" w:hAnsi="Arial"/>
                <w:sz w:val="16"/>
                <w:szCs w:val="16"/>
                <w:color w:val="auto"/>
              </w:rPr>
              <w:t>4,689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Pr>
          <w:p>
            <w:pPr>
              <w:jc w:val="right"/>
              <w:spacing w:after="0"/>
              <w:rPr>
                <w:sz w:val="20"/>
                <w:szCs w:val="20"/>
                <w:color w:val="auto"/>
              </w:rPr>
            </w:pPr>
            <w:r>
              <w:rPr>
                <w:rFonts w:ascii="Arial" w:cs="Arial" w:eastAsia="Arial" w:hAnsi="Arial"/>
                <w:sz w:val="16"/>
                <w:szCs w:val="16"/>
                <w:color w:val="auto"/>
              </w:rPr>
              <w:t>208</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1,019</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1,241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401"/>
        </w:trPr>
        <w:tc>
          <w:tcPr>
            <w:tcW w:w="366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2017</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2,167</w:t>
            </w:r>
          </w:p>
        </w:tc>
        <w:tc>
          <w:tcPr>
            <w:tcW w:w="720" w:type="dxa"/>
            <w:vAlign w:val="bottom"/>
          </w:tcPr>
          <w:p>
            <w:pPr>
              <w:jc w:val="right"/>
              <w:spacing w:after="0"/>
              <w:rPr>
                <w:sz w:val="20"/>
                <w:szCs w:val="20"/>
                <w:color w:val="auto"/>
              </w:rPr>
            </w:pPr>
            <w:r>
              <w:rPr>
                <w:rFonts w:ascii="Arial" w:cs="Arial" w:eastAsia="Arial" w:hAnsi="Arial"/>
                <w:sz w:val="16"/>
                <w:szCs w:val="16"/>
                <w:color w:val="auto"/>
              </w:rPr>
              <w:t>337</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137</w:t>
            </w:r>
          </w:p>
        </w:tc>
        <w:tc>
          <w:tcPr>
            <w:tcW w:w="660" w:type="dxa"/>
            <w:vAlign w:val="bottom"/>
          </w:tcPr>
          <w:p>
            <w:pPr>
              <w:jc w:val="right"/>
              <w:spacing w:after="0"/>
              <w:rPr>
                <w:sz w:val="20"/>
                <w:szCs w:val="20"/>
                <w:color w:val="auto"/>
              </w:rPr>
            </w:pPr>
            <w:r>
              <w:rPr>
                <w:rFonts w:ascii="Arial" w:cs="Arial" w:eastAsia="Arial" w:hAnsi="Arial"/>
                <w:sz w:val="16"/>
                <w:szCs w:val="16"/>
                <w:color w:val="auto"/>
              </w:rPr>
              <w:t>1,426</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31</w:t>
            </w:r>
          </w:p>
        </w:tc>
        <w:tc>
          <w:tcPr>
            <w:tcW w:w="580" w:type="dxa"/>
            <w:vAlign w:val="bottom"/>
          </w:tcPr>
          <w:p>
            <w:pPr>
              <w:jc w:val="right"/>
              <w:spacing w:after="0"/>
              <w:rPr>
                <w:sz w:val="20"/>
                <w:szCs w:val="20"/>
                <w:color w:val="auto"/>
              </w:rPr>
            </w:pPr>
            <w:r>
              <w:rPr>
                <w:rFonts w:ascii="Arial" w:cs="Arial" w:eastAsia="Arial" w:hAnsi="Arial"/>
                <w:sz w:val="16"/>
                <w:szCs w:val="16"/>
                <w:color w:val="auto"/>
              </w:rPr>
              <w:t>4,128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Total liquids proved reserves at</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10,544</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12,029</w:t>
            </w:r>
          </w:p>
        </w:tc>
        <w:tc>
          <w:tcPr>
            <w:tcW w:w="0" w:type="dxa"/>
            <w:vAlign w:val="bottom"/>
          </w:tcPr>
          <w:p>
            <w:pPr>
              <w:spacing w:after="0"/>
              <w:rPr>
                <w:sz w:val="1"/>
                <w:szCs w:val="1"/>
                <w:color w:val="auto"/>
              </w:rPr>
            </w:pPr>
          </w:p>
        </w:tc>
      </w:tr>
      <w:tr>
        <w:trPr>
          <w:trHeight w:val="395"/>
        </w:trPr>
        <w:tc>
          <w:tcPr>
            <w:tcW w:w="366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2018</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1,696</w:t>
            </w:r>
          </w:p>
        </w:tc>
        <w:tc>
          <w:tcPr>
            <w:tcW w:w="720" w:type="dxa"/>
            <w:vAlign w:val="bottom"/>
          </w:tcPr>
          <w:p>
            <w:pPr>
              <w:jc w:val="right"/>
              <w:spacing w:after="0"/>
              <w:rPr>
                <w:sz w:val="20"/>
                <w:szCs w:val="20"/>
                <w:color w:val="auto"/>
              </w:rPr>
            </w:pPr>
            <w:r>
              <w:rPr>
                <w:rFonts w:ascii="Arial" w:cs="Arial" w:eastAsia="Arial" w:hAnsi="Arial"/>
                <w:sz w:val="16"/>
                <w:szCs w:val="16"/>
                <w:color w:val="auto"/>
              </w:rPr>
              <w:t>153</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578</w:t>
            </w:r>
          </w:p>
        </w:tc>
        <w:tc>
          <w:tcPr>
            <w:tcW w:w="660" w:type="dxa"/>
            <w:vAlign w:val="bottom"/>
          </w:tcPr>
          <w:p>
            <w:pPr>
              <w:jc w:val="right"/>
              <w:spacing w:after="0"/>
              <w:rPr>
                <w:sz w:val="20"/>
                <w:szCs w:val="20"/>
                <w:color w:val="auto"/>
              </w:rPr>
            </w:pPr>
            <w:r>
              <w:rPr>
                <w:rFonts w:ascii="Arial" w:cs="Arial" w:eastAsia="Arial" w:hAnsi="Arial"/>
                <w:sz w:val="16"/>
                <w:szCs w:val="16"/>
                <w:color w:val="auto"/>
              </w:rPr>
              <w:t>2,285</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118</w:t>
            </w:r>
          </w:p>
        </w:tc>
        <w:tc>
          <w:tcPr>
            <w:tcW w:w="580" w:type="dxa"/>
            <w:vAlign w:val="bottom"/>
          </w:tcPr>
          <w:p>
            <w:pPr>
              <w:jc w:val="right"/>
              <w:spacing w:after="0"/>
              <w:rPr>
                <w:sz w:val="20"/>
                <w:szCs w:val="20"/>
                <w:color w:val="auto"/>
              </w:rPr>
            </w:pPr>
            <w:r>
              <w:rPr>
                <w:rFonts w:ascii="Arial" w:cs="Arial" w:eastAsia="Arial" w:hAnsi="Arial"/>
                <w:sz w:val="16"/>
                <w:szCs w:val="16"/>
                <w:color w:val="auto"/>
              </w:rPr>
              <w:t>4,953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3,880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9,299</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Pr>
          <w:p>
            <w:pPr>
              <w:jc w:val="right"/>
              <w:spacing w:after="0"/>
              <w:rPr>
                <w:sz w:val="20"/>
                <w:szCs w:val="20"/>
                <w:color w:val="auto"/>
              </w:rPr>
            </w:pPr>
            <w:r>
              <w:rPr>
                <w:rFonts w:ascii="Arial" w:cs="Arial" w:eastAsia="Arial" w:hAnsi="Arial"/>
                <w:sz w:val="16"/>
                <w:szCs w:val="16"/>
                <w:color w:val="auto"/>
              </w:rPr>
              <w:t>208</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919</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1,142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401"/>
        </w:trPr>
        <w:tc>
          <w:tcPr>
            <w:tcW w:w="366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2018</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2,616</w:t>
            </w:r>
          </w:p>
        </w:tc>
        <w:tc>
          <w:tcPr>
            <w:tcW w:w="720" w:type="dxa"/>
            <w:vAlign w:val="bottom"/>
          </w:tcPr>
          <w:p>
            <w:pPr>
              <w:jc w:val="right"/>
              <w:spacing w:after="0"/>
              <w:rPr>
                <w:sz w:val="20"/>
                <w:szCs w:val="20"/>
                <w:color w:val="auto"/>
              </w:rPr>
            </w:pPr>
            <w:r>
              <w:rPr>
                <w:rFonts w:ascii="Arial" w:cs="Arial" w:eastAsia="Arial" w:hAnsi="Arial"/>
                <w:sz w:val="16"/>
                <w:szCs w:val="16"/>
                <w:color w:val="auto"/>
              </w:rPr>
              <w:t>403</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660" w:type="dxa"/>
            <w:vAlign w:val="bottom"/>
          </w:tcPr>
          <w:p>
            <w:pPr>
              <w:jc w:val="right"/>
              <w:spacing w:after="0"/>
              <w:rPr>
                <w:sz w:val="20"/>
                <w:szCs w:val="20"/>
                <w:color w:val="auto"/>
              </w:rPr>
            </w:pPr>
            <w:r>
              <w:rPr>
                <w:rFonts w:ascii="Arial" w:cs="Arial" w:eastAsia="Arial" w:hAnsi="Arial"/>
                <w:sz w:val="16"/>
                <w:szCs w:val="16"/>
                <w:color w:val="auto"/>
              </w:rPr>
              <w:t>1,173</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35</w:t>
            </w:r>
          </w:p>
        </w:tc>
        <w:tc>
          <w:tcPr>
            <w:tcW w:w="580" w:type="dxa"/>
            <w:vAlign w:val="bottom"/>
          </w:tcPr>
          <w:p>
            <w:pPr>
              <w:jc w:val="right"/>
              <w:spacing w:after="0"/>
              <w:rPr>
                <w:sz w:val="20"/>
                <w:szCs w:val="20"/>
                <w:color w:val="auto"/>
              </w:rPr>
            </w:pPr>
            <w:r>
              <w:rPr>
                <w:rFonts w:ascii="Arial" w:cs="Arial" w:eastAsia="Arial" w:hAnsi="Arial"/>
                <w:sz w:val="16"/>
                <w:szCs w:val="16"/>
                <w:color w:val="auto"/>
              </w:rPr>
              <w:t>4,416</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Total liquids proved reserves at</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695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11,006</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15,657</w:t>
            </w:r>
          </w:p>
        </w:tc>
        <w:tc>
          <w:tcPr>
            <w:tcW w:w="0" w:type="dxa"/>
            <w:vAlign w:val="bottom"/>
          </w:tcPr>
          <w:p>
            <w:pPr>
              <w:spacing w:after="0"/>
              <w:rPr>
                <w:sz w:val="1"/>
                <w:szCs w:val="1"/>
                <w:color w:val="auto"/>
              </w:rPr>
            </w:pPr>
          </w:p>
        </w:tc>
      </w:tr>
      <w:tr>
        <w:trPr>
          <w:trHeight w:val="395"/>
        </w:trPr>
        <w:tc>
          <w:tcPr>
            <w:tcW w:w="3660" w:type="dxa"/>
            <w:vAlign w:val="bottom"/>
          </w:tcPr>
          <w:p>
            <w:pPr>
              <w:spacing w:after="0"/>
              <w:rPr>
                <w:sz w:val="20"/>
                <w:szCs w:val="20"/>
                <w:color w:val="auto"/>
              </w:rPr>
            </w:pPr>
            <w:r>
              <w:rPr>
                <w:rFonts w:ascii="Arial" w:cs="Arial" w:eastAsia="Arial" w:hAnsi="Arial"/>
                <w:sz w:val="16"/>
                <w:szCs w:val="16"/>
                <w:color w:val="auto"/>
              </w:rPr>
              <w:t>Proved developed reserves, as of</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2019</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1,655</w:t>
            </w:r>
          </w:p>
        </w:tc>
        <w:tc>
          <w:tcPr>
            <w:tcW w:w="720" w:type="dxa"/>
            <w:vAlign w:val="bottom"/>
          </w:tcPr>
          <w:p>
            <w:pPr>
              <w:jc w:val="right"/>
              <w:spacing w:after="0"/>
              <w:rPr>
                <w:sz w:val="20"/>
                <w:szCs w:val="20"/>
                <w:color w:val="auto"/>
              </w:rPr>
            </w:pPr>
            <w:r>
              <w:rPr>
                <w:rFonts w:ascii="Arial" w:cs="Arial" w:eastAsia="Arial" w:hAnsi="Arial"/>
                <w:sz w:val="16"/>
                <w:szCs w:val="16"/>
                <w:color w:val="auto"/>
              </w:rPr>
              <w:t>195</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419</w:t>
            </w:r>
          </w:p>
        </w:tc>
        <w:tc>
          <w:tcPr>
            <w:tcW w:w="660" w:type="dxa"/>
            <w:vAlign w:val="bottom"/>
          </w:tcPr>
          <w:p>
            <w:pPr>
              <w:jc w:val="right"/>
              <w:spacing w:after="0"/>
              <w:rPr>
                <w:sz w:val="20"/>
                <w:szCs w:val="20"/>
                <w:color w:val="auto"/>
              </w:rPr>
            </w:pPr>
            <w:r>
              <w:rPr>
                <w:rFonts w:ascii="Arial" w:cs="Arial" w:eastAsia="Arial" w:hAnsi="Arial"/>
                <w:sz w:val="16"/>
                <w:szCs w:val="16"/>
                <w:color w:val="auto"/>
              </w:rPr>
              <w:t>2,309</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90</w:t>
            </w:r>
          </w:p>
        </w:tc>
        <w:tc>
          <w:tcPr>
            <w:tcW w:w="580" w:type="dxa"/>
            <w:vAlign w:val="bottom"/>
          </w:tcPr>
          <w:p>
            <w:pPr>
              <w:jc w:val="right"/>
              <w:spacing w:after="0"/>
              <w:rPr>
                <w:sz w:val="20"/>
                <w:szCs w:val="20"/>
                <w:color w:val="auto"/>
              </w:rPr>
            </w:pPr>
            <w:r>
              <w:rPr>
                <w:rFonts w:ascii="Arial" w:cs="Arial" w:eastAsia="Arial" w:hAnsi="Arial"/>
                <w:sz w:val="16"/>
                <w:szCs w:val="16"/>
                <w:color w:val="auto"/>
              </w:rPr>
              <w:t>4,691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8,634</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727</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401"/>
        </w:trPr>
        <w:tc>
          <w:tcPr>
            <w:tcW w:w="3660" w:type="dxa"/>
            <w:vAlign w:val="bottom"/>
          </w:tcPr>
          <w:p>
            <w:pPr>
              <w:spacing w:after="0"/>
              <w:rPr>
                <w:sz w:val="20"/>
                <w:szCs w:val="20"/>
                <w:color w:val="auto"/>
              </w:rPr>
            </w:pPr>
            <w:r>
              <w:rPr>
                <w:rFonts w:ascii="Arial" w:cs="Arial" w:eastAsia="Arial" w:hAnsi="Arial"/>
                <w:sz w:val="16"/>
                <w:szCs w:val="16"/>
                <w:color w:val="auto"/>
              </w:rPr>
              <w:t>Proved undeveloped reserves, as of</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2019</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jc w:val="right"/>
              <w:ind w:right="1699"/>
              <w:spacing w:after="0"/>
              <w:rPr>
                <w:sz w:val="20"/>
                <w:szCs w:val="20"/>
                <w:color w:val="auto"/>
              </w:rPr>
            </w:pPr>
            <w:r>
              <w:rPr>
                <w:rFonts w:ascii="Arial" w:cs="Arial" w:eastAsia="Arial" w:hAnsi="Arial"/>
                <w:sz w:val="16"/>
                <w:szCs w:val="16"/>
                <w:color w:val="auto"/>
              </w:rPr>
              <w:t>Consolidated subsidiaries</w:t>
            </w:r>
          </w:p>
        </w:tc>
        <w:tc>
          <w:tcPr>
            <w:tcW w:w="740" w:type="dxa"/>
            <w:vAlign w:val="bottom"/>
          </w:tcPr>
          <w:p>
            <w:pPr>
              <w:jc w:val="right"/>
              <w:spacing w:after="0"/>
              <w:rPr>
                <w:sz w:val="20"/>
                <w:szCs w:val="20"/>
                <w:color w:val="auto"/>
              </w:rPr>
            </w:pPr>
            <w:r>
              <w:rPr>
                <w:rFonts w:ascii="Arial" w:cs="Arial" w:eastAsia="Arial" w:hAnsi="Arial"/>
                <w:sz w:val="16"/>
                <w:szCs w:val="16"/>
                <w:color w:val="auto"/>
              </w:rPr>
              <w:t>2,474</w:t>
            </w:r>
          </w:p>
        </w:tc>
        <w:tc>
          <w:tcPr>
            <w:tcW w:w="720" w:type="dxa"/>
            <w:vAlign w:val="bottom"/>
          </w:tcPr>
          <w:p>
            <w:pPr>
              <w:jc w:val="right"/>
              <w:spacing w:after="0"/>
              <w:rPr>
                <w:sz w:val="20"/>
                <w:szCs w:val="20"/>
                <w:color w:val="auto"/>
              </w:rPr>
            </w:pPr>
            <w:r>
              <w:rPr>
                <w:rFonts w:ascii="Arial" w:cs="Arial" w:eastAsia="Arial" w:hAnsi="Arial"/>
                <w:sz w:val="16"/>
                <w:szCs w:val="16"/>
                <w:color w:val="auto"/>
              </w:rPr>
              <w:t>381</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660" w:type="dxa"/>
            <w:vAlign w:val="bottom"/>
          </w:tcPr>
          <w:p>
            <w:pPr>
              <w:jc w:val="right"/>
              <w:spacing w:after="0"/>
              <w:rPr>
                <w:sz w:val="20"/>
                <w:szCs w:val="20"/>
                <w:color w:val="auto"/>
              </w:rPr>
            </w:pPr>
            <w:r>
              <w:rPr>
                <w:rFonts w:ascii="Arial" w:cs="Arial" w:eastAsia="Arial" w:hAnsi="Arial"/>
                <w:sz w:val="16"/>
                <w:szCs w:val="16"/>
                <w:color w:val="auto"/>
              </w:rPr>
              <w:t>1,157</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35</w:t>
            </w:r>
          </w:p>
        </w:tc>
        <w:tc>
          <w:tcPr>
            <w:tcW w:w="580" w:type="dxa"/>
            <w:vAlign w:val="bottom"/>
          </w:tcPr>
          <w:p>
            <w:pPr>
              <w:jc w:val="right"/>
              <w:spacing w:after="0"/>
              <w:rPr>
                <w:sz w:val="20"/>
                <w:szCs w:val="20"/>
                <w:color w:val="auto"/>
              </w:rPr>
            </w:pPr>
            <w:r>
              <w:rPr>
                <w:rFonts w:ascii="Arial" w:cs="Arial" w:eastAsia="Arial" w:hAnsi="Arial"/>
                <w:sz w:val="16"/>
                <w:szCs w:val="16"/>
                <w:color w:val="auto"/>
              </w:rPr>
              <w:t>4,144</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06"/>
        </w:trPr>
        <w:tc>
          <w:tcPr>
            <w:tcW w:w="3660" w:type="dxa"/>
            <w:vAlign w:val="bottom"/>
          </w:tcPr>
          <w:p>
            <w:pPr>
              <w:jc w:val="right"/>
              <w:ind w:right="2179"/>
              <w:spacing w:after="0"/>
              <w:rPr>
                <w:sz w:val="20"/>
                <w:szCs w:val="20"/>
                <w:color w:val="auto"/>
              </w:rPr>
            </w:pPr>
            <w:r>
              <w:rPr>
                <w:rFonts w:ascii="Arial" w:cs="Arial" w:eastAsia="Arial" w:hAnsi="Arial"/>
                <w:sz w:val="16"/>
                <w:szCs w:val="16"/>
                <w:color w:val="auto"/>
              </w:rPr>
              <w:t>Equity companies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Arial" w:cs="Arial" w:eastAsia="Arial" w:hAnsi="Arial"/>
                <w:sz w:val="16"/>
                <w:szCs w:val="16"/>
                <w:color w:val="auto"/>
              </w:rPr>
              <w:t>Total liquids proved reserves at</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81"/>
              </w:rPr>
              <w:t>(1)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60" w:type="dxa"/>
            <w:vAlign w:val="bottom"/>
          </w:tcPr>
          <w:p>
            <w:pPr>
              <w:jc w:val="right"/>
              <w:ind w:right="2199"/>
              <w:spacing w:after="0"/>
              <w:rPr>
                <w:sz w:val="20"/>
                <w:szCs w:val="20"/>
                <w:color w:val="auto"/>
              </w:rPr>
            </w:pPr>
            <w:r>
              <w:rPr>
                <w:rFonts w:ascii="Arial" w:cs="Arial" w:eastAsia="Arial" w:hAnsi="Arial"/>
                <w:sz w:val="16"/>
                <w:szCs w:val="16"/>
                <w:color w:val="auto"/>
                <w:w w:val="96"/>
              </w:rPr>
              <w:t>December 31, 2019</w:t>
            </w:r>
          </w:p>
        </w:tc>
        <w:tc>
          <w:tcPr>
            <w:tcW w:w="740" w:type="dxa"/>
            <w:vAlign w:val="bottom"/>
          </w:tcPr>
          <w:p>
            <w:pPr>
              <w:jc w:val="right"/>
              <w:spacing w:after="0"/>
              <w:rPr>
                <w:sz w:val="20"/>
                <w:szCs w:val="20"/>
                <w:color w:val="auto"/>
              </w:rPr>
            </w:pPr>
            <w:r>
              <w:rPr>
                <w:rFonts w:ascii="Arial" w:cs="Arial" w:eastAsia="Arial" w:hAnsi="Arial"/>
                <w:sz w:val="16"/>
                <w:szCs w:val="16"/>
                <w:color w:val="auto"/>
              </w:rPr>
              <w:t>4,389</w:t>
            </w:r>
          </w:p>
        </w:tc>
        <w:tc>
          <w:tcPr>
            <w:tcW w:w="720" w:type="dxa"/>
            <w:vAlign w:val="bottom"/>
          </w:tcPr>
          <w:p>
            <w:pPr>
              <w:jc w:val="right"/>
              <w:spacing w:after="0"/>
              <w:rPr>
                <w:sz w:val="20"/>
                <w:szCs w:val="20"/>
                <w:color w:val="auto"/>
              </w:rPr>
            </w:pPr>
            <w:r>
              <w:rPr>
                <w:rFonts w:ascii="Arial" w:cs="Arial" w:eastAsia="Arial" w:hAnsi="Arial"/>
                <w:sz w:val="16"/>
                <w:szCs w:val="16"/>
                <w:color w:val="auto"/>
              </w:rPr>
              <w:t>576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493</w:t>
            </w:r>
          </w:p>
        </w:tc>
        <w:tc>
          <w:tcPr>
            <w:tcW w:w="660" w:type="dxa"/>
            <w:vAlign w:val="bottom"/>
          </w:tcPr>
          <w:p>
            <w:pPr>
              <w:jc w:val="right"/>
              <w:spacing w:after="0"/>
              <w:rPr>
                <w:sz w:val="20"/>
                <w:szCs w:val="20"/>
                <w:color w:val="auto"/>
              </w:rPr>
            </w:pPr>
            <w:r>
              <w:rPr>
                <w:rFonts w:ascii="Arial" w:cs="Arial" w:eastAsia="Arial" w:hAnsi="Arial"/>
                <w:sz w:val="16"/>
                <w:szCs w:val="16"/>
                <w:color w:val="auto"/>
              </w:rPr>
              <w:t>4,676</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125</w:t>
            </w:r>
          </w:p>
        </w:tc>
        <w:tc>
          <w:tcPr>
            <w:tcW w:w="580" w:type="dxa"/>
            <w:vAlign w:val="bottom"/>
          </w:tcPr>
          <w:p>
            <w:pPr>
              <w:jc w:val="right"/>
              <w:spacing w:after="0"/>
              <w:rPr>
                <w:sz w:val="20"/>
                <w:szCs w:val="20"/>
                <w:color w:val="auto"/>
              </w:rPr>
            </w:pPr>
            <w:r>
              <w:rPr>
                <w:rFonts w:ascii="Arial" w:cs="Arial" w:eastAsia="Arial" w:hAnsi="Arial"/>
                <w:sz w:val="16"/>
                <w:szCs w:val="16"/>
                <w:color w:val="auto"/>
              </w:rPr>
              <w:t>10,325</w:t>
            </w:r>
          </w:p>
        </w:tc>
        <w:tc>
          <w:tcPr>
            <w:tcW w:w="22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hanging="172"/>
        <w:spacing w:after="0" w:line="277" w:lineRule="auto"/>
        <w:tabs>
          <w:tab w:leader="none" w:pos="54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See previous pages for natural gas liquids proved reserves attributable to consolidated subsidiaries and equity companies. For additional information on natural gas liquids proved reserves see Item 2. Properties in ExxonMobil’s 2019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Natural Gas and Oil-Equivalent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color w:val="auto"/>
                <w:w w:val="93"/>
              </w:rPr>
              <w:t>Natural Gas</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3"/>
        </w:trPr>
        <w:tc>
          <w:tcPr>
            <w:tcW w:w="4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jc w:val="center"/>
              <w:ind w:right="72"/>
              <w:spacing w:after="0"/>
              <w:rPr>
                <w:sz w:val="20"/>
                <w:szCs w:val="20"/>
                <w:color w:val="auto"/>
              </w:rPr>
            </w:pPr>
            <w:r>
              <w:rPr>
                <w:rFonts w:ascii="Arial" w:cs="Arial" w:eastAsia="Arial" w:hAnsi="Arial"/>
                <w:sz w:val="14"/>
                <w:szCs w:val="14"/>
                <w:color w:val="auto"/>
                <w:w w:val="90"/>
              </w:rPr>
              <w:t>Canada/</w:t>
            </w: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7"/>
              </w:rPr>
              <w:t>Oil-Equivalent</w:t>
            </w:r>
          </w:p>
        </w:tc>
      </w:tr>
      <w:tr>
        <w:trPr>
          <w:trHeight w:val="186"/>
        </w:trPr>
        <w:tc>
          <w:tcPr>
            <w:tcW w:w="4240" w:type="dxa"/>
            <w:vAlign w:val="bottom"/>
          </w:tcPr>
          <w:p>
            <w:pPr>
              <w:spacing w:after="0"/>
              <w:rPr>
                <w:sz w:val="16"/>
                <w:szCs w:val="16"/>
                <w:color w:val="auto"/>
              </w:rPr>
            </w:pP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United</w:t>
            </w:r>
          </w:p>
        </w:tc>
        <w:tc>
          <w:tcPr>
            <w:tcW w:w="840" w:type="dxa"/>
            <w:vAlign w:val="bottom"/>
          </w:tcPr>
          <w:p>
            <w:pPr>
              <w:jc w:val="center"/>
              <w:ind w:right="72"/>
              <w:spacing w:after="0"/>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color w:val="auto"/>
              </w:rPr>
              <w:t>Australia/</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09"/>
        </w:trPr>
        <w:tc>
          <w:tcPr>
            <w:tcW w:w="424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States</w:t>
            </w:r>
          </w:p>
        </w:tc>
        <w:tc>
          <w:tcPr>
            <w:tcW w:w="840" w:type="dxa"/>
            <w:vAlign w:val="bottom"/>
          </w:tcPr>
          <w:p>
            <w:pPr>
              <w:jc w:val="center"/>
              <w:ind w:right="72"/>
              <w:spacing w:after="0"/>
              <w:rPr>
                <w:sz w:val="20"/>
                <w:szCs w:val="20"/>
                <w:color w:val="auto"/>
              </w:rPr>
            </w:pPr>
            <w:r>
              <w:rPr>
                <w:rFonts w:ascii="Arial" w:cs="Arial" w:eastAsia="Arial" w:hAnsi="Arial"/>
                <w:sz w:val="14"/>
                <w:szCs w:val="14"/>
                <w:color w:val="auto"/>
                <w:w w:val="95"/>
              </w:rPr>
              <w:t>Americas</w:t>
            </w: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Europe</w:t>
            </w:r>
          </w:p>
        </w:tc>
        <w:tc>
          <w:tcPr>
            <w:tcW w:w="1000" w:type="dxa"/>
            <w:vAlign w:val="bottom"/>
          </w:tcPr>
          <w:p>
            <w:pPr>
              <w:jc w:val="center"/>
              <w:ind w:right="171"/>
              <w:spacing w:after="0"/>
              <w:rPr>
                <w:sz w:val="20"/>
                <w:szCs w:val="20"/>
                <w:color w:val="auto"/>
              </w:rPr>
            </w:pPr>
            <w:r>
              <w:rPr>
                <w:rFonts w:ascii="Arial" w:cs="Arial" w:eastAsia="Arial" w:hAnsi="Arial"/>
                <w:sz w:val="14"/>
                <w:szCs w:val="14"/>
                <w:color w:val="auto"/>
              </w:rPr>
              <w:t>Africa</w:t>
            </w:r>
          </w:p>
        </w:tc>
        <w:tc>
          <w:tcPr>
            <w:tcW w:w="620" w:type="dxa"/>
            <w:vAlign w:val="bottom"/>
          </w:tcPr>
          <w:p>
            <w:pPr>
              <w:jc w:val="right"/>
              <w:ind w:right="231"/>
              <w:spacing w:after="0"/>
              <w:rPr>
                <w:sz w:val="20"/>
                <w:szCs w:val="20"/>
                <w:color w:val="auto"/>
              </w:rPr>
            </w:pPr>
            <w:r>
              <w:rPr>
                <w:rFonts w:ascii="Arial" w:cs="Arial" w:eastAsia="Arial" w:hAnsi="Arial"/>
                <w:sz w:val="14"/>
                <w:szCs w:val="14"/>
                <w:color w:val="auto"/>
              </w:rPr>
              <w:t>Asia</w:t>
            </w:r>
          </w:p>
        </w:tc>
        <w:tc>
          <w:tcPr>
            <w:tcW w:w="860" w:type="dxa"/>
            <w:vAlign w:val="bottom"/>
          </w:tcPr>
          <w:p>
            <w:pPr>
              <w:jc w:val="right"/>
              <w:ind w:right="191"/>
              <w:spacing w:after="0"/>
              <w:rPr>
                <w:sz w:val="20"/>
                <w:szCs w:val="20"/>
                <w:color w:val="auto"/>
              </w:rPr>
            </w:pPr>
            <w:r>
              <w:rPr>
                <w:rFonts w:ascii="Arial" w:cs="Arial" w:eastAsia="Arial" w:hAnsi="Arial"/>
                <w:sz w:val="14"/>
                <w:szCs w:val="14"/>
                <w:color w:val="auto"/>
              </w:rPr>
              <w:t>Oceania</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r>
      <w:tr>
        <w:trPr>
          <w:trHeight w:val="190"/>
        </w:trPr>
        <w:tc>
          <w:tcPr>
            <w:tcW w:w="4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left="371"/>
              <w:spacing w:after="0"/>
              <w:rPr>
                <w:sz w:val="20"/>
                <w:szCs w:val="20"/>
                <w:color w:val="auto"/>
              </w:rPr>
            </w:pPr>
            <w:r>
              <w:rPr>
                <w:rFonts w:ascii="Arial" w:cs="Arial" w:eastAsia="Arial" w:hAnsi="Arial"/>
                <w:sz w:val="14"/>
                <w:szCs w:val="14"/>
                <w:i w:val="1"/>
                <w:iCs w:val="1"/>
                <w:color w:val="auto"/>
                <w:w w:val="95"/>
              </w:rPr>
              <w:t>(billions of cubic feet)</w:t>
            </w:r>
          </w:p>
        </w:tc>
        <w:tc>
          <w:tcPr>
            <w:tcW w:w="6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(millions of oil-</w:t>
            </w:r>
          </w:p>
        </w:tc>
      </w:tr>
      <w:tr>
        <w:trPr>
          <w:trHeight w:val="203"/>
        </w:trPr>
        <w:tc>
          <w:tcPr>
            <w:tcW w:w="4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Net proved developed and undeveloped</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reserves of consolidated subsidiaries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2017</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17,786</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940</w:t>
            </w:r>
          </w:p>
        </w:tc>
        <w:tc>
          <w:tcPr>
            <w:tcW w:w="720" w:type="dxa"/>
            <w:vAlign w:val="bottom"/>
          </w:tcPr>
          <w:p>
            <w:pPr>
              <w:jc w:val="right"/>
              <w:spacing w:after="0"/>
              <w:rPr>
                <w:sz w:val="20"/>
                <w:szCs w:val="20"/>
                <w:color w:val="auto"/>
              </w:rPr>
            </w:pPr>
            <w:r>
              <w:rPr>
                <w:rFonts w:ascii="Arial" w:cs="Arial" w:eastAsia="Arial" w:hAnsi="Arial"/>
                <w:sz w:val="18"/>
                <w:szCs w:val="18"/>
                <w:color w:val="auto"/>
              </w:rPr>
              <w:t>1,659</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771</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7,357</w:t>
            </w:r>
          </w:p>
        </w:tc>
        <w:tc>
          <w:tcPr>
            <w:tcW w:w="680" w:type="dxa"/>
            <w:vAlign w:val="bottom"/>
          </w:tcPr>
          <w:p>
            <w:pPr>
              <w:jc w:val="right"/>
              <w:spacing w:after="0"/>
              <w:rPr>
                <w:sz w:val="20"/>
                <w:szCs w:val="20"/>
                <w:color w:val="auto"/>
              </w:rPr>
            </w:pPr>
            <w:r>
              <w:rPr>
                <w:rFonts w:ascii="Arial" w:cs="Arial" w:eastAsia="Arial" w:hAnsi="Arial"/>
                <w:sz w:val="18"/>
                <w:szCs w:val="18"/>
                <w:color w:val="auto"/>
              </w:rPr>
              <w:t>33,434</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14,309</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206</w:t>
            </w: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(135)</w:t>
            </w: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1,063</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8</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982</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771</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(87)</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956</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269</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970</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(1,168)</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(1,131)</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2017</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19,033</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1,372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595</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4,340</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6,894</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33,602</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15,903</w:t>
            </w:r>
          </w:p>
        </w:tc>
      </w:tr>
      <w:tr>
        <w:trPr>
          <w:trHeight w:val="176"/>
        </w:trPr>
        <w:tc>
          <w:tcPr>
            <w:tcW w:w="424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88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i w:val="1"/>
                <w:iCs w:val="1"/>
                <w:color w:val="auto"/>
              </w:rPr>
              <w:t>195</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84"/>
        </w:trPr>
        <w:tc>
          <w:tcPr>
            <w:tcW w:w="4240" w:type="dxa"/>
            <w:vAlign w:val="bottom"/>
          </w:tcPr>
          <w:p>
            <w:pPr>
              <w:spacing w:after="0"/>
              <w:rPr>
                <w:sz w:val="20"/>
                <w:szCs w:val="20"/>
                <w:color w:val="auto"/>
              </w:rPr>
            </w:pPr>
            <w:r>
              <w:rPr>
                <w:rFonts w:ascii="Arial" w:cs="Arial" w:eastAsia="Arial" w:hAnsi="Arial"/>
                <w:sz w:val="18"/>
                <w:szCs w:val="18"/>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of equity companies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2017</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7,624</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15,234</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23,069</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5,665</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(1,129)</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(138)</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914</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158</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(1,072)</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(367)</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2017</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914</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14,248</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5,318</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 proved reserves at December 31, 2017</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19,256</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1,372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1,509</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18,588</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6,894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55,151</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21,221</w:t>
            </w:r>
          </w:p>
        </w:tc>
      </w:tr>
      <w:tr>
        <w:trPr>
          <w:trHeight w:val="411"/>
        </w:trPr>
        <w:tc>
          <w:tcPr>
            <w:tcW w:w="4240" w:type="dxa"/>
            <w:vAlign w:val="bottom"/>
          </w:tcPr>
          <w:p>
            <w:pPr>
              <w:spacing w:after="0"/>
              <w:rPr>
                <w:sz w:val="20"/>
                <w:szCs w:val="20"/>
                <w:color w:val="auto"/>
              </w:rPr>
            </w:pPr>
            <w:r>
              <w:rPr>
                <w:rFonts w:ascii="Arial" w:cs="Arial" w:eastAsia="Arial" w:hAnsi="Arial"/>
                <w:sz w:val="18"/>
                <w:szCs w:val="18"/>
                <w:color w:val="auto"/>
              </w:rPr>
              <w:t>Net proved developed and undeveloped</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reserves of consolidated subsidiaries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2018</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19,033</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1,372</w:t>
            </w:r>
          </w:p>
        </w:tc>
        <w:tc>
          <w:tcPr>
            <w:tcW w:w="720" w:type="dxa"/>
            <w:vAlign w:val="bottom"/>
          </w:tcPr>
          <w:p>
            <w:pPr>
              <w:jc w:val="right"/>
              <w:spacing w:after="0"/>
              <w:rPr>
                <w:sz w:val="20"/>
                <w:szCs w:val="20"/>
                <w:color w:val="auto"/>
              </w:rPr>
            </w:pPr>
            <w:r>
              <w:rPr>
                <w:rFonts w:ascii="Arial" w:cs="Arial" w:eastAsia="Arial" w:hAnsi="Arial"/>
                <w:sz w:val="18"/>
                <w:szCs w:val="18"/>
                <w:color w:val="auto"/>
              </w:rPr>
              <w:t>1,368</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595</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4,340</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6,894</w:t>
            </w:r>
          </w:p>
        </w:tc>
        <w:tc>
          <w:tcPr>
            <w:tcW w:w="680" w:type="dxa"/>
            <w:vAlign w:val="bottom"/>
          </w:tcPr>
          <w:p>
            <w:pPr>
              <w:jc w:val="right"/>
              <w:spacing w:after="0"/>
              <w:rPr>
                <w:sz w:val="20"/>
                <w:szCs w:val="20"/>
                <w:color w:val="auto"/>
              </w:rPr>
            </w:pPr>
            <w:r>
              <w:rPr>
                <w:rFonts w:ascii="Arial" w:cs="Arial" w:eastAsia="Arial" w:hAnsi="Arial"/>
                <w:sz w:val="18"/>
                <w:szCs w:val="18"/>
                <w:color w:val="auto"/>
              </w:rPr>
              <w:t>33,602</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15,903</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38</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1,065</w:t>
            </w:r>
          </w:p>
        </w:tc>
        <w:tc>
          <w:tcPr>
            <w:tcW w:w="6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3,626</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36</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27</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(71)</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3,658</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506</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680" w:type="dxa"/>
            <w:vAlign w:val="bottom"/>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1,654</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(1,030)</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(2,395)</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(1,097)</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2018</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21,403</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1,744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588</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3,841</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7,462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36,350</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20,078</w:t>
            </w:r>
          </w:p>
        </w:tc>
      </w:tr>
      <w:tr>
        <w:trPr>
          <w:trHeight w:val="176"/>
        </w:trPr>
        <w:tc>
          <w:tcPr>
            <w:tcW w:w="424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88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i w:val="1"/>
                <w:iCs w:val="1"/>
                <w:color w:val="auto"/>
              </w:rPr>
              <w:t>334</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84"/>
        </w:trPr>
        <w:tc>
          <w:tcPr>
            <w:tcW w:w="4240" w:type="dxa"/>
            <w:vAlign w:val="bottom"/>
          </w:tcPr>
          <w:p>
            <w:pPr>
              <w:spacing w:after="0"/>
              <w:rPr>
                <w:sz w:val="20"/>
                <w:szCs w:val="20"/>
                <w:color w:val="auto"/>
              </w:rPr>
            </w:pPr>
            <w:r>
              <w:rPr>
                <w:rFonts w:ascii="Arial" w:cs="Arial" w:eastAsia="Arial" w:hAnsi="Arial"/>
                <w:sz w:val="18"/>
                <w:szCs w:val="18"/>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of equity companies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2018</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223</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6,164</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914</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14,248</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5,318</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(4,738)</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(753)</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(6)</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w:t>
            </w: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(1,029)</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(345)</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2018</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225</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863</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13,321</w:t>
            </w:r>
          </w:p>
        </w:tc>
        <w:tc>
          <w:tcPr>
            <w:tcW w:w="8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4,215</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 proved reserves at December 31, 2018</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21,628</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1,744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1,451</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17,162</w:t>
            </w: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24,293</w:t>
            </w:r>
          </w:p>
        </w:tc>
      </w:tr>
    </w:tbl>
    <w:p>
      <w:pPr>
        <w:spacing w:after="0" w:line="229" w:lineRule="exact"/>
        <w:rPr>
          <w:sz w:val="20"/>
          <w:szCs w:val="20"/>
          <w:color w:val="auto"/>
        </w:rPr>
      </w:pPr>
    </w:p>
    <w:p>
      <w:pPr>
        <w:ind w:left="5580" w:right="3640" w:hanging="5260"/>
        <w:spacing w:after="0" w:line="559" w:lineRule="auto"/>
        <w:tabs>
          <w:tab w:leader="none" w:pos="708"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is converted to an oil-equivalent basis at six billion cubic feet per one million barrels. </w:t>
      </w: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Natural Gas and Oil-Equivalent Proved Reserves (continued)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72"/>
              <w:spacing w:after="0" w:line="142" w:lineRule="exact"/>
              <w:rPr>
                <w:sz w:val="20"/>
                <w:szCs w:val="20"/>
                <w:color w:val="auto"/>
              </w:rPr>
            </w:pPr>
            <w:r>
              <w:rPr>
                <w:rFonts w:ascii="Arial" w:cs="Arial" w:eastAsia="Arial" w:hAnsi="Arial"/>
                <w:sz w:val="14"/>
                <w:szCs w:val="14"/>
                <w:color w:val="auto"/>
                <w:w w:val="93"/>
              </w:rPr>
              <w:t>Natural Gas</w:t>
            </w:r>
          </w:p>
        </w:tc>
        <w:tc>
          <w:tcPr>
            <w:tcW w:w="6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Oil-Equivalent</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jc w:val="center"/>
              <w:ind w:right="74"/>
              <w:spacing w:after="0" w:line="119" w:lineRule="exact"/>
              <w:rPr>
                <w:sz w:val="20"/>
                <w:szCs w:val="20"/>
                <w:color w:val="auto"/>
              </w:rPr>
            </w:pPr>
            <w:r>
              <w:rPr>
                <w:rFonts w:ascii="Arial" w:cs="Arial" w:eastAsia="Arial" w:hAnsi="Arial"/>
                <w:sz w:val="13"/>
                <w:szCs w:val="13"/>
                <w:color w:val="auto"/>
                <w:w w:val="97"/>
              </w:rPr>
              <w:t>Canada/</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United</w:t>
            </w:r>
          </w:p>
        </w:tc>
        <w:tc>
          <w:tcPr>
            <w:tcW w:w="84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1"/>
              </w:rPr>
              <w:t>Other</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Australia/</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States</w:t>
            </w:r>
          </w:p>
        </w:tc>
        <w:tc>
          <w:tcPr>
            <w:tcW w:w="840" w:type="dxa"/>
            <w:vAlign w:val="bottom"/>
          </w:tcPr>
          <w:p>
            <w:pPr>
              <w:jc w:val="center"/>
              <w:ind w:right="74"/>
              <w:spacing w:after="0"/>
              <w:rPr>
                <w:sz w:val="20"/>
                <w:szCs w:val="20"/>
                <w:color w:val="auto"/>
              </w:rPr>
            </w:pPr>
            <w:r>
              <w:rPr>
                <w:rFonts w:ascii="Arial" w:cs="Arial" w:eastAsia="Arial" w:hAnsi="Arial"/>
                <w:sz w:val="14"/>
                <w:szCs w:val="14"/>
                <w:color w:val="auto"/>
                <w:w w:val="95"/>
              </w:rPr>
              <w:t>Americas</w:t>
            </w:r>
          </w:p>
        </w:tc>
        <w:tc>
          <w:tcPr>
            <w:tcW w:w="720" w:type="dxa"/>
            <w:vAlign w:val="bottom"/>
          </w:tcPr>
          <w:p>
            <w:pPr>
              <w:jc w:val="right"/>
              <w:ind w:right="132"/>
              <w:spacing w:after="0"/>
              <w:rPr>
                <w:sz w:val="20"/>
                <w:szCs w:val="20"/>
                <w:color w:val="auto"/>
              </w:rPr>
            </w:pPr>
            <w:r>
              <w:rPr>
                <w:rFonts w:ascii="Arial" w:cs="Arial" w:eastAsia="Arial" w:hAnsi="Arial"/>
                <w:sz w:val="14"/>
                <w:szCs w:val="14"/>
                <w:color w:val="auto"/>
              </w:rPr>
              <w:t>Europe</w:t>
            </w:r>
          </w:p>
        </w:tc>
        <w:tc>
          <w:tcPr>
            <w:tcW w:w="1000" w:type="dxa"/>
            <w:vAlign w:val="bottom"/>
          </w:tcPr>
          <w:p>
            <w:pPr>
              <w:jc w:val="center"/>
              <w:ind w:right="172"/>
              <w:spacing w:after="0"/>
              <w:rPr>
                <w:sz w:val="20"/>
                <w:szCs w:val="20"/>
                <w:color w:val="auto"/>
              </w:rPr>
            </w:pPr>
            <w:r>
              <w:rPr>
                <w:rFonts w:ascii="Arial" w:cs="Arial" w:eastAsia="Arial" w:hAnsi="Arial"/>
                <w:sz w:val="14"/>
                <w:szCs w:val="14"/>
                <w:color w:val="auto"/>
              </w:rPr>
              <w:t>Africa</w:t>
            </w:r>
          </w:p>
        </w:tc>
        <w:tc>
          <w:tcPr>
            <w:tcW w:w="620" w:type="dxa"/>
            <w:vAlign w:val="bottom"/>
          </w:tcPr>
          <w:p>
            <w:pPr>
              <w:jc w:val="right"/>
              <w:ind w:right="231"/>
              <w:spacing w:after="0"/>
              <w:rPr>
                <w:sz w:val="20"/>
                <w:szCs w:val="20"/>
                <w:color w:val="auto"/>
              </w:rPr>
            </w:pPr>
            <w:r>
              <w:rPr>
                <w:rFonts w:ascii="Arial" w:cs="Arial" w:eastAsia="Arial" w:hAnsi="Arial"/>
                <w:sz w:val="14"/>
                <w:szCs w:val="14"/>
                <w:color w:val="auto"/>
              </w:rPr>
              <w:t>Asia</w:t>
            </w: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Oceania</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84"/>
        </w:trPr>
        <w:tc>
          <w:tcPr>
            <w:tcW w:w="4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left="372"/>
              <w:spacing w:after="0"/>
              <w:rPr>
                <w:sz w:val="20"/>
                <w:szCs w:val="20"/>
                <w:color w:val="auto"/>
              </w:rPr>
            </w:pPr>
            <w:r>
              <w:rPr>
                <w:rFonts w:ascii="Arial" w:cs="Arial" w:eastAsia="Arial" w:hAnsi="Arial"/>
                <w:sz w:val="14"/>
                <w:szCs w:val="14"/>
                <w:i w:val="1"/>
                <w:iCs w:val="1"/>
                <w:color w:val="auto"/>
                <w:w w:val="95"/>
              </w:rPr>
              <w:t>(billions of cubic feet)</w:t>
            </w:r>
          </w:p>
        </w:tc>
        <w:tc>
          <w:tcPr>
            <w:tcW w:w="6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rPr>
              <w:t>(millions of oil-</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Net proved developed and undeveloped</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reserves of consolidated subsidiaries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21,403</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1,744</w:t>
            </w:r>
          </w:p>
        </w:tc>
        <w:tc>
          <w:tcPr>
            <w:tcW w:w="720" w:type="dxa"/>
            <w:vAlign w:val="bottom"/>
          </w:tcPr>
          <w:p>
            <w:pPr>
              <w:jc w:val="right"/>
              <w:spacing w:after="0"/>
              <w:rPr>
                <w:sz w:val="20"/>
                <w:szCs w:val="20"/>
                <w:color w:val="auto"/>
              </w:rPr>
            </w:pPr>
            <w:r>
              <w:rPr>
                <w:rFonts w:ascii="Arial" w:cs="Arial" w:eastAsia="Arial" w:hAnsi="Arial"/>
                <w:sz w:val="18"/>
                <w:szCs w:val="18"/>
                <w:color w:val="auto"/>
              </w:rPr>
              <w:t>1,312</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588</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3,841</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7,462</w:t>
            </w:r>
          </w:p>
        </w:tc>
        <w:tc>
          <w:tcPr>
            <w:tcW w:w="680" w:type="dxa"/>
            <w:vAlign w:val="bottom"/>
          </w:tcPr>
          <w:p>
            <w:pPr>
              <w:jc w:val="right"/>
              <w:spacing w:after="0"/>
              <w:rPr>
                <w:sz w:val="20"/>
                <w:szCs w:val="20"/>
                <w:color w:val="auto"/>
              </w:rPr>
            </w:pPr>
            <w:r>
              <w:rPr>
                <w:rFonts w:ascii="Arial" w:cs="Arial" w:eastAsia="Arial" w:hAnsi="Arial"/>
                <w:sz w:val="18"/>
                <w:szCs w:val="18"/>
                <w:color w:val="auto"/>
              </w:rPr>
              <w:t>36,350</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20,078</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spacing w:after="0"/>
              <w:rPr>
                <w:sz w:val="20"/>
                <w:szCs w:val="20"/>
                <w:color w:val="auto"/>
              </w:rPr>
            </w:pPr>
            <w:r>
              <w:rPr>
                <w:rFonts w:ascii="Arial" w:cs="Arial" w:eastAsia="Arial" w:hAnsi="Arial"/>
                <w:sz w:val="18"/>
                <w:szCs w:val="18"/>
                <w:color w:val="auto"/>
              </w:rPr>
              <w:t>(3,213)</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(171)</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(2,652)</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2,151</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166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(1,103)</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2019</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19,026</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1,466</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377</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4,433</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7,001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rPr>
              <w:t>18,596</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20"/>
                <w:szCs w:val="20"/>
                <w:color w:val="auto"/>
              </w:rPr>
            </w:pPr>
            <w:r>
              <w:rPr>
                <w:rFonts w:ascii="Arial" w:cs="Arial" w:eastAsia="Arial" w:hAnsi="Arial"/>
                <w:sz w:val="14"/>
                <w:szCs w:val="14"/>
                <w:i w:val="1"/>
                <w:iCs w:val="1"/>
                <w:color w:val="auto"/>
              </w:rPr>
              <w:t>Attributable to noncontrolling interests</w:t>
            </w:r>
          </w:p>
        </w:tc>
        <w:tc>
          <w:tcPr>
            <w:tcW w:w="8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i w:val="1"/>
                <w:iCs w:val="1"/>
                <w:color w:val="auto"/>
              </w:rPr>
              <w:t>256</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4240" w:type="dxa"/>
            <w:vAlign w:val="bottom"/>
          </w:tcPr>
          <w:p>
            <w:pPr>
              <w:spacing w:after="0"/>
              <w:rPr>
                <w:sz w:val="20"/>
                <w:szCs w:val="20"/>
                <w:color w:val="auto"/>
              </w:rPr>
            </w:pPr>
            <w:r>
              <w:rPr>
                <w:rFonts w:ascii="Arial" w:cs="Arial" w:eastAsia="Arial" w:hAnsi="Arial"/>
                <w:sz w:val="18"/>
                <w:szCs w:val="18"/>
                <w:color w:val="auto"/>
              </w:rPr>
              <w:t>Proportional interest in proved reserves</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of equity companies</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January 1, 2019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1,057</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863</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13,321</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Revisions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Improved recovery</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Purchases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Extensions/discoveries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Production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(1,009)</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December 31, 2019</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213</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908</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12,454</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Total proved reserves at December 31, 2019</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19,239</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1,285</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16,887</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47,080</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22,445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580" w:right="3760" w:hanging="5390"/>
        <w:spacing w:after="0" w:line="543" w:lineRule="auto"/>
        <w:tabs>
          <w:tab w:leader="none" w:pos="578"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is converted to an oil-equivalent basis at six billion cubic feet per one million barrels. </w:t>
      </w: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jc w:val="center"/>
              <w:ind w:right="172"/>
              <w:spacing w:after="0"/>
              <w:rPr>
                <w:sz w:val="20"/>
                <w:szCs w:val="20"/>
                <w:color w:val="auto"/>
              </w:rPr>
            </w:pPr>
            <w:r>
              <w:rPr>
                <w:rFonts w:ascii="Arial" w:cs="Arial" w:eastAsia="Arial" w:hAnsi="Arial"/>
                <w:sz w:val="14"/>
                <w:szCs w:val="14"/>
                <w:color w:val="auto"/>
                <w:w w:val="90"/>
              </w:rPr>
              <w:t>Natural Gas</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6"/>
        </w:trPr>
        <w:tc>
          <w:tcPr>
            <w:tcW w:w="4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0"/>
        </w:trPr>
        <w:tc>
          <w:tcPr>
            <w:tcW w:w="4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jc w:val="center"/>
              <w:ind w:right="13"/>
              <w:spacing w:after="0"/>
              <w:rPr>
                <w:sz w:val="20"/>
                <w:szCs w:val="20"/>
                <w:color w:val="auto"/>
              </w:rPr>
            </w:pPr>
            <w:r>
              <w:rPr>
                <w:rFonts w:ascii="Arial" w:cs="Arial" w:eastAsia="Arial" w:hAnsi="Arial"/>
                <w:sz w:val="14"/>
                <w:szCs w:val="14"/>
                <w:color w:val="auto"/>
                <w:w w:val="90"/>
              </w:rPr>
              <w:t>Canada/</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Oil-Equivalent</w:t>
            </w:r>
          </w:p>
        </w:tc>
      </w:tr>
      <w:tr>
        <w:trPr>
          <w:trHeight w:val="186"/>
        </w:trPr>
        <w:tc>
          <w:tcPr>
            <w:tcW w:w="4160" w:type="dxa"/>
            <w:vAlign w:val="bottom"/>
          </w:tcPr>
          <w:p>
            <w:pPr>
              <w:spacing w:after="0"/>
              <w:rPr>
                <w:sz w:val="16"/>
                <w:szCs w:val="16"/>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color w:val="auto"/>
              </w:rPr>
              <w:t>United</w:t>
            </w:r>
          </w:p>
        </w:tc>
        <w:tc>
          <w:tcPr>
            <w:tcW w:w="860" w:type="dxa"/>
            <w:vAlign w:val="bottom"/>
          </w:tcPr>
          <w:p>
            <w:pPr>
              <w:jc w:val="center"/>
              <w:ind w:right="13"/>
              <w:spacing w:after="0"/>
              <w:rPr>
                <w:sz w:val="20"/>
                <w:szCs w:val="20"/>
                <w:color w:val="auto"/>
              </w:rPr>
            </w:pPr>
            <w:r>
              <w:rPr>
                <w:rFonts w:ascii="Arial" w:cs="Arial" w:eastAsia="Arial" w:hAnsi="Arial"/>
                <w:sz w:val="14"/>
                <w:szCs w:val="14"/>
                <w:color w:val="auto"/>
                <w:w w:val="91"/>
              </w:rPr>
              <w:t>Other</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Australia/</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16"/>
        </w:trPr>
        <w:tc>
          <w:tcPr>
            <w:tcW w:w="416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States</w:t>
            </w:r>
          </w:p>
        </w:tc>
        <w:tc>
          <w:tcPr>
            <w:tcW w:w="860" w:type="dxa"/>
            <w:vAlign w:val="bottom"/>
          </w:tcPr>
          <w:p>
            <w:pPr>
              <w:jc w:val="center"/>
              <w:ind w:right="13"/>
              <w:spacing w:after="0"/>
              <w:rPr>
                <w:sz w:val="20"/>
                <w:szCs w:val="20"/>
                <w:color w:val="auto"/>
              </w:rPr>
            </w:pPr>
            <w:r>
              <w:rPr>
                <w:rFonts w:ascii="Arial" w:cs="Arial" w:eastAsia="Arial" w:hAnsi="Arial"/>
                <w:sz w:val="14"/>
                <w:szCs w:val="14"/>
                <w:color w:val="auto"/>
                <w:w w:val="95"/>
              </w:rPr>
              <w:t>Americas</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Europe</w:t>
            </w:r>
          </w:p>
        </w:tc>
        <w:tc>
          <w:tcPr>
            <w:tcW w:w="1060" w:type="dxa"/>
            <w:vAlign w:val="bottom"/>
          </w:tcPr>
          <w:p>
            <w:pPr>
              <w:jc w:val="center"/>
              <w:ind w:right="172"/>
              <w:spacing w:after="0"/>
              <w:rPr>
                <w:sz w:val="20"/>
                <w:szCs w:val="20"/>
                <w:color w:val="auto"/>
              </w:rPr>
            </w:pPr>
            <w:r>
              <w:rPr>
                <w:rFonts w:ascii="Arial" w:cs="Arial" w:eastAsia="Arial" w:hAnsi="Arial"/>
                <w:sz w:val="14"/>
                <w:szCs w:val="14"/>
                <w:color w:val="auto"/>
              </w:rPr>
              <w:t>Africa</w:t>
            </w:r>
          </w:p>
        </w:tc>
        <w:tc>
          <w:tcPr>
            <w:tcW w:w="580" w:type="dxa"/>
            <w:vAlign w:val="bottom"/>
          </w:tcPr>
          <w:p>
            <w:pPr>
              <w:jc w:val="right"/>
              <w:ind w:right="211"/>
              <w:spacing w:after="0"/>
              <w:rPr>
                <w:sz w:val="20"/>
                <w:szCs w:val="20"/>
                <w:color w:val="auto"/>
              </w:rPr>
            </w:pPr>
            <w:r>
              <w:rPr>
                <w:rFonts w:ascii="Arial" w:cs="Arial" w:eastAsia="Arial" w:hAnsi="Arial"/>
                <w:sz w:val="14"/>
                <w:szCs w:val="14"/>
                <w:color w:val="auto"/>
                <w:w w:val="95"/>
              </w:rPr>
              <w:t>Asia</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Oceania</w:t>
            </w:r>
          </w:p>
        </w:tc>
        <w:tc>
          <w:tcPr>
            <w:tcW w:w="82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r>
      <w:tr>
        <w:trPr>
          <w:trHeight w:val="26"/>
        </w:trPr>
        <w:tc>
          <w:tcPr>
            <w:tcW w:w="4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4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gridSpan w:val="2"/>
          </w:tcPr>
          <w:p>
            <w:pPr>
              <w:jc w:val="center"/>
              <w:ind w:left="412"/>
              <w:spacing w:after="0"/>
              <w:rPr>
                <w:sz w:val="20"/>
                <w:szCs w:val="20"/>
                <w:color w:val="auto"/>
              </w:rPr>
            </w:pPr>
            <w:r>
              <w:rPr>
                <w:rFonts w:ascii="Arial" w:cs="Arial" w:eastAsia="Arial" w:hAnsi="Arial"/>
                <w:sz w:val="14"/>
                <w:szCs w:val="14"/>
                <w:i w:val="1"/>
                <w:iCs w:val="1"/>
                <w:color w:val="auto"/>
                <w:w w:val="95"/>
              </w:rPr>
              <w:t>(billions of cubic feet)</w:t>
            </w: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(millions of oil-</w:t>
            </w:r>
          </w:p>
        </w:tc>
      </w:tr>
      <w:tr>
        <w:trPr>
          <w:trHeight w:val="216"/>
        </w:trPr>
        <w:tc>
          <w:tcPr>
            <w:tcW w:w="4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Proved developed reserves, as of</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2017</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12,649</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512</w:t>
            </w:r>
          </w:p>
        </w:tc>
        <w:tc>
          <w:tcPr>
            <w:tcW w:w="740" w:type="dxa"/>
            <w:vAlign w:val="bottom"/>
          </w:tcPr>
          <w:p>
            <w:pPr>
              <w:jc w:val="right"/>
              <w:spacing w:after="0"/>
              <w:rPr>
                <w:sz w:val="20"/>
                <w:szCs w:val="20"/>
                <w:color w:val="auto"/>
              </w:rPr>
            </w:pPr>
            <w:r>
              <w:rPr>
                <w:rFonts w:ascii="Arial" w:cs="Arial" w:eastAsia="Arial" w:hAnsi="Arial"/>
                <w:sz w:val="18"/>
                <w:szCs w:val="18"/>
                <w:color w:val="auto"/>
              </w:rPr>
              <w:t>1,231</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584</w:t>
            </w:r>
          </w:p>
        </w:tc>
        <w:tc>
          <w:tcPr>
            <w:tcW w:w="580" w:type="dxa"/>
            <w:vAlign w:val="bottom"/>
          </w:tcPr>
          <w:p>
            <w:pPr>
              <w:jc w:val="right"/>
              <w:spacing w:after="0"/>
              <w:rPr>
                <w:sz w:val="20"/>
                <w:szCs w:val="20"/>
                <w:color w:val="auto"/>
              </w:rPr>
            </w:pPr>
            <w:r>
              <w:rPr>
                <w:rFonts w:ascii="Arial" w:cs="Arial" w:eastAsia="Arial" w:hAnsi="Arial"/>
                <w:sz w:val="18"/>
                <w:szCs w:val="18"/>
                <w:color w:val="auto"/>
              </w:rPr>
              <w:t>4,030</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4,420</w:t>
            </w:r>
          </w:p>
        </w:tc>
        <w:tc>
          <w:tcPr>
            <w:tcW w:w="720" w:type="dxa"/>
            <w:vAlign w:val="bottom"/>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9,724</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4,899</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12,898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0"/>
                <w:szCs w:val="20"/>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4,232</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Proved undeveloped reserves, as of</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2017</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6,384</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860</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2,474</w:t>
            </w:r>
          </w:p>
        </w:tc>
        <w:tc>
          <w:tcPr>
            <w:tcW w:w="720" w:type="dxa"/>
            <w:vAlign w:val="bottom"/>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6,179</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1,086</w:t>
            </w:r>
          </w:p>
        </w:tc>
      </w:tr>
      <w:tr>
        <w:trPr>
          <w:trHeight w:val="426"/>
        </w:trPr>
        <w:tc>
          <w:tcPr>
            <w:tcW w:w="4160" w:type="dxa"/>
            <w:vAlign w:val="bottom"/>
          </w:tcPr>
          <w:p>
            <w:pPr>
              <w:spacing w:after="0"/>
              <w:rPr>
                <w:sz w:val="20"/>
                <w:szCs w:val="20"/>
                <w:color w:val="auto"/>
              </w:rPr>
            </w:pPr>
            <w:r>
              <w:rPr>
                <w:rFonts w:ascii="Arial" w:cs="Arial" w:eastAsia="Arial" w:hAnsi="Arial"/>
                <w:sz w:val="18"/>
                <w:szCs w:val="18"/>
                <w:color w:val="auto"/>
              </w:rPr>
              <w:t>Total proved reserves at December 31, 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1,372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1,509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18,588</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6,894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55,151</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21,221</w:t>
            </w:r>
          </w:p>
        </w:tc>
      </w:tr>
      <w:tr>
        <w:trPr>
          <w:trHeight w:val="411"/>
        </w:trPr>
        <w:tc>
          <w:tcPr>
            <w:tcW w:w="4160" w:type="dxa"/>
            <w:vAlign w:val="bottom"/>
          </w:tcPr>
          <w:p>
            <w:pPr>
              <w:spacing w:after="0"/>
              <w:rPr>
                <w:sz w:val="20"/>
                <w:szCs w:val="20"/>
                <w:color w:val="auto"/>
              </w:rPr>
            </w:pPr>
            <w:r>
              <w:rPr>
                <w:rFonts w:ascii="Arial" w:cs="Arial" w:eastAsia="Arial" w:hAnsi="Arial"/>
                <w:sz w:val="18"/>
                <w:szCs w:val="18"/>
                <w:color w:val="auto"/>
              </w:rPr>
              <w:t>Proved developed reserves, as of</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12,538</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605</w:t>
            </w:r>
          </w:p>
        </w:tc>
        <w:tc>
          <w:tcPr>
            <w:tcW w:w="740" w:type="dxa"/>
            <w:vAlign w:val="bottom"/>
          </w:tcPr>
          <w:p>
            <w:pPr>
              <w:jc w:val="right"/>
              <w:spacing w:after="0"/>
              <w:rPr>
                <w:sz w:val="20"/>
                <w:szCs w:val="20"/>
                <w:color w:val="auto"/>
              </w:rPr>
            </w:pPr>
            <w:r>
              <w:rPr>
                <w:rFonts w:ascii="Arial" w:cs="Arial" w:eastAsia="Arial" w:hAnsi="Arial"/>
                <w:sz w:val="18"/>
                <w:szCs w:val="18"/>
                <w:color w:val="auto"/>
              </w:rPr>
              <w:t>1,116</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581</w:t>
            </w:r>
          </w:p>
        </w:tc>
        <w:tc>
          <w:tcPr>
            <w:tcW w:w="580" w:type="dxa"/>
            <w:vAlign w:val="bottom"/>
          </w:tcPr>
          <w:p>
            <w:pPr>
              <w:jc w:val="right"/>
              <w:spacing w:after="0"/>
              <w:rPr>
                <w:sz w:val="20"/>
                <w:szCs w:val="20"/>
                <w:color w:val="auto"/>
              </w:rPr>
            </w:pPr>
            <w:r>
              <w:rPr>
                <w:rFonts w:ascii="Arial" w:cs="Arial" w:eastAsia="Arial" w:hAnsi="Arial"/>
                <w:sz w:val="18"/>
                <w:szCs w:val="18"/>
                <w:color w:val="auto"/>
              </w:rPr>
              <w:t>3,618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4,336</w:t>
            </w:r>
          </w:p>
        </w:tc>
        <w:tc>
          <w:tcPr>
            <w:tcW w:w="720" w:type="dxa"/>
            <w:vAlign w:val="bottom"/>
          </w:tcPr>
          <w:p>
            <w:pPr>
              <w:jc w:val="right"/>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13,098</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11,951</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Pr>
          <w:p>
            <w:pPr>
              <w:spacing w:after="0"/>
              <w:rPr>
                <w:sz w:val="20"/>
                <w:szCs w:val="20"/>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3,324</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Proved undeveloped reserves, as of</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8,865</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1,139</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3,126</w:t>
            </w:r>
          </w:p>
        </w:tc>
        <w:tc>
          <w:tcPr>
            <w:tcW w:w="720" w:type="dxa"/>
            <w:vAlign w:val="bottom"/>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6,980</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863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891</w:t>
            </w:r>
          </w:p>
        </w:tc>
      </w:tr>
      <w:tr>
        <w:trPr>
          <w:trHeight w:val="426"/>
        </w:trPr>
        <w:tc>
          <w:tcPr>
            <w:tcW w:w="4160" w:type="dxa"/>
            <w:vAlign w:val="bottom"/>
          </w:tcPr>
          <w:p>
            <w:pPr>
              <w:spacing w:after="0"/>
              <w:rPr>
                <w:sz w:val="20"/>
                <w:szCs w:val="20"/>
                <w:color w:val="auto"/>
              </w:rPr>
            </w:pPr>
            <w:r>
              <w:rPr>
                <w:rFonts w:ascii="Arial" w:cs="Arial" w:eastAsia="Arial" w:hAnsi="Arial"/>
                <w:sz w:val="18"/>
                <w:szCs w:val="18"/>
                <w:color w:val="auto"/>
              </w:rPr>
              <w:t>Total proved reserves at December 31, 2018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1,451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17,162</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24,293</w:t>
            </w:r>
          </w:p>
        </w:tc>
      </w:tr>
      <w:tr>
        <w:trPr>
          <w:trHeight w:val="411"/>
        </w:trPr>
        <w:tc>
          <w:tcPr>
            <w:tcW w:w="4160" w:type="dxa"/>
            <w:vAlign w:val="bottom"/>
          </w:tcPr>
          <w:p>
            <w:pPr>
              <w:spacing w:after="0"/>
              <w:rPr>
                <w:sz w:val="20"/>
                <w:szCs w:val="20"/>
                <w:color w:val="auto"/>
              </w:rPr>
            </w:pPr>
            <w:r>
              <w:rPr>
                <w:rFonts w:ascii="Arial" w:cs="Arial" w:eastAsia="Arial" w:hAnsi="Arial"/>
                <w:sz w:val="18"/>
                <w:szCs w:val="18"/>
                <w:color w:val="auto"/>
              </w:rPr>
              <w:t>Proved developed reserves, as of</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11,882</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613</w:t>
            </w: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377</w:t>
            </w:r>
          </w:p>
        </w:tc>
        <w:tc>
          <w:tcPr>
            <w:tcW w:w="580" w:type="dxa"/>
            <w:vAlign w:val="bottom"/>
          </w:tcPr>
          <w:p>
            <w:pPr>
              <w:jc w:val="right"/>
              <w:spacing w:after="0"/>
              <w:rPr>
                <w:sz w:val="20"/>
                <w:szCs w:val="20"/>
                <w:color w:val="auto"/>
              </w:rPr>
            </w:pPr>
            <w:r>
              <w:rPr>
                <w:rFonts w:ascii="Arial" w:cs="Arial" w:eastAsia="Arial" w:hAnsi="Arial"/>
                <w:sz w:val="18"/>
                <w:szCs w:val="18"/>
                <w:color w:val="auto"/>
              </w:rPr>
              <w:t>3,508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3,765</w:t>
            </w:r>
          </w:p>
        </w:tc>
        <w:tc>
          <w:tcPr>
            <w:tcW w:w="720" w:type="dxa"/>
            <w:vAlign w:val="bottom"/>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12,075</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9,859</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20"/>
                <w:szCs w:val="20"/>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2,691</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Proved undeveloped reserves, as of</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Consolidated subsidiaries</w:t>
            </w:r>
          </w:p>
        </w:tc>
        <w:tc>
          <w:tcPr>
            <w:tcW w:w="820" w:type="dxa"/>
            <w:vAlign w:val="bottom"/>
          </w:tcPr>
          <w:p>
            <w:pPr>
              <w:jc w:val="right"/>
              <w:spacing w:after="0"/>
              <w:rPr>
                <w:sz w:val="20"/>
                <w:szCs w:val="20"/>
                <w:color w:val="auto"/>
              </w:rPr>
            </w:pPr>
            <w:r>
              <w:rPr>
                <w:rFonts w:ascii="Arial" w:cs="Arial" w:eastAsia="Arial" w:hAnsi="Arial"/>
                <w:sz w:val="18"/>
                <w:szCs w:val="18"/>
                <w:color w:val="auto"/>
              </w:rPr>
              <w:t>7,144</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853</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3,236</w:t>
            </w:r>
          </w:p>
        </w:tc>
        <w:tc>
          <w:tcPr>
            <w:tcW w:w="720" w:type="dxa"/>
            <w:vAlign w:val="bottom"/>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Arial" w:cs="Arial" w:eastAsia="Arial" w:hAnsi="Arial"/>
                <w:sz w:val="18"/>
                <w:szCs w:val="18"/>
                <w:color w:val="auto"/>
              </w:rPr>
              <w:t>6,521</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Equity companies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908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1,158</w:t>
            </w:r>
          </w:p>
        </w:tc>
      </w:tr>
      <w:tr>
        <w:trPr>
          <w:trHeight w:val="426"/>
        </w:trPr>
        <w:tc>
          <w:tcPr>
            <w:tcW w:w="4160" w:type="dxa"/>
            <w:vAlign w:val="bottom"/>
          </w:tcPr>
          <w:p>
            <w:pPr>
              <w:spacing w:after="0"/>
              <w:rPr>
                <w:sz w:val="20"/>
                <w:szCs w:val="20"/>
                <w:color w:val="auto"/>
              </w:rPr>
            </w:pPr>
            <w:r>
              <w:rPr>
                <w:rFonts w:ascii="Arial" w:cs="Arial" w:eastAsia="Arial" w:hAnsi="Arial"/>
                <w:sz w:val="18"/>
                <w:szCs w:val="18"/>
                <w:color w:val="auto"/>
              </w:rPr>
              <w:t>Total proved reserves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1,285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16,887</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7,001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47,080</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22,445</w:t>
            </w:r>
          </w:p>
        </w:tc>
      </w:tr>
    </w:tbl>
    <w:p>
      <w:pPr>
        <w:spacing w:after="0" w:line="229" w:lineRule="exact"/>
        <w:rPr>
          <w:sz w:val="20"/>
          <w:szCs w:val="20"/>
          <w:color w:val="auto"/>
        </w:rPr>
      </w:pPr>
    </w:p>
    <w:p>
      <w:pPr>
        <w:ind w:left="5580" w:right="3640" w:hanging="5260"/>
        <w:spacing w:after="0" w:line="559" w:lineRule="auto"/>
        <w:tabs>
          <w:tab w:leader="none" w:pos="711"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is converted to an oil-equivalent basis at six billion cubic feet per one million barrels. </w:t>
      </w: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Standardized Measure of Discounted Future Cash Flows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required by the Financial Accounting Standards Board, the standardized measure of discounted future net cash flows is computed by applying first-day-of-the-month average prices, year-end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first-day-of-the-month average prices, which represent discrete points in time and therefore may cause significant variability in cash flows from year to year as prices 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Standardized Measure of Discounted</w:t>
            </w:r>
          </w:p>
        </w:tc>
        <w:tc>
          <w:tcPr>
            <w:tcW w:w="8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United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Australia/</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Future Cash Flows</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States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Americas </w:t>
            </w:r>
            <w:r>
              <w:rPr>
                <w:rFonts w:ascii="Arial" w:cs="Arial" w:eastAsia="Arial" w:hAnsi="Arial"/>
                <w:sz w:val="14"/>
                <w:szCs w:val="14"/>
                <w:i w:val="1"/>
                <w:iCs w:val="1"/>
                <w:color w:val="auto"/>
                <w:w w:val="95"/>
              </w:rPr>
              <w:t>(1)</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Europe</w:t>
            </w: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Africa</w:t>
            </w: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Asia</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Oceania</w:t>
            </w: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4700" w:type="dxa"/>
            <w:vAlign w:val="bottom"/>
            <w:vMerge w:val="restart"/>
          </w:tcPr>
          <w:p>
            <w:pPr>
              <w:spacing w:after="0"/>
              <w:rPr>
                <w:sz w:val="20"/>
                <w:szCs w:val="20"/>
                <w:color w:val="auto"/>
              </w:rPr>
            </w:pPr>
            <w:r>
              <w:rPr>
                <w:rFonts w:ascii="Arial" w:cs="Arial" w:eastAsia="Arial" w:hAnsi="Arial"/>
                <w:sz w:val="18"/>
                <w:szCs w:val="18"/>
                <w:color w:val="auto"/>
              </w:rPr>
              <w:t>Consolidated Subsidiaries</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gridSpan w:val="2"/>
          </w:tcPr>
          <w:p>
            <w:pPr>
              <w:jc w:val="right"/>
              <w:ind w:right="611"/>
              <w:spacing w:after="0"/>
              <w:rPr>
                <w:sz w:val="20"/>
                <w:szCs w:val="20"/>
                <w:color w:val="auto"/>
              </w:rPr>
            </w:pPr>
            <w:r>
              <w:rPr>
                <w:rFonts w:ascii="Arial" w:cs="Arial" w:eastAsia="Arial" w:hAnsi="Arial"/>
                <w:sz w:val="14"/>
                <w:szCs w:val="14"/>
                <w:i w:val="1"/>
                <w:iCs w:val="1"/>
                <w:color w:val="auto"/>
              </w:rPr>
              <w:t>(millions of dollars)</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As of December 31, 2017</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cash inflows from sales of oil and gas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186,126</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78,870</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14,794</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43,223</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191,254</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40,814</w:t>
            </w:r>
          </w:p>
        </w:tc>
        <w:tc>
          <w:tcPr>
            <w:tcW w:w="1000" w:type="dxa"/>
            <w:vAlign w:val="bottom"/>
          </w:tcPr>
          <w:p>
            <w:pPr>
              <w:jc w:val="right"/>
              <w:spacing w:after="0"/>
              <w:rPr>
                <w:sz w:val="20"/>
                <w:szCs w:val="20"/>
                <w:color w:val="auto"/>
              </w:rPr>
            </w:pPr>
            <w:r>
              <w:rPr>
                <w:rFonts w:ascii="Arial" w:cs="Arial" w:eastAsia="Arial" w:hAnsi="Arial"/>
                <w:sz w:val="18"/>
                <w:szCs w:val="18"/>
                <w:color w:val="auto"/>
              </w:rPr>
              <w:t>555,081</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production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78,980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42,280</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4,424</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14,049</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53,723</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8,424</w:t>
            </w:r>
          </w:p>
        </w:tc>
        <w:tc>
          <w:tcPr>
            <w:tcW w:w="1000" w:type="dxa"/>
            <w:vAlign w:val="bottom"/>
          </w:tcPr>
          <w:p>
            <w:pPr>
              <w:jc w:val="right"/>
              <w:spacing w:after="0"/>
              <w:rPr>
                <w:sz w:val="20"/>
                <w:szCs w:val="20"/>
                <w:color w:val="auto"/>
              </w:rPr>
            </w:pPr>
            <w:r>
              <w:rPr>
                <w:rFonts w:ascii="Arial" w:cs="Arial" w:eastAsia="Arial" w:hAnsi="Arial"/>
                <w:sz w:val="18"/>
                <w:szCs w:val="18"/>
                <w:color w:val="auto"/>
              </w:rPr>
              <w:t>201,880</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development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39,996</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18,150</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7,480</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8,897</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15,156</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7,951</w:t>
            </w:r>
          </w:p>
        </w:tc>
        <w:tc>
          <w:tcPr>
            <w:tcW w:w="1000" w:type="dxa"/>
            <w:vAlign w:val="bottom"/>
          </w:tcPr>
          <w:p>
            <w:pPr>
              <w:jc w:val="right"/>
              <w:spacing w:after="0"/>
              <w:rPr>
                <w:sz w:val="20"/>
                <w:szCs w:val="20"/>
                <w:color w:val="auto"/>
              </w:rPr>
            </w:pPr>
            <w:r>
              <w:rPr>
                <w:rFonts w:ascii="Arial" w:cs="Arial" w:eastAsia="Arial" w:hAnsi="Arial"/>
                <w:sz w:val="18"/>
                <w:szCs w:val="18"/>
                <w:color w:val="auto"/>
              </w:rPr>
              <w:t>97,630</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Future income tax expenses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12,879</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4,527</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2,790</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8,818</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90,614</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125,645</w:t>
            </w:r>
          </w:p>
        </w:tc>
        <w:tc>
          <w:tcPr>
            <w:tcW w:w="0" w:type="dxa"/>
            <w:vAlign w:val="bottom"/>
          </w:tcPr>
          <w:p>
            <w:pPr>
              <w:spacing w:after="0"/>
              <w:rPr>
                <w:sz w:val="1"/>
                <w:szCs w:val="1"/>
                <w:color w:val="auto"/>
              </w:rPr>
            </w:pPr>
          </w:p>
        </w:tc>
      </w:tr>
      <w:tr>
        <w:trPr>
          <w:trHeight w:val="195"/>
        </w:trPr>
        <w:tc>
          <w:tcPr>
            <w:tcW w:w="4700" w:type="dxa"/>
            <w:vAlign w:val="bottom"/>
          </w:tcPr>
          <w:p>
            <w:pPr>
              <w:ind w:left="220"/>
              <w:spacing w:after="0" w:line="195" w:lineRule="exact"/>
              <w:rPr>
                <w:sz w:val="20"/>
                <w:szCs w:val="20"/>
                <w:color w:val="auto"/>
              </w:rPr>
            </w:pPr>
            <w:r>
              <w:rPr>
                <w:rFonts w:ascii="Arial" w:cs="Arial" w:eastAsia="Arial" w:hAnsi="Arial"/>
                <w:sz w:val="18"/>
                <w:szCs w:val="18"/>
                <w:color w:val="auto"/>
              </w:rPr>
              <w:t>Future net cash flows</w:t>
            </w:r>
          </w:p>
        </w:tc>
        <w:tc>
          <w:tcPr>
            <w:tcW w:w="860" w:type="dxa"/>
            <w:vAlign w:val="bottom"/>
          </w:tcPr>
          <w:p>
            <w:pPr>
              <w:jc w:val="right"/>
              <w:ind w:right="12"/>
              <w:spacing w:after="0" w:line="195" w:lineRule="exact"/>
              <w:rPr>
                <w:sz w:val="20"/>
                <w:szCs w:val="20"/>
                <w:color w:val="auto"/>
              </w:rPr>
            </w:pPr>
            <w:r>
              <w:rPr>
                <w:rFonts w:ascii="Arial" w:cs="Arial" w:eastAsia="Arial" w:hAnsi="Arial"/>
                <w:sz w:val="18"/>
                <w:szCs w:val="18"/>
                <w:color w:val="auto"/>
              </w:rPr>
              <w:t>54,271</w:t>
            </w:r>
          </w:p>
        </w:tc>
        <w:tc>
          <w:tcPr>
            <w:tcW w:w="10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13,913</w:t>
            </w:r>
          </w:p>
        </w:tc>
        <w:tc>
          <w:tcPr>
            <w:tcW w:w="860" w:type="dxa"/>
            <w:vAlign w:val="bottom"/>
          </w:tcPr>
          <w:p>
            <w:pPr>
              <w:jc w:val="right"/>
              <w:ind w:right="31"/>
              <w:spacing w:after="0" w:line="195" w:lineRule="exact"/>
              <w:rPr>
                <w:sz w:val="20"/>
                <w:szCs w:val="20"/>
                <w:color w:val="auto"/>
              </w:rPr>
            </w:pPr>
            <w:r>
              <w:rPr>
                <w:rFonts w:ascii="Arial" w:cs="Arial" w:eastAsia="Arial" w:hAnsi="Arial"/>
                <w:sz w:val="18"/>
                <w:szCs w:val="18"/>
                <w:color w:val="auto"/>
              </w:rPr>
              <w:t>100</w:t>
            </w:r>
          </w:p>
        </w:tc>
        <w:tc>
          <w:tcPr>
            <w:tcW w:w="1000" w:type="dxa"/>
            <w:vAlign w:val="bottom"/>
          </w:tcPr>
          <w:p>
            <w:pPr>
              <w:jc w:val="right"/>
              <w:ind w:right="92"/>
              <w:spacing w:after="0" w:line="195" w:lineRule="exact"/>
              <w:rPr>
                <w:sz w:val="20"/>
                <w:szCs w:val="20"/>
                <w:color w:val="auto"/>
              </w:rPr>
            </w:pPr>
            <w:r>
              <w:rPr>
                <w:rFonts w:ascii="Arial" w:cs="Arial" w:eastAsia="Arial" w:hAnsi="Arial"/>
                <w:sz w:val="18"/>
                <w:szCs w:val="18"/>
                <w:color w:val="auto"/>
              </w:rPr>
              <w:t>11,459</w:t>
            </w: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31,761</w:t>
            </w:r>
          </w:p>
        </w:tc>
        <w:tc>
          <w:tcPr>
            <w:tcW w:w="108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18,422</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129,926</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Effect of discounting net cash flows at 10%</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30,574</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6,158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2,996</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17,511</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8,741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64,725</w:t>
            </w:r>
          </w:p>
        </w:tc>
        <w:tc>
          <w:tcPr>
            <w:tcW w:w="0" w:type="dxa"/>
            <w:vAlign w:val="bottom"/>
          </w:tcPr>
          <w:p>
            <w:pPr>
              <w:spacing w:after="0"/>
              <w:rPr>
                <w:sz w:val="1"/>
                <w:szCs w:val="1"/>
                <w:color w:val="auto"/>
              </w:rPr>
            </w:pPr>
          </w:p>
        </w:tc>
      </w:tr>
      <w:tr>
        <w:trPr>
          <w:trHeight w:val="210"/>
        </w:trPr>
        <w:tc>
          <w:tcPr>
            <w:tcW w:w="4700" w:type="dxa"/>
            <w:vAlign w:val="bottom"/>
          </w:tcPr>
          <w:p>
            <w:pPr>
              <w:ind w:left="220"/>
              <w:spacing w:after="0"/>
              <w:rPr>
                <w:sz w:val="20"/>
                <w:szCs w:val="20"/>
                <w:color w:val="auto"/>
              </w:rPr>
            </w:pPr>
            <w:r>
              <w:rPr>
                <w:rFonts w:ascii="Arial" w:cs="Arial" w:eastAsia="Arial" w:hAnsi="Arial"/>
                <w:sz w:val="18"/>
                <w:szCs w:val="18"/>
                <w:color w:val="auto"/>
              </w:rPr>
              <w:t>Discounted future net cash flows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23,697</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7,755</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8,463</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14,250</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9,681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65,201</w:t>
            </w:r>
          </w:p>
        </w:tc>
        <w:tc>
          <w:tcPr>
            <w:tcW w:w="0" w:type="dxa"/>
            <w:vAlign w:val="bottom"/>
          </w:tcPr>
          <w:p>
            <w:pPr>
              <w:spacing w:after="0"/>
              <w:rPr>
                <w:sz w:val="1"/>
                <w:szCs w:val="1"/>
                <w:color w:val="auto"/>
              </w:rPr>
            </w:pPr>
          </w:p>
        </w:tc>
      </w:tr>
      <w:tr>
        <w:trPr>
          <w:trHeight w:val="411"/>
        </w:trPr>
        <w:tc>
          <w:tcPr>
            <w:tcW w:w="4700" w:type="dxa"/>
            <w:vAlign w:val="bottom"/>
          </w:tcPr>
          <w:p>
            <w:pPr>
              <w:spacing w:after="0"/>
              <w:rPr>
                <w:sz w:val="20"/>
                <w:szCs w:val="20"/>
                <w:color w:val="auto"/>
              </w:rPr>
            </w:pPr>
            <w:r>
              <w:rPr>
                <w:rFonts w:ascii="Arial" w:cs="Arial" w:eastAsia="Arial" w:hAnsi="Arial"/>
                <w:sz w:val="18"/>
                <w:szCs w:val="18"/>
                <w:color w:val="auto"/>
              </w:rPr>
              <w:t>Equity Companies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As of December 31, 2017</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cash inflows from sales of oil and gas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12,643</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28,557</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2,366</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127,364</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170,930</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production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5,927</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21,120</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247</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48,300</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75,594</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development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3,012</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1,913</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417</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11,825</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Future income tax expenses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1,683</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514</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22,396</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195"/>
        </w:trPr>
        <w:tc>
          <w:tcPr>
            <w:tcW w:w="4700" w:type="dxa"/>
            <w:vAlign w:val="bottom"/>
          </w:tcPr>
          <w:p>
            <w:pPr>
              <w:ind w:left="220"/>
              <w:spacing w:after="0" w:line="195" w:lineRule="exact"/>
              <w:rPr>
                <w:sz w:val="20"/>
                <w:szCs w:val="20"/>
                <w:color w:val="auto"/>
              </w:rPr>
            </w:pPr>
            <w:r>
              <w:rPr>
                <w:rFonts w:ascii="Arial" w:cs="Arial" w:eastAsia="Arial" w:hAnsi="Arial"/>
                <w:sz w:val="18"/>
                <w:szCs w:val="18"/>
                <w:color w:val="auto"/>
              </w:rPr>
              <w:t>Future net cash flows</w:t>
            </w:r>
          </w:p>
        </w:tc>
        <w:tc>
          <w:tcPr>
            <w:tcW w:w="860" w:type="dxa"/>
            <w:vAlign w:val="bottom"/>
          </w:tcPr>
          <w:p>
            <w:pPr>
              <w:jc w:val="right"/>
              <w:ind w:right="12"/>
              <w:spacing w:after="0" w:line="195" w:lineRule="exact"/>
              <w:rPr>
                <w:sz w:val="20"/>
                <w:szCs w:val="20"/>
                <w:color w:val="auto"/>
              </w:rPr>
            </w:pPr>
            <w:r>
              <w:rPr>
                <w:rFonts w:ascii="Arial" w:cs="Arial" w:eastAsia="Arial" w:hAnsi="Arial"/>
                <w:sz w:val="18"/>
                <w:szCs w:val="18"/>
                <w:color w:val="auto"/>
              </w:rPr>
              <w:t>3,704</w:t>
            </w:r>
          </w:p>
        </w:tc>
        <w:tc>
          <w:tcPr>
            <w:tcW w:w="10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195" w:lineRule="exact"/>
              <w:rPr>
                <w:sz w:val="20"/>
                <w:szCs w:val="20"/>
                <w:color w:val="auto"/>
              </w:rPr>
            </w:pPr>
            <w:r>
              <w:rPr>
                <w:rFonts w:ascii="Arial" w:cs="Arial" w:eastAsia="Arial" w:hAnsi="Arial"/>
                <w:sz w:val="18"/>
                <w:szCs w:val="18"/>
                <w:color w:val="auto"/>
              </w:rPr>
              <w:t>3,841</w:t>
            </w:r>
          </w:p>
        </w:tc>
        <w:tc>
          <w:tcPr>
            <w:tcW w:w="1000" w:type="dxa"/>
            <w:vAlign w:val="bottom"/>
          </w:tcPr>
          <w:p>
            <w:pPr>
              <w:jc w:val="right"/>
              <w:ind w:right="92"/>
              <w:spacing w:after="0" w:line="195" w:lineRule="exact"/>
              <w:rPr>
                <w:sz w:val="20"/>
                <w:szCs w:val="20"/>
                <w:color w:val="auto"/>
              </w:rPr>
            </w:pPr>
            <w:r>
              <w:rPr>
                <w:rFonts w:ascii="Arial" w:cs="Arial" w:eastAsia="Arial" w:hAnsi="Arial"/>
                <w:sz w:val="18"/>
                <w:szCs w:val="18"/>
                <w:color w:val="auto"/>
              </w:rPr>
              <w:t>1,188</w:t>
            </w: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44,843</w:t>
            </w:r>
          </w:p>
        </w:tc>
        <w:tc>
          <w:tcPr>
            <w:tcW w:w="108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53,576</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Effect of discounting net cash flows at 10%</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1,668</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2,116</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1,045</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23,744</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28,573</w:t>
            </w:r>
          </w:p>
        </w:tc>
        <w:tc>
          <w:tcPr>
            <w:tcW w:w="0" w:type="dxa"/>
            <w:vAlign w:val="bottom"/>
          </w:tcPr>
          <w:p>
            <w:pPr>
              <w:spacing w:after="0"/>
              <w:rPr>
                <w:sz w:val="1"/>
                <w:szCs w:val="1"/>
                <w:color w:val="auto"/>
              </w:rPr>
            </w:pPr>
          </w:p>
        </w:tc>
      </w:tr>
      <w:tr>
        <w:trPr>
          <w:trHeight w:val="210"/>
        </w:trPr>
        <w:tc>
          <w:tcPr>
            <w:tcW w:w="4700" w:type="dxa"/>
            <w:vAlign w:val="bottom"/>
          </w:tcPr>
          <w:p>
            <w:pPr>
              <w:ind w:left="220"/>
              <w:spacing w:after="0"/>
              <w:rPr>
                <w:sz w:val="20"/>
                <w:szCs w:val="20"/>
                <w:color w:val="auto"/>
              </w:rPr>
            </w:pPr>
            <w:r>
              <w:rPr>
                <w:rFonts w:ascii="Arial" w:cs="Arial" w:eastAsia="Arial" w:hAnsi="Arial"/>
                <w:sz w:val="18"/>
                <w:szCs w:val="18"/>
                <w:color w:val="auto"/>
              </w:rPr>
              <w:t>Discounted future net cash flows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2,036</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143</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21,099</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25,003</w:t>
            </w:r>
          </w:p>
        </w:tc>
        <w:tc>
          <w:tcPr>
            <w:tcW w:w="0" w:type="dxa"/>
            <w:vAlign w:val="bottom"/>
          </w:tcPr>
          <w:p>
            <w:pPr>
              <w:spacing w:after="0"/>
              <w:rPr>
                <w:sz w:val="1"/>
                <w:szCs w:val="1"/>
                <w:color w:val="auto"/>
              </w:rPr>
            </w:pPr>
          </w:p>
        </w:tc>
      </w:tr>
      <w:tr>
        <w:trPr>
          <w:trHeight w:val="411"/>
        </w:trPr>
        <w:tc>
          <w:tcPr>
            <w:tcW w:w="4700" w:type="dxa"/>
            <w:vAlign w:val="bottom"/>
          </w:tcPr>
          <w:p>
            <w:pPr>
              <w:spacing w:after="0"/>
              <w:rPr>
                <w:sz w:val="20"/>
                <w:szCs w:val="20"/>
                <w:color w:val="auto"/>
              </w:rPr>
            </w:pPr>
            <w:r>
              <w:rPr>
                <w:rFonts w:ascii="Arial" w:cs="Arial" w:eastAsia="Arial" w:hAnsi="Arial"/>
                <w:sz w:val="18"/>
                <w:szCs w:val="18"/>
                <w:color w:val="auto"/>
              </w:rPr>
              <w:t>Total consolidated and equity interests in</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standardized measure of discounted</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future net cash flows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25,733</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7,755</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3,080</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8,606</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35,349</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9,681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left="5580" w:right="160" w:hanging="5572"/>
        <w:spacing w:after="0" w:line="543" w:lineRule="auto"/>
        <w:tabs>
          <w:tab w:leader="none" w:pos="543"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Includes discounted future net cash flows attributable to noncontrolling interests in ExxonMobil consolidated subsidiaries of $1,016 million in 2017. </w:t>
      </w: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6"/>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Standardized Measure of Discounted</w:t>
            </w:r>
          </w:p>
        </w:tc>
        <w:tc>
          <w:tcPr>
            <w:tcW w:w="8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United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Australia/</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Future Cash Flows (continued)</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States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Americas </w:t>
            </w:r>
            <w:r>
              <w:rPr>
                <w:rFonts w:ascii="Arial" w:cs="Arial" w:eastAsia="Arial" w:hAnsi="Arial"/>
                <w:sz w:val="14"/>
                <w:szCs w:val="14"/>
                <w:i w:val="1"/>
                <w:iCs w:val="1"/>
                <w:color w:val="auto"/>
                <w:w w:val="95"/>
              </w:rPr>
              <w:t>(1)</w:t>
            </w: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Europe</w:t>
            </w: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Africa</w:t>
            </w: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Asia</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Oceania</w:t>
            </w: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5"/>
        </w:trPr>
        <w:tc>
          <w:tcPr>
            <w:tcW w:w="4700" w:type="dxa"/>
            <w:vAlign w:val="bottom"/>
            <w:vMerge w:val="restart"/>
          </w:tcPr>
          <w:p>
            <w:pPr>
              <w:spacing w:after="0"/>
              <w:rPr>
                <w:sz w:val="20"/>
                <w:szCs w:val="20"/>
                <w:color w:val="auto"/>
              </w:rPr>
            </w:pPr>
            <w:r>
              <w:rPr>
                <w:rFonts w:ascii="Arial" w:cs="Arial" w:eastAsia="Arial" w:hAnsi="Arial"/>
                <w:sz w:val="18"/>
                <w:szCs w:val="18"/>
                <w:color w:val="auto"/>
              </w:rPr>
              <w:t>Consolidated Subsidiaries</w:t>
            </w: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00" w:type="dxa"/>
            <w:vAlign w:val="bottom"/>
            <w:gridSpan w:val="2"/>
          </w:tcPr>
          <w:p>
            <w:pPr>
              <w:jc w:val="right"/>
              <w:ind w:right="611"/>
              <w:spacing w:after="0"/>
              <w:rPr>
                <w:sz w:val="20"/>
                <w:szCs w:val="20"/>
                <w:color w:val="auto"/>
              </w:rPr>
            </w:pPr>
            <w:r>
              <w:rPr>
                <w:rFonts w:ascii="Arial" w:cs="Arial" w:eastAsia="Arial" w:hAnsi="Arial"/>
                <w:sz w:val="14"/>
                <w:szCs w:val="14"/>
                <w:i w:val="1"/>
                <w:iCs w:val="1"/>
                <w:color w:val="auto"/>
              </w:rPr>
              <w:t>(millions of dollars)</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As of December 31, 2018</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cash inflows from sales of oil and gas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265,527</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204,596</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23,263</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47,557</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241,410</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67,041</w:t>
            </w:r>
          </w:p>
        </w:tc>
        <w:tc>
          <w:tcPr>
            <w:tcW w:w="1000" w:type="dxa"/>
            <w:vAlign w:val="bottom"/>
          </w:tcPr>
          <w:p>
            <w:pPr>
              <w:jc w:val="right"/>
              <w:spacing w:after="0"/>
              <w:rPr>
                <w:sz w:val="20"/>
                <w:szCs w:val="20"/>
                <w:color w:val="auto"/>
              </w:rPr>
            </w:pPr>
            <w:r>
              <w:rPr>
                <w:rFonts w:ascii="Arial" w:cs="Arial" w:eastAsia="Arial" w:hAnsi="Arial"/>
                <w:sz w:val="18"/>
                <w:szCs w:val="18"/>
                <w:color w:val="auto"/>
              </w:rPr>
              <w:t>849,394</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production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96,489</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125,469</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5,023</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16,019</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61,674</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18,081</w:t>
            </w:r>
          </w:p>
        </w:tc>
        <w:tc>
          <w:tcPr>
            <w:tcW w:w="1000" w:type="dxa"/>
            <w:vAlign w:val="bottom"/>
          </w:tcPr>
          <w:p>
            <w:pPr>
              <w:jc w:val="right"/>
              <w:spacing w:after="0"/>
              <w:rPr>
                <w:sz w:val="20"/>
                <w:szCs w:val="20"/>
                <w:color w:val="auto"/>
              </w:rPr>
            </w:pPr>
            <w:r>
              <w:rPr>
                <w:rFonts w:ascii="Arial" w:cs="Arial" w:eastAsia="Arial" w:hAnsi="Arial"/>
                <w:sz w:val="18"/>
                <w:szCs w:val="18"/>
                <w:color w:val="auto"/>
              </w:rPr>
              <w:t>322,755</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development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54,457</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29,759</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7,351</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8,356</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13,907</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8,047</w:t>
            </w:r>
          </w:p>
        </w:tc>
        <w:tc>
          <w:tcPr>
            <w:tcW w:w="1000" w:type="dxa"/>
            <w:vAlign w:val="bottom"/>
          </w:tcPr>
          <w:p>
            <w:pPr>
              <w:jc w:val="right"/>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Future income tax expenses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25,365</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9,024</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8,255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10,491</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124,043</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10,499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187,677</w:t>
            </w:r>
          </w:p>
        </w:tc>
        <w:tc>
          <w:tcPr>
            <w:tcW w:w="0" w:type="dxa"/>
            <w:vAlign w:val="bottom"/>
          </w:tcPr>
          <w:p>
            <w:pPr>
              <w:spacing w:after="0"/>
              <w:rPr>
                <w:sz w:val="1"/>
                <w:szCs w:val="1"/>
                <w:color w:val="auto"/>
              </w:rPr>
            </w:pPr>
          </w:p>
        </w:tc>
      </w:tr>
      <w:tr>
        <w:trPr>
          <w:trHeight w:val="195"/>
        </w:trPr>
        <w:tc>
          <w:tcPr>
            <w:tcW w:w="4700" w:type="dxa"/>
            <w:vAlign w:val="bottom"/>
          </w:tcPr>
          <w:p>
            <w:pPr>
              <w:ind w:left="220"/>
              <w:spacing w:after="0" w:line="195" w:lineRule="exact"/>
              <w:rPr>
                <w:sz w:val="20"/>
                <w:szCs w:val="20"/>
                <w:color w:val="auto"/>
              </w:rPr>
            </w:pPr>
            <w:r>
              <w:rPr>
                <w:rFonts w:ascii="Arial" w:cs="Arial" w:eastAsia="Arial" w:hAnsi="Arial"/>
                <w:sz w:val="18"/>
                <w:szCs w:val="18"/>
                <w:color w:val="auto"/>
              </w:rPr>
              <w:t>Future net cash flows</w:t>
            </w:r>
          </w:p>
        </w:tc>
        <w:tc>
          <w:tcPr>
            <w:tcW w:w="860" w:type="dxa"/>
            <w:vAlign w:val="bottom"/>
          </w:tcPr>
          <w:p>
            <w:pPr>
              <w:jc w:val="right"/>
              <w:ind w:right="12"/>
              <w:spacing w:after="0" w:line="195" w:lineRule="exact"/>
              <w:rPr>
                <w:sz w:val="20"/>
                <w:szCs w:val="20"/>
                <w:color w:val="auto"/>
              </w:rPr>
            </w:pPr>
            <w:r>
              <w:rPr>
                <w:rFonts w:ascii="Arial" w:cs="Arial" w:eastAsia="Arial" w:hAnsi="Arial"/>
                <w:sz w:val="18"/>
                <w:szCs w:val="18"/>
                <w:color w:val="auto"/>
              </w:rPr>
              <w:t>89,216</w:t>
            </w:r>
          </w:p>
        </w:tc>
        <w:tc>
          <w:tcPr>
            <w:tcW w:w="10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40,344</w:t>
            </w:r>
          </w:p>
        </w:tc>
        <w:tc>
          <w:tcPr>
            <w:tcW w:w="860" w:type="dxa"/>
            <w:vAlign w:val="bottom"/>
          </w:tcPr>
          <w:p>
            <w:pPr>
              <w:jc w:val="right"/>
              <w:ind w:right="31"/>
              <w:spacing w:after="0" w:line="195" w:lineRule="exact"/>
              <w:rPr>
                <w:sz w:val="20"/>
                <w:szCs w:val="20"/>
                <w:color w:val="auto"/>
              </w:rPr>
            </w:pPr>
            <w:r>
              <w:rPr>
                <w:rFonts w:ascii="Arial" w:cs="Arial" w:eastAsia="Arial" w:hAnsi="Arial"/>
                <w:sz w:val="18"/>
                <w:szCs w:val="18"/>
                <w:color w:val="auto"/>
              </w:rPr>
              <w:t>2,634</w:t>
            </w:r>
          </w:p>
        </w:tc>
        <w:tc>
          <w:tcPr>
            <w:tcW w:w="1000" w:type="dxa"/>
            <w:vAlign w:val="bottom"/>
          </w:tcPr>
          <w:p>
            <w:pPr>
              <w:jc w:val="right"/>
              <w:ind w:right="92"/>
              <w:spacing w:after="0" w:line="195" w:lineRule="exact"/>
              <w:rPr>
                <w:sz w:val="20"/>
                <w:szCs w:val="20"/>
                <w:color w:val="auto"/>
              </w:rPr>
            </w:pPr>
            <w:r>
              <w:rPr>
                <w:rFonts w:ascii="Arial" w:cs="Arial" w:eastAsia="Arial" w:hAnsi="Arial"/>
                <w:sz w:val="18"/>
                <w:szCs w:val="18"/>
                <w:color w:val="auto"/>
              </w:rPr>
              <w:t>12,691</w:t>
            </w: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41,786</w:t>
            </w:r>
          </w:p>
        </w:tc>
        <w:tc>
          <w:tcPr>
            <w:tcW w:w="108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30,414</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217,085</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Effect of discounting net cash flows at 10%</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49,176</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22,315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2,957</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21,509</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15,030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110,981</w:t>
            </w:r>
          </w:p>
        </w:tc>
        <w:tc>
          <w:tcPr>
            <w:tcW w:w="0" w:type="dxa"/>
            <w:vAlign w:val="bottom"/>
          </w:tcPr>
          <w:p>
            <w:pPr>
              <w:spacing w:after="0"/>
              <w:rPr>
                <w:sz w:val="1"/>
                <w:szCs w:val="1"/>
                <w:color w:val="auto"/>
              </w:rPr>
            </w:pPr>
          </w:p>
        </w:tc>
      </w:tr>
      <w:tr>
        <w:trPr>
          <w:trHeight w:val="210"/>
        </w:trPr>
        <w:tc>
          <w:tcPr>
            <w:tcW w:w="4700" w:type="dxa"/>
            <w:vAlign w:val="bottom"/>
          </w:tcPr>
          <w:p>
            <w:pPr>
              <w:ind w:left="220"/>
              <w:spacing w:after="0"/>
              <w:rPr>
                <w:sz w:val="20"/>
                <w:szCs w:val="20"/>
                <w:color w:val="auto"/>
              </w:rPr>
            </w:pPr>
            <w:r>
              <w:rPr>
                <w:rFonts w:ascii="Arial" w:cs="Arial" w:eastAsia="Arial" w:hAnsi="Arial"/>
                <w:sz w:val="18"/>
                <w:szCs w:val="18"/>
                <w:color w:val="auto"/>
              </w:rPr>
              <w:t>Discounted future net cash flows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40,040</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18,029</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2,640</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9,734</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20,277</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15,384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106,104</w:t>
            </w:r>
          </w:p>
        </w:tc>
        <w:tc>
          <w:tcPr>
            <w:tcW w:w="0" w:type="dxa"/>
            <w:vAlign w:val="bottom"/>
          </w:tcPr>
          <w:p>
            <w:pPr>
              <w:spacing w:after="0"/>
              <w:rPr>
                <w:sz w:val="1"/>
                <w:szCs w:val="1"/>
                <w:color w:val="auto"/>
              </w:rPr>
            </w:pPr>
          </w:p>
        </w:tc>
      </w:tr>
      <w:tr>
        <w:trPr>
          <w:trHeight w:val="411"/>
        </w:trPr>
        <w:tc>
          <w:tcPr>
            <w:tcW w:w="4700" w:type="dxa"/>
            <w:vAlign w:val="bottom"/>
          </w:tcPr>
          <w:p>
            <w:pPr>
              <w:spacing w:after="0"/>
              <w:rPr>
                <w:sz w:val="20"/>
                <w:szCs w:val="20"/>
                <w:color w:val="auto"/>
              </w:rPr>
            </w:pPr>
            <w:r>
              <w:rPr>
                <w:rFonts w:ascii="Arial" w:cs="Arial" w:eastAsia="Arial" w:hAnsi="Arial"/>
                <w:sz w:val="18"/>
                <w:szCs w:val="18"/>
                <w:color w:val="auto"/>
              </w:rPr>
              <w:t>Equity Companies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As of December 31, 2018</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cash inflows from sales of oil and gas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17,730</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7,264</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3,777</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165,471</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194,242</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production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6,474</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2,157</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249</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61,331</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70,211</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Future development costs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3,359</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1,165</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370</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10,295</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Future income tax expenses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1,612</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964</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30,662</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195"/>
        </w:trPr>
        <w:tc>
          <w:tcPr>
            <w:tcW w:w="4700" w:type="dxa"/>
            <w:vAlign w:val="bottom"/>
          </w:tcPr>
          <w:p>
            <w:pPr>
              <w:ind w:left="220"/>
              <w:spacing w:after="0" w:line="195" w:lineRule="exact"/>
              <w:rPr>
                <w:sz w:val="20"/>
                <w:szCs w:val="20"/>
                <w:color w:val="auto"/>
              </w:rPr>
            </w:pPr>
            <w:r>
              <w:rPr>
                <w:rFonts w:ascii="Arial" w:cs="Arial" w:eastAsia="Arial" w:hAnsi="Arial"/>
                <w:sz w:val="18"/>
                <w:szCs w:val="18"/>
                <w:color w:val="auto"/>
              </w:rPr>
              <w:t>Future net cash flows</w:t>
            </w:r>
          </w:p>
        </w:tc>
        <w:tc>
          <w:tcPr>
            <w:tcW w:w="860" w:type="dxa"/>
            <w:vAlign w:val="bottom"/>
          </w:tcPr>
          <w:p>
            <w:pPr>
              <w:jc w:val="right"/>
              <w:ind w:right="12"/>
              <w:spacing w:after="0" w:line="195" w:lineRule="exact"/>
              <w:rPr>
                <w:sz w:val="20"/>
                <w:szCs w:val="20"/>
                <w:color w:val="auto"/>
              </w:rPr>
            </w:pPr>
            <w:r>
              <w:rPr>
                <w:rFonts w:ascii="Arial" w:cs="Arial" w:eastAsia="Arial" w:hAnsi="Arial"/>
                <w:sz w:val="18"/>
                <w:szCs w:val="18"/>
                <w:color w:val="auto"/>
              </w:rPr>
              <w:t>7,897</w:t>
            </w:r>
          </w:p>
        </w:tc>
        <w:tc>
          <w:tcPr>
            <w:tcW w:w="1020" w:type="dxa"/>
            <w:vAlign w:val="bottom"/>
          </w:tcPr>
          <w:p>
            <w:pPr>
              <w:jc w:val="right"/>
              <w:ind w:right="93"/>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line="195" w:lineRule="exact"/>
              <w:rPr>
                <w:sz w:val="20"/>
                <w:szCs w:val="20"/>
                <w:color w:val="auto"/>
              </w:rPr>
            </w:pPr>
            <w:r>
              <w:rPr>
                <w:rFonts w:ascii="Arial" w:cs="Arial" w:eastAsia="Arial" w:hAnsi="Arial"/>
                <w:sz w:val="18"/>
                <w:szCs w:val="18"/>
                <w:color w:val="auto"/>
              </w:rPr>
              <w:t>2,330</w:t>
            </w:r>
          </w:p>
        </w:tc>
        <w:tc>
          <w:tcPr>
            <w:tcW w:w="1000" w:type="dxa"/>
            <w:vAlign w:val="bottom"/>
          </w:tcPr>
          <w:p>
            <w:pPr>
              <w:jc w:val="right"/>
              <w:ind w:right="92"/>
              <w:spacing w:after="0" w:line="195" w:lineRule="exact"/>
              <w:rPr>
                <w:sz w:val="20"/>
                <w:szCs w:val="20"/>
                <w:color w:val="auto"/>
              </w:rPr>
            </w:pPr>
            <w:r>
              <w:rPr>
                <w:rFonts w:ascii="Arial" w:cs="Arial" w:eastAsia="Arial" w:hAnsi="Arial"/>
                <w:sz w:val="18"/>
                <w:szCs w:val="18"/>
                <w:color w:val="auto"/>
              </w:rPr>
              <w:t>2,194</w:t>
            </w:r>
          </w:p>
        </w:tc>
        <w:tc>
          <w:tcPr>
            <w:tcW w:w="900" w:type="dxa"/>
            <w:vAlign w:val="bottom"/>
          </w:tcPr>
          <w:p>
            <w:pPr>
              <w:jc w:val="right"/>
              <w:ind w:right="51"/>
              <w:spacing w:after="0" w:line="195" w:lineRule="exact"/>
              <w:rPr>
                <w:sz w:val="20"/>
                <w:szCs w:val="20"/>
                <w:color w:val="auto"/>
              </w:rPr>
            </w:pPr>
            <w:r>
              <w:rPr>
                <w:rFonts w:ascii="Arial" w:cs="Arial" w:eastAsia="Arial" w:hAnsi="Arial"/>
                <w:sz w:val="18"/>
                <w:szCs w:val="18"/>
                <w:color w:val="auto"/>
              </w:rPr>
              <w:t>63,183</w:t>
            </w:r>
          </w:p>
        </w:tc>
        <w:tc>
          <w:tcPr>
            <w:tcW w:w="1080" w:type="dxa"/>
            <w:vAlign w:val="bottom"/>
          </w:tcPr>
          <w:p>
            <w:pPr>
              <w:jc w:val="right"/>
              <w:ind w:right="172"/>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75,604</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Effect of discounting net cash flows at 10%</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4,104</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713</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1,712</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31,503</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38,032</w:t>
            </w:r>
          </w:p>
        </w:tc>
        <w:tc>
          <w:tcPr>
            <w:tcW w:w="0" w:type="dxa"/>
            <w:vAlign w:val="bottom"/>
          </w:tcPr>
          <w:p>
            <w:pPr>
              <w:spacing w:after="0"/>
              <w:rPr>
                <w:sz w:val="1"/>
                <w:szCs w:val="1"/>
                <w:color w:val="auto"/>
              </w:rPr>
            </w:pPr>
          </w:p>
        </w:tc>
      </w:tr>
      <w:tr>
        <w:trPr>
          <w:trHeight w:val="210"/>
        </w:trPr>
        <w:tc>
          <w:tcPr>
            <w:tcW w:w="4700" w:type="dxa"/>
            <w:vAlign w:val="bottom"/>
          </w:tcPr>
          <w:p>
            <w:pPr>
              <w:ind w:left="220"/>
              <w:spacing w:after="0"/>
              <w:rPr>
                <w:sz w:val="20"/>
                <w:szCs w:val="20"/>
                <w:color w:val="auto"/>
              </w:rPr>
            </w:pPr>
            <w:r>
              <w:rPr>
                <w:rFonts w:ascii="Arial" w:cs="Arial" w:eastAsia="Arial" w:hAnsi="Arial"/>
                <w:sz w:val="18"/>
                <w:szCs w:val="18"/>
                <w:color w:val="auto"/>
              </w:rPr>
              <w:t>Discounted future net cash flows</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3,793</w:t>
            </w: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1,617</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482</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31,680</w:t>
            </w: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81" w:right="239" w:bottom="1440" w:gutter="0" w:footer="0" w:header="0"/>
        </w:sectPr>
      </w:pPr>
    </w:p>
    <w:p>
      <w:pPr>
        <w:spacing w:after="0" w:line="2" w:lineRule="exact"/>
        <w:rPr>
          <w:sz w:val="20"/>
          <w:szCs w:val="20"/>
          <w:color w:val="auto"/>
        </w:rPr>
      </w:pPr>
    </w:p>
    <w:p>
      <w:pPr>
        <w:ind w:left="120" w:right="1020" w:hanging="107"/>
        <w:spacing w:after="0" w:line="264" w:lineRule="auto"/>
        <w:rPr>
          <w:sz w:val="20"/>
          <w:szCs w:val="20"/>
          <w:color w:val="auto"/>
        </w:rPr>
      </w:pPr>
      <w:r>
        <w:rPr>
          <w:rFonts w:ascii="Arial" w:cs="Arial" w:eastAsia="Arial" w:hAnsi="Arial"/>
          <w:sz w:val="18"/>
          <w:szCs w:val="18"/>
          <w:color w:val="auto"/>
        </w:rPr>
        <w:t>Total consolidated and equity interests in standardized measure of discounted future net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620"/>
        <w:spacing w:after="0" w:line="276"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Equity Companies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620"/>
        <w:spacing w:after="0" w:line="276"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43,833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18,029</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4,257</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10,216</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51,957</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15,384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143,676</w:t>
            </w:r>
          </w:p>
        </w:tc>
      </w:tr>
      <w:tr>
        <w:trPr>
          <w:trHeight w:val="844"/>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208,981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190,604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5,789</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30,194</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215,837</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43,599</w:t>
            </w:r>
          </w:p>
        </w:tc>
        <w:tc>
          <w:tcPr>
            <w:tcW w:w="960" w:type="dxa"/>
            <w:vAlign w:val="bottom"/>
          </w:tcPr>
          <w:p>
            <w:pPr>
              <w:jc w:val="right"/>
              <w:spacing w:after="0"/>
              <w:rPr>
                <w:sz w:val="20"/>
                <w:szCs w:val="20"/>
                <w:color w:val="auto"/>
              </w:rPr>
            </w:pPr>
            <w:r>
              <w:rPr>
                <w:rFonts w:ascii="Arial" w:cs="Arial" w:eastAsia="Arial" w:hAnsi="Arial"/>
                <w:sz w:val="18"/>
                <w:szCs w:val="18"/>
                <w:color w:val="auto"/>
              </w:rPr>
              <w:t>695,004</w:t>
            </w:r>
          </w:p>
        </w:tc>
      </w:tr>
      <w:tr>
        <w:trPr>
          <w:trHeight w:val="216"/>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90,448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133,606</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3,209</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10,177</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58,255</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12,980</w:t>
            </w:r>
          </w:p>
        </w:tc>
        <w:tc>
          <w:tcPr>
            <w:tcW w:w="960" w:type="dxa"/>
            <w:vAlign w:val="bottom"/>
          </w:tcPr>
          <w:p>
            <w:pPr>
              <w:jc w:val="right"/>
              <w:spacing w:after="0"/>
              <w:rPr>
                <w:sz w:val="20"/>
                <w:szCs w:val="20"/>
                <w:color w:val="auto"/>
              </w:rPr>
            </w:pPr>
            <w:r>
              <w:rPr>
                <w:rFonts w:ascii="Arial" w:cs="Arial" w:eastAsia="Arial" w:hAnsi="Arial"/>
                <w:sz w:val="18"/>
                <w:szCs w:val="18"/>
                <w:color w:val="auto"/>
              </w:rPr>
              <w:t>308,675</w:t>
            </w:r>
          </w:p>
        </w:tc>
      </w:tr>
      <w:tr>
        <w:trPr>
          <w:trHeight w:val="216"/>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53,641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31,158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4,397</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6,756</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14,113</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8,109</w:t>
            </w:r>
          </w:p>
        </w:tc>
        <w:tc>
          <w:tcPr>
            <w:tcW w:w="960" w:type="dxa"/>
            <w:vAlign w:val="bottom"/>
          </w:tcPr>
          <w:p>
            <w:pPr>
              <w:jc w:val="right"/>
              <w:spacing w:after="0"/>
              <w:rPr>
                <w:sz w:val="20"/>
                <w:szCs w:val="20"/>
                <w:color w:val="auto"/>
              </w:rPr>
            </w:pPr>
            <w:r>
              <w:rPr>
                <w:rFonts w:ascii="Arial" w:cs="Arial" w:eastAsia="Arial" w:hAnsi="Arial"/>
                <w:sz w:val="18"/>
                <w:szCs w:val="18"/>
                <w:color w:val="auto"/>
              </w:rPr>
              <w:t>118,174</w:t>
            </w:r>
          </w:p>
        </w:tc>
      </w:tr>
      <w:tr>
        <w:trPr>
          <w:trHeight w:val="23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12,530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5,888</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(594)</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5,374</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108,316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5,158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136,672</w:t>
            </w:r>
          </w:p>
        </w:tc>
      </w:tr>
      <w:tr>
        <w:trPr>
          <w:trHeight w:val="195"/>
        </w:trPr>
        <w:tc>
          <w:tcPr>
            <w:tcW w:w="9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52,362</w:t>
            </w:r>
          </w:p>
        </w:tc>
        <w:tc>
          <w:tcPr>
            <w:tcW w:w="9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19,952</w:t>
            </w:r>
          </w:p>
        </w:tc>
        <w:tc>
          <w:tcPr>
            <w:tcW w:w="9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(1,223)</w:t>
            </w:r>
          </w:p>
        </w:tc>
        <w:tc>
          <w:tcPr>
            <w:tcW w:w="8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7,887</w:t>
            </w:r>
          </w:p>
        </w:tc>
        <w:tc>
          <w:tcPr>
            <w:tcW w:w="10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35,153</w:t>
            </w:r>
          </w:p>
        </w:tc>
        <w:tc>
          <w:tcPr>
            <w:tcW w:w="10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17,352</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131,483</w:t>
            </w:r>
          </w:p>
        </w:tc>
      </w:tr>
      <w:tr>
        <w:trPr>
          <w:trHeight w:val="23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30,499</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7,728</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(1,265)</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872</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18,658</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7,491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63,983</w:t>
            </w:r>
          </w:p>
        </w:tc>
      </w:tr>
      <w:tr>
        <w:trPr>
          <w:trHeight w:val="21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21,863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12,224</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7,015</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16,495</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w:t>
            </w:r>
          </w:p>
        </w:tc>
      </w:tr>
      <w:tr>
        <w:trPr>
          <w:trHeight w:val="844"/>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15,729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3,194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2,509</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115,451</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136,883</w:t>
            </w:r>
          </w:p>
        </w:tc>
      </w:tr>
      <w:tr>
        <w:trPr>
          <w:trHeight w:val="216"/>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6,848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1,302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246</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48,259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56,655</w:t>
            </w:r>
          </w:p>
        </w:tc>
      </w:tr>
      <w:tr>
        <w:trPr>
          <w:trHeight w:val="216"/>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3,681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1,182</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247</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11,463</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16,573</w:t>
            </w:r>
          </w:p>
        </w:tc>
      </w:tr>
      <w:tr>
        <w:trPr>
          <w:trHeight w:val="23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346</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555</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17,891</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18,792</w:t>
            </w:r>
          </w:p>
        </w:tc>
      </w:tr>
      <w:tr>
        <w:trPr>
          <w:trHeight w:val="195"/>
        </w:trPr>
        <w:tc>
          <w:tcPr>
            <w:tcW w:w="9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5,200</w:t>
            </w:r>
          </w:p>
        </w:tc>
        <w:tc>
          <w:tcPr>
            <w:tcW w:w="9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364</w:t>
            </w:r>
          </w:p>
        </w:tc>
        <w:tc>
          <w:tcPr>
            <w:tcW w:w="8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1,461</w:t>
            </w:r>
          </w:p>
        </w:tc>
        <w:tc>
          <w:tcPr>
            <w:tcW w:w="10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37,838</w:t>
            </w:r>
          </w:p>
        </w:tc>
        <w:tc>
          <w:tcPr>
            <w:tcW w:w="10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44,863</w:t>
            </w:r>
          </w:p>
        </w:tc>
      </w:tr>
      <w:tr>
        <w:trPr>
          <w:trHeight w:val="23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2,721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1,112</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18,573</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w:t>
            </w:r>
          </w:p>
        </w:tc>
      </w:tr>
      <w:tr>
        <w:trPr>
          <w:trHeight w:val="210"/>
        </w:trPr>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2,479</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323</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19,265</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22,416</w:t>
            </w:r>
          </w:p>
        </w:tc>
      </w:tr>
    </w:tbl>
    <w:p>
      <w:pPr>
        <w:spacing w:after="0" w:line="201" w:lineRule="exact"/>
        <w:rPr>
          <w:sz w:val="20"/>
          <w:szCs w:val="20"/>
          <w:color w:val="auto"/>
        </w:rPr>
      </w:pPr>
    </w:p>
    <w:p>
      <w:pPr>
        <w:sectPr>
          <w:pgSz w:w="11900" w:h="16838" w:orient="portrait"/>
          <w:cols w:equalWidth="0" w:num="2">
            <w:col w:w="3980" w:space="720"/>
            <w:col w:w="6720"/>
          </w:cols>
          <w:pgMar w:left="240" w:top="48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consolidated and equity interests in</w:t>
            </w: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standardized measure of discounted</w:t>
            </w: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960" w:type="dxa"/>
            <w:vAlign w:val="bottom"/>
          </w:tcPr>
          <w:p>
            <w:pPr>
              <w:ind w:left="120"/>
              <w:spacing w:after="0"/>
              <w:rPr>
                <w:sz w:val="20"/>
                <w:szCs w:val="20"/>
                <w:color w:val="auto"/>
              </w:rPr>
            </w:pPr>
            <w:r>
              <w:rPr>
                <w:rFonts w:ascii="Arial" w:cs="Arial" w:eastAsia="Arial" w:hAnsi="Arial"/>
                <w:sz w:val="18"/>
                <w:szCs w:val="18"/>
                <w:color w:val="auto"/>
              </w:rPr>
              <w:t>future net cash flows</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24,342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12,224</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365</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7,364</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35,760</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9,861</w:t>
            </w:r>
          </w:p>
        </w:tc>
        <w:tc>
          <w:tcPr>
            <w:tcW w:w="840" w:type="dxa"/>
            <w:vAlign w:val="bottom"/>
          </w:tcPr>
          <w:p>
            <w:pPr>
              <w:jc w:val="right"/>
              <w:spacing w:after="0"/>
              <w:rPr>
                <w:sz w:val="20"/>
                <w:szCs w:val="20"/>
                <w:color w:val="auto"/>
              </w:rPr>
            </w:pPr>
            <w:r>
              <w:rPr>
                <w:rFonts w:ascii="Arial" w:cs="Arial" w:eastAsia="Arial" w:hAnsi="Arial"/>
                <w:sz w:val="18"/>
                <w:szCs w:val="18"/>
                <w:color w:val="auto"/>
              </w:rPr>
              <w:t>89,916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0</wp:posOffset>
            </wp:positionV>
            <wp:extent cx="42710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49" w:lineRule="exact"/>
        <w:rPr>
          <w:sz w:val="20"/>
          <w:szCs w:val="20"/>
          <w:color w:val="auto"/>
        </w:rPr>
      </w:pPr>
    </w:p>
    <w:p>
      <w:pPr>
        <w:ind w:left="180" w:right="20" w:hanging="172"/>
        <w:spacing w:after="0" w:line="277" w:lineRule="auto"/>
        <w:tabs>
          <w:tab w:leader="none" w:pos="5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discounted future net cash flows attributable to noncontrolling interests in ExxonMobil consolidated subsidiaries of $2,823 million in 2018 and $1,064 million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Change in Standardized Measure of Discounted Future Net Cash Flows Relating to Proved Oil and Gas Reserves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Consolidated and Equity Interests</w:t>
            </w: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440" w:type="dxa"/>
            <w:vAlign w:val="bottom"/>
            <w:tcBorders>
              <w:bottom w:val="single" w:sz="8" w:color="auto"/>
            </w:tcBorders>
          </w:tcPr>
          <w:p>
            <w:pPr>
              <w:spacing w:after="0"/>
              <w:rPr>
                <w:sz w:val="20"/>
                <w:szCs w:val="20"/>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Share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Equity Method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and Equity</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r>
      <w:tr>
        <w:trPr>
          <w:trHeight w:val="26"/>
        </w:trPr>
        <w:tc>
          <w:tcPr>
            <w:tcW w:w="5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jc w:val="right"/>
              <w:ind w:right="276"/>
              <w:spacing w:after="0"/>
              <w:rPr>
                <w:sz w:val="20"/>
                <w:szCs w:val="20"/>
                <w:color w:val="auto"/>
              </w:rPr>
            </w:pPr>
            <w:r>
              <w:rPr>
                <w:rFonts w:ascii="Arial" w:cs="Arial" w:eastAsia="Arial" w:hAnsi="Arial"/>
                <w:sz w:val="14"/>
                <w:szCs w:val="14"/>
                <w:i w:val="1"/>
                <w:iCs w:val="1"/>
                <w:color w:val="auto"/>
              </w:rPr>
              <w:t>(millions of dollars)</w:t>
            </w:r>
          </w:p>
        </w:tc>
        <w:tc>
          <w:tcPr>
            <w:tcW w:w="1440" w:type="dxa"/>
            <w:vAlign w:val="bottom"/>
          </w:tcPr>
          <w:p>
            <w:pPr>
              <w:spacing w:after="0"/>
              <w:rPr>
                <w:sz w:val="16"/>
                <w:szCs w:val="16"/>
                <w:color w:val="auto"/>
              </w:rPr>
            </w:pPr>
          </w:p>
        </w:tc>
      </w:tr>
      <w:tr>
        <w:trPr>
          <w:trHeight w:val="458"/>
        </w:trPr>
        <w:tc>
          <w:tcPr>
            <w:tcW w:w="5360" w:type="dxa"/>
            <w:vAlign w:val="bottom"/>
          </w:tcPr>
          <w:p>
            <w:pPr>
              <w:spacing w:after="0"/>
              <w:rPr>
                <w:sz w:val="20"/>
                <w:szCs w:val="20"/>
                <w:color w:val="auto"/>
              </w:rPr>
            </w:pPr>
            <w:r>
              <w:rPr>
                <w:rFonts w:ascii="Arial" w:cs="Arial" w:eastAsia="Arial" w:hAnsi="Arial"/>
                <w:sz w:val="18"/>
                <w:szCs w:val="18"/>
                <w:color w:val="auto"/>
              </w:rPr>
              <w:t>Discounted future net cash flows as of December 31, 2016</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35,150</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18,201</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53,351</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w w:val="93"/>
              </w:rPr>
              <w:t>Value of reserves added during the year due to extensions, discoveries,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improved recovery and net purchases less related costs</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10,375</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255</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10,630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Changes in value of previous-year reserves due to:</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w w:val="98"/>
              </w:rPr>
              <w:t>Sales and transfers of oil and gas produced during the year, net of</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260"/>
              <w:spacing w:after="0"/>
              <w:rPr>
                <w:sz w:val="20"/>
                <w:szCs w:val="20"/>
                <w:color w:val="auto"/>
              </w:rPr>
            </w:pPr>
            <w:r>
              <w:rPr>
                <w:rFonts w:ascii="Arial" w:cs="Arial" w:eastAsia="Arial" w:hAnsi="Arial"/>
                <w:sz w:val="18"/>
                <w:szCs w:val="18"/>
                <w:color w:val="auto"/>
              </w:rPr>
              <w:t>production (lifting) costs</w:t>
            </w:r>
          </w:p>
        </w:tc>
        <w:tc>
          <w:tcPr>
            <w:tcW w:w="2780" w:type="dxa"/>
            <w:vAlign w:val="bottom"/>
            <w:gridSpan w:val="2"/>
          </w:tcPr>
          <w:p>
            <w:pPr>
              <w:jc w:val="right"/>
              <w:ind w:right="262"/>
              <w:spacing w:after="0"/>
              <w:rPr>
                <w:sz w:val="20"/>
                <w:szCs w:val="20"/>
                <w:color w:val="auto"/>
              </w:rPr>
            </w:pPr>
            <w:r>
              <w:rPr>
                <w:rFonts w:ascii="Arial" w:cs="Arial" w:eastAsia="Arial" w:hAnsi="Arial"/>
                <w:sz w:val="18"/>
                <w:szCs w:val="18"/>
                <w:color w:val="auto"/>
              </w:rPr>
              <w:t>(24,911)</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(7,358)</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(32,269)</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Development costs incurred during the year</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7,066</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2,020</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9,086</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Net change in prices, lifting and development costs</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51,703</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12,782</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64,485</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Revisions of previous reserves estimates</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6,580</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1,193</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7,773</w:t>
            </w:r>
          </w:p>
        </w:tc>
      </w:tr>
      <w:tr>
        <w:trPr>
          <w:trHeight w:val="216"/>
        </w:trPr>
        <w:tc>
          <w:tcPr>
            <w:tcW w:w="5360" w:type="dxa"/>
            <w:vAlign w:val="bottom"/>
          </w:tcPr>
          <w:p>
            <w:pPr>
              <w:ind w:left="120"/>
              <w:spacing w:after="0"/>
              <w:rPr>
                <w:sz w:val="20"/>
                <w:szCs w:val="20"/>
                <w:color w:val="auto"/>
              </w:rPr>
            </w:pPr>
            <w:r>
              <w:rPr>
                <w:rFonts w:ascii="Arial" w:cs="Arial" w:eastAsia="Arial" w:hAnsi="Arial"/>
                <w:sz w:val="18"/>
                <w:szCs w:val="18"/>
                <w:color w:val="auto"/>
              </w:rPr>
              <w:t>Accretion of discount</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4,951</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2,124</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7,075</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change in income taxes</w:t>
            </w:r>
          </w:p>
        </w:tc>
        <w:tc>
          <w:tcPr>
            <w:tcW w:w="2780" w:type="dxa"/>
            <w:vAlign w:val="bottom"/>
            <w:gridSpan w:val="2"/>
          </w:tcPr>
          <w:p>
            <w:pPr>
              <w:jc w:val="right"/>
              <w:ind w:right="262"/>
              <w:spacing w:after="0"/>
              <w:rPr>
                <w:sz w:val="20"/>
                <w:szCs w:val="20"/>
                <w:color w:val="auto"/>
              </w:rPr>
            </w:pPr>
            <w:r>
              <w:rPr>
                <w:rFonts w:ascii="Arial" w:cs="Arial" w:eastAsia="Arial" w:hAnsi="Arial"/>
                <w:sz w:val="18"/>
                <w:szCs w:val="18"/>
                <w:color w:val="auto"/>
              </w:rPr>
              <w:t>(25,713)</w:t>
            </w:r>
          </w:p>
        </w:tc>
        <w:tc>
          <w:tcPr>
            <w:tcW w:w="1840" w:type="dxa"/>
            <w:vAlign w:val="bottom"/>
          </w:tcPr>
          <w:p>
            <w:pPr>
              <w:jc w:val="right"/>
              <w:ind w:right="396"/>
              <w:spacing w:after="0"/>
              <w:rPr>
                <w:sz w:val="20"/>
                <w:szCs w:val="20"/>
                <w:color w:val="auto"/>
              </w:rPr>
            </w:pPr>
            <w:r>
              <w:rPr>
                <w:rFonts w:ascii="Arial" w:cs="Arial" w:eastAsia="Arial" w:hAnsi="Arial"/>
                <w:sz w:val="18"/>
                <w:szCs w:val="18"/>
                <w:color w:val="auto"/>
              </w:rPr>
              <w:t>(4,214)</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(29,927)</w:t>
            </w:r>
          </w:p>
        </w:tc>
      </w:tr>
      <w:tr>
        <w:trPr>
          <w:trHeight w:val="224"/>
        </w:trPr>
        <w:tc>
          <w:tcPr>
            <w:tcW w:w="5360" w:type="dxa"/>
            <w:vAlign w:val="bottom"/>
          </w:tcPr>
          <w:p>
            <w:pPr>
              <w:ind w:left="260"/>
              <w:spacing w:after="0"/>
              <w:rPr>
                <w:sz w:val="20"/>
                <w:szCs w:val="20"/>
                <w:color w:val="auto"/>
              </w:rPr>
            </w:pPr>
            <w:r>
              <w:rPr>
                <w:rFonts w:ascii="Arial" w:cs="Arial" w:eastAsia="Arial" w:hAnsi="Arial"/>
                <w:sz w:val="18"/>
                <w:szCs w:val="18"/>
                <w:color w:val="auto"/>
              </w:rPr>
              <w:t>Total change in the standardized measure during the year</w:t>
            </w:r>
          </w:p>
        </w:tc>
        <w:tc>
          <w:tcPr>
            <w:tcW w:w="1300" w:type="dxa"/>
            <w:vAlign w:val="bottom"/>
          </w:tcPr>
          <w:p>
            <w:pPr>
              <w:spacing w:after="0"/>
              <w:rPr>
                <w:sz w:val="19"/>
                <w:szCs w:val="19"/>
                <w:color w:val="auto"/>
              </w:rPr>
            </w:pPr>
          </w:p>
        </w:tc>
        <w:tc>
          <w:tcPr>
            <w:tcW w:w="1480" w:type="dxa"/>
            <w:vAlign w:val="bottom"/>
            <w:tcBorders>
              <w:top w:val="single" w:sz="8" w:color="auto"/>
            </w:tcBorders>
          </w:tcPr>
          <w:p>
            <w:pPr>
              <w:jc w:val="right"/>
              <w:ind w:right="322"/>
              <w:spacing w:after="0"/>
              <w:rPr>
                <w:sz w:val="20"/>
                <w:szCs w:val="20"/>
                <w:color w:val="auto"/>
              </w:rPr>
            </w:pPr>
            <w:r>
              <w:rPr>
                <w:rFonts w:ascii="Arial" w:cs="Arial" w:eastAsia="Arial" w:hAnsi="Arial"/>
                <w:sz w:val="18"/>
                <w:szCs w:val="18"/>
                <w:color w:val="auto"/>
              </w:rPr>
              <w:t>30,051</w:t>
            </w:r>
          </w:p>
        </w:tc>
        <w:tc>
          <w:tcPr>
            <w:tcW w:w="184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rPr>
              <w:t>6,802</w:t>
            </w:r>
          </w:p>
        </w:tc>
        <w:tc>
          <w:tcPr>
            <w:tcW w:w="144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rPr>
              <w:t>36,853</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Discounted future net cash flows as of December 31, 2017</w:t>
            </w:r>
          </w:p>
        </w:tc>
        <w:tc>
          <w:tcPr>
            <w:tcW w:w="2780" w:type="dxa"/>
            <w:vAlign w:val="bottom"/>
            <w:gridSpan w:val="2"/>
          </w:tcPr>
          <w:p>
            <w:pPr>
              <w:jc w:val="right"/>
              <w:ind w:right="322"/>
              <w:spacing w:after="0"/>
              <w:rPr>
                <w:sz w:val="20"/>
                <w:szCs w:val="20"/>
                <w:color w:val="auto"/>
              </w:rPr>
            </w:pPr>
            <w:r>
              <w:rPr>
                <w:rFonts w:ascii="Arial" w:cs="Arial" w:eastAsia="Arial" w:hAnsi="Arial"/>
                <w:sz w:val="18"/>
                <w:szCs w:val="18"/>
                <w:color w:val="auto"/>
              </w:rPr>
              <w:t>65,201</w:t>
            </w:r>
          </w:p>
        </w:tc>
        <w:tc>
          <w:tcPr>
            <w:tcW w:w="1840" w:type="dxa"/>
            <w:vAlign w:val="bottom"/>
          </w:tcPr>
          <w:p>
            <w:pPr>
              <w:jc w:val="right"/>
              <w:ind w:right="456"/>
              <w:spacing w:after="0"/>
              <w:rPr>
                <w:sz w:val="20"/>
                <w:szCs w:val="20"/>
                <w:color w:val="auto"/>
              </w:rPr>
            </w:pPr>
            <w:r>
              <w:rPr>
                <w:rFonts w:ascii="Arial" w:cs="Arial" w:eastAsia="Arial" w:hAnsi="Arial"/>
                <w:sz w:val="18"/>
                <w:szCs w:val="18"/>
                <w:color w:val="auto"/>
              </w:rPr>
              <w:t>25,003</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90,204</w:t>
            </w:r>
          </w:p>
        </w:tc>
      </w:tr>
      <w:tr>
        <w:trPr>
          <w:trHeight w:val="858"/>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and Equity Interests</w:t>
            </w:r>
          </w:p>
        </w:tc>
        <w:tc>
          <w:tcPr>
            <w:tcW w:w="130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40" w:type="dxa"/>
            <w:vAlign w:val="bottom"/>
            <w:tcBorders>
              <w:top w:val="single" w:sz="8" w:color="auto"/>
              <w:bottom w:val="single" w:sz="8" w:color="auto"/>
            </w:tcBorders>
          </w:tcPr>
          <w:p>
            <w:pPr>
              <w:spacing w:after="0"/>
              <w:rPr>
                <w:sz w:val="24"/>
                <w:szCs w:val="24"/>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Share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Equity Method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and Equity</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r>
      <w:tr>
        <w:trPr>
          <w:trHeight w:val="26"/>
        </w:trPr>
        <w:tc>
          <w:tcPr>
            <w:tcW w:w="5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jc w:val="right"/>
              <w:ind w:right="276"/>
              <w:spacing w:after="0"/>
              <w:rPr>
                <w:sz w:val="20"/>
                <w:szCs w:val="20"/>
                <w:color w:val="auto"/>
              </w:rPr>
            </w:pPr>
            <w:r>
              <w:rPr>
                <w:rFonts w:ascii="Arial" w:cs="Arial" w:eastAsia="Arial" w:hAnsi="Arial"/>
                <w:sz w:val="14"/>
                <w:szCs w:val="14"/>
                <w:i w:val="1"/>
                <w:iCs w:val="1"/>
                <w:color w:val="auto"/>
              </w:rPr>
              <w:t>(millions of dollars)</w:t>
            </w:r>
          </w:p>
        </w:tc>
        <w:tc>
          <w:tcPr>
            <w:tcW w:w="1440" w:type="dxa"/>
            <w:vAlign w:val="bottom"/>
          </w:tcPr>
          <w:p>
            <w:pPr>
              <w:spacing w:after="0"/>
              <w:rPr>
                <w:sz w:val="16"/>
                <w:szCs w:val="16"/>
                <w:color w:val="auto"/>
              </w:rPr>
            </w:pPr>
          </w:p>
        </w:tc>
      </w:tr>
      <w:tr>
        <w:trPr>
          <w:trHeight w:val="458"/>
        </w:trPr>
        <w:tc>
          <w:tcPr>
            <w:tcW w:w="5360" w:type="dxa"/>
            <w:vAlign w:val="bottom"/>
          </w:tcPr>
          <w:p>
            <w:pPr>
              <w:ind w:left="40"/>
              <w:spacing w:after="0"/>
              <w:rPr>
                <w:sz w:val="20"/>
                <w:szCs w:val="20"/>
                <w:color w:val="auto"/>
              </w:rPr>
            </w:pPr>
            <w:r>
              <w:rPr>
                <w:rFonts w:ascii="Arial" w:cs="Arial" w:eastAsia="Arial" w:hAnsi="Arial"/>
                <w:sz w:val="18"/>
                <w:szCs w:val="18"/>
                <w:color w:val="auto"/>
              </w:rPr>
              <w:t>Discounted future net cash flows as of December 31, 2017</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65,201</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25,003</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90,204</w:t>
            </w:r>
          </w:p>
        </w:tc>
      </w:tr>
      <w:tr>
        <w:trPr>
          <w:trHeight w:val="418"/>
        </w:trPr>
        <w:tc>
          <w:tcPr>
            <w:tcW w:w="5360" w:type="dxa"/>
            <w:vAlign w:val="bottom"/>
          </w:tcPr>
          <w:p>
            <w:pPr>
              <w:ind w:left="40"/>
              <w:spacing w:after="0"/>
              <w:rPr>
                <w:sz w:val="20"/>
                <w:szCs w:val="20"/>
                <w:color w:val="auto"/>
              </w:rPr>
            </w:pPr>
            <w:r>
              <w:rPr>
                <w:rFonts w:ascii="Arial" w:cs="Arial" w:eastAsia="Arial" w:hAnsi="Arial"/>
                <w:sz w:val="18"/>
                <w:szCs w:val="18"/>
                <w:color w:val="auto"/>
                <w:w w:val="92"/>
              </w:rPr>
              <w:t>Value of reserves added during the year due to extensions, discoveries,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improved recovery and net purchases less related costs</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9,472</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(134)</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9,338</w:t>
            </w: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Changes in value of previous-year reserves due to:</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w w:val="98"/>
              </w:rPr>
              <w:t>Sales and transfers of oil and gas produced during the year, net of</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production (lifting) costs</w:t>
            </w:r>
          </w:p>
        </w:tc>
        <w:tc>
          <w:tcPr>
            <w:tcW w:w="2780" w:type="dxa"/>
            <w:vAlign w:val="bottom"/>
            <w:gridSpan w:val="2"/>
          </w:tcPr>
          <w:p>
            <w:pPr>
              <w:jc w:val="right"/>
              <w:ind w:right="302"/>
              <w:spacing w:after="0"/>
              <w:rPr>
                <w:sz w:val="20"/>
                <w:szCs w:val="20"/>
                <w:color w:val="auto"/>
              </w:rPr>
            </w:pPr>
            <w:r>
              <w:rPr>
                <w:rFonts w:ascii="Arial" w:cs="Arial" w:eastAsia="Arial" w:hAnsi="Arial"/>
                <w:sz w:val="18"/>
                <w:szCs w:val="18"/>
                <w:color w:val="auto"/>
              </w:rPr>
              <w:t>(31,706)</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(9,956)</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(41,662)</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Development costs incurred during the year</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11,500</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2,762</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14,262</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Net change in prices, lifting and development costs</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56,798</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23,582</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80,380</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Revisions of previous reserves estimates</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14,515</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(2,091)</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12,424</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Accretion of discount</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8,793</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3,043</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11,836</w:t>
            </w: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Net change in income taxes</w:t>
            </w:r>
          </w:p>
        </w:tc>
        <w:tc>
          <w:tcPr>
            <w:tcW w:w="2780" w:type="dxa"/>
            <w:vAlign w:val="bottom"/>
            <w:gridSpan w:val="2"/>
          </w:tcPr>
          <w:p>
            <w:pPr>
              <w:jc w:val="right"/>
              <w:ind w:right="302"/>
              <w:spacing w:after="0"/>
              <w:rPr>
                <w:sz w:val="20"/>
                <w:szCs w:val="20"/>
                <w:color w:val="auto"/>
              </w:rPr>
            </w:pPr>
            <w:r>
              <w:rPr>
                <w:rFonts w:ascii="Arial" w:cs="Arial" w:eastAsia="Arial" w:hAnsi="Arial"/>
                <w:sz w:val="18"/>
                <w:szCs w:val="18"/>
                <w:color w:val="auto"/>
              </w:rPr>
              <w:t>(28,469)</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(4,637)</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(33,106)</w:t>
            </w:r>
          </w:p>
        </w:tc>
      </w:tr>
      <w:tr>
        <w:trPr>
          <w:trHeight w:val="224"/>
        </w:trPr>
        <w:tc>
          <w:tcPr>
            <w:tcW w:w="5360" w:type="dxa"/>
            <w:vAlign w:val="bottom"/>
          </w:tcPr>
          <w:p>
            <w:pPr>
              <w:ind w:left="280"/>
              <w:spacing w:after="0"/>
              <w:rPr>
                <w:sz w:val="20"/>
                <w:szCs w:val="20"/>
                <w:color w:val="auto"/>
              </w:rPr>
            </w:pPr>
            <w:r>
              <w:rPr>
                <w:rFonts w:ascii="Arial" w:cs="Arial" w:eastAsia="Arial" w:hAnsi="Arial"/>
                <w:sz w:val="18"/>
                <w:szCs w:val="18"/>
                <w:color w:val="auto"/>
              </w:rPr>
              <w:t>Total change in the standardized measure during the year</w:t>
            </w:r>
          </w:p>
        </w:tc>
        <w:tc>
          <w:tcPr>
            <w:tcW w:w="1300" w:type="dxa"/>
            <w:vAlign w:val="bottom"/>
          </w:tcPr>
          <w:p>
            <w:pPr>
              <w:spacing w:after="0"/>
              <w:rPr>
                <w:sz w:val="19"/>
                <w:szCs w:val="19"/>
                <w:color w:val="auto"/>
              </w:rPr>
            </w:pPr>
          </w:p>
        </w:tc>
        <w:tc>
          <w:tcPr>
            <w:tcW w:w="1480" w:type="dxa"/>
            <w:vAlign w:val="bottom"/>
            <w:tcBorders>
              <w:top w:val="single" w:sz="8" w:color="auto"/>
            </w:tcBorders>
          </w:tcPr>
          <w:p>
            <w:pPr>
              <w:jc w:val="right"/>
              <w:ind w:right="342"/>
              <w:spacing w:after="0"/>
              <w:rPr>
                <w:sz w:val="20"/>
                <w:szCs w:val="20"/>
                <w:color w:val="auto"/>
              </w:rPr>
            </w:pPr>
            <w:r>
              <w:rPr>
                <w:rFonts w:ascii="Arial" w:cs="Arial" w:eastAsia="Arial" w:hAnsi="Arial"/>
                <w:sz w:val="18"/>
                <w:szCs w:val="18"/>
                <w:color w:val="auto"/>
              </w:rPr>
              <w:t>40,903</w:t>
            </w:r>
          </w:p>
        </w:tc>
        <w:tc>
          <w:tcPr>
            <w:tcW w:w="1840" w:type="dxa"/>
            <w:vAlign w:val="bottom"/>
            <w:tcBorders>
              <w:top w:val="single" w:sz="8" w:color="auto"/>
            </w:tcBorders>
          </w:tcPr>
          <w:p>
            <w:pPr>
              <w:jc w:val="right"/>
              <w:ind w:right="476"/>
              <w:spacing w:after="0"/>
              <w:rPr>
                <w:sz w:val="20"/>
                <w:szCs w:val="20"/>
                <w:color w:val="auto"/>
              </w:rPr>
            </w:pPr>
            <w:r>
              <w:rPr>
                <w:rFonts w:ascii="Arial" w:cs="Arial" w:eastAsia="Arial" w:hAnsi="Arial"/>
                <w:sz w:val="18"/>
                <w:szCs w:val="18"/>
                <w:color w:val="auto"/>
              </w:rPr>
              <w:t>12,569</w:t>
            </w:r>
          </w:p>
        </w:tc>
        <w:tc>
          <w:tcPr>
            <w:tcW w:w="144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rPr>
              <w:t>53,472</w:t>
            </w:r>
          </w:p>
        </w:tc>
      </w:tr>
      <w:tr>
        <w:trPr>
          <w:trHeight w:val="418"/>
        </w:trPr>
        <w:tc>
          <w:tcPr>
            <w:tcW w:w="5360" w:type="dxa"/>
            <w:vAlign w:val="bottom"/>
          </w:tcPr>
          <w:p>
            <w:pPr>
              <w:ind w:left="40"/>
              <w:spacing w:after="0"/>
              <w:rPr>
                <w:sz w:val="20"/>
                <w:szCs w:val="20"/>
                <w:color w:val="auto"/>
              </w:rPr>
            </w:pPr>
            <w:r>
              <w:rPr>
                <w:rFonts w:ascii="Arial" w:cs="Arial" w:eastAsia="Arial" w:hAnsi="Arial"/>
                <w:sz w:val="18"/>
                <w:szCs w:val="18"/>
                <w:color w:val="auto"/>
              </w:rPr>
              <w:t>Discounted future net cash flows as of December 31, 2018</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106,104</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37,572</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143,676</w:t>
            </w:r>
          </w:p>
        </w:tc>
      </w:tr>
      <w:tr>
        <w:trPr>
          <w:trHeight w:val="439"/>
        </w:trPr>
        <w:tc>
          <w:tcPr>
            <w:tcW w:w="536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Arial" w:cs="Arial" w:eastAsia="Arial" w:hAnsi="Arial"/>
                <w:sz w:val="18"/>
                <w:szCs w:val="18"/>
                <w:color w:val="auto"/>
              </w:rPr>
              <w:t>123</w:t>
            </w:r>
          </w:p>
        </w:tc>
        <w:tc>
          <w:tcPr>
            <w:tcW w:w="14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196"/>
        </w:trPr>
        <w:tc>
          <w:tcPr>
            <w:tcW w:w="53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Change in Standardized Measure of Discounted Future Net Cash Flows Relating to Proved Oil and Gas Reserves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and Equity Interests (continued)</w:t>
            </w: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40" w:type="dxa"/>
            <w:vAlign w:val="bottom"/>
            <w:tcBorders>
              <w:bottom w:val="single" w:sz="8" w:color="auto"/>
            </w:tcBorders>
          </w:tcPr>
          <w:p>
            <w:pPr>
              <w:spacing w:after="0"/>
              <w:rPr>
                <w:sz w:val="20"/>
                <w:szCs w:val="20"/>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Share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right"/>
              <w:ind w:right="262"/>
              <w:spacing w:after="0"/>
              <w:rPr>
                <w:sz w:val="20"/>
                <w:szCs w:val="20"/>
                <w:color w:val="auto"/>
              </w:rPr>
            </w:pPr>
            <w:r>
              <w:rPr>
                <w:rFonts w:ascii="Arial" w:cs="Arial" w:eastAsia="Arial" w:hAnsi="Arial"/>
                <w:sz w:val="14"/>
                <w:szCs w:val="14"/>
                <w:b w:val="1"/>
                <w:bCs w:val="1"/>
                <w:color w:val="auto"/>
              </w:rPr>
              <w:t>Consolidated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Equity Method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and Equity</w:t>
            </w:r>
          </w:p>
        </w:tc>
      </w:tr>
      <w:tr>
        <w:trPr>
          <w:trHeight w:val="216"/>
        </w:trPr>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jc w:val="right"/>
              <w:ind w:right="282"/>
              <w:spacing w:after="0"/>
              <w:rPr>
                <w:sz w:val="20"/>
                <w:szCs w:val="20"/>
                <w:color w:val="auto"/>
              </w:rPr>
            </w:pPr>
            <w:r>
              <w:rPr>
                <w:rFonts w:ascii="Arial" w:cs="Arial" w:eastAsia="Arial" w:hAnsi="Arial"/>
                <w:sz w:val="14"/>
                <w:szCs w:val="14"/>
                <w:b w:val="1"/>
                <w:bCs w:val="1"/>
                <w:color w:val="auto"/>
              </w:rPr>
              <w:t>Subsidiaries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r>
      <w:tr>
        <w:trPr>
          <w:trHeight w:val="26"/>
        </w:trPr>
        <w:tc>
          <w:tcPr>
            <w:tcW w:w="5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Pr>
          <w:p>
            <w:pPr>
              <w:jc w:val="right"/>
              <w:ind w:right="276"/>
              <w:spacing w:after="0"/>
              <w:rPr>
                <w:sz w:val="20"/>
                <w:szCs w:val="20"/>
                <w:color w:val="auto"/>
              </w:rPr>
            </w:pPr>
            <w:r>
              <w:rPr>
                <w:rFonts w:ascii="Arial" w:cs="Arial" w:eastAsia="Arial" w:hAnsi="Arial"/>
                <w:sz w:val="14"/>
                <w:szCs w:val="14"/>
                <w:i w:val="1"/>
                <w:iCs w:val="1"/>
                <w:color w:val="auto"/>
              </w:rPr>
              <w:t>(millions of dollars)</w:t>
            </w:r>
          </w:p>
        </w:tc>
        <w:tc>
          <w:tcPr>
            <w:tcW w:w="1440" w:type="dxa"/>
            <w:vAlign w:val="bottom"/>
          </w:tcPr>
          <w:p>
            <w:pPr>
              <w:spacing w:after="0"/>
              <w:rPr>
                <w:sz w:val="16"/>
                <w:szCs w:val="16"/>
                <w:color w:val="auto"/>
              </w:rPr>
            </w:pPr>
          </w:p>
        </w:tc>
      </w:tr>
      <w:tr>
        <w:trPr>
          <w:trHeight w:val="458"/>
        </w:trPr>
        <w:tc>
          <w:tcPr>
            <w:tcW w:w="5360" w:type="dxa"/>
            <w:vAlign w:val="bottom"/>
          </w:tcPr>
          <w:p>
            <w:pPr>
              <w:ind w:left="40"/>
              <w:spacing w:after="0"/>
              <w:rPr>
                <w:sz w:val="20"/>
                <w:szCs w:val="20"/>
                <w:color w:val="auto"/>
              </w:rPr>
            </w:pPr>
            <w:r>
              <w:rPr>
                <w:rFonts w:ascii="Arial" w:cs="Arial" w:eastAsia="Arial" w:hAnsi="Arial"/>
                <w:sz w:val="18"/>
                <w:szCs w:val="18"/>
                <w:color w:val="auto"/>
              </w:rPr>
              <w:t>Discounted future net cash flows as of December 31, 2018</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106,104</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37,572</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143,676</w:t>
            </w:r>
          </w:p>
        </w:tc>
      </w:tr>
      <w:tr>
        <w:trPr>
          <w:trHeight w:val="418"/>
        </w:trPr>
        <w:tc>
          <w:tcPr>
            <w:tcW w:w="5360" w:type="dxa"/>
            <w:vAlign w:val="bottom"/>
          </w:tcPr>
          <w:p>
            <w:pPr>
              <w:ind w:left="40"/>
              <w:spacing w:after="0"/>
              <w:rPr>
                <w:sz w:val="20"/>
                <w:szCs w:val="20"/>
                <w:color w:val="auto"/>
              </w:rPr>
            </w:pPr>
            <w:r>
              <w:rPr>
                <w:rFonts w:ascii="Arial" w:cs="Arial" w:eastAsia="Arial" w:hAnsi="Arial"/>
                <w:sz w:val="18"/>
                <w:szCs w:val="18"/>
                <w:color w:val="auto"/>
                <w:w w:val="92"/>
              </w:rPr>
              <w:t>Value of reserves added during the year due to extensions, discoveries,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improved recovery and net purchases/sales less related costs</w:t>
            </w:r>
          </w:p>
        </w:tc>
        <w:tc>
          <w:tcPr>
            <w:tcW w:w="2780" w:type="dxa"/>
            <w:vAlign w:val="bottom"/>
            <w:gridSpan w:val="2"/>
          </w:tcPr>
          <w:p>
            <w:pPr>
              <w:jc w:val="right"/>
              <w:ind w:right="302"/>
              <w:spacing w:after="0"/>
              <w:rPr>
                <w:sz w:val="20"/>
                <w:szCs w:val="20"/>
                <w:color w:val="auto"/>
              </w:rPr>
            </w:pPr>
            <w:r>
              <w:rPr>
                <w:rFonts w:ascii="Arial" w:cs="Arial" w:eastAsia="Arial" w:hAnsi="Arial"/>
                <w:sz w:val="18"/>
                <w:szCs w:val="18"/>
                <w:color w:val="auto"/>
              </w:rPr>
              <w:t>(1,252)</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4</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(1,248)</w:t>
            </w:r>
          </w:p>
        </w:tc>
      </w:tr>
      <w:tr>
        <w:trPr>
          <w:trHeight w:val="216"/>
        </w:trPr>
        <w:tc>
          <w:tcPr>
            <w:tcW w:w="5360" w:type="dxa"/>
            <w:vAlign w:val="bottom"/>
          </w:tcPr>
          <w:p>
            <w:pPr>
              <w:ind w:left="40"/>
              <w:spacing w:after="0"/>
              <w:rPr>
                <w:sz w:val="20"/>
                <w:szCs w:val="20"/>
                <w:color w:val="auto"/>
              </w:rPr>
            </w:pPr>
            <w:r>
              <w:rPr>
                <w:rFonts w:ascii="Arial" w:cs="Arial" w:eastAsia="Arial" w:hAnsi="Arial"/>
                <w:sz w:val="18"/>
                <w:szCs w:val="18"/>
                <w:color w:val="auto"/>
              </w:rPr>
              <w:t>Changes in value of previous-year reserves due to:</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w w:val="98"/>
              </w:rPr>
              <w:t>Sales and transfers of oil and gas produced during the year, net of</w:t>
            </w:r>
          </w:p>
        </w:tc>
        <w:tc>
          <w:tcPr>
            <w:tcW w:w="1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360" w:type="dxa"/>
            <w:vAlign w:val="bottom"/>
          </w:tcPr>
          <w:p>
            <w:pPr>
              <w:ind w:left="280"/>
              <w:spacing w:after="0"/>
              <w:rPr>
                <w:sz w:val="20"/>
                <w:szCs w:val="20"/>
                <w:color w:val="auto"/>
              </w:rPr>
            </w:pPr>
            <w:r>
              <w:rPr>
                <w:rFonts w:ascii="Arial" w:cs="Arial" w:eastAsia="Arial" w:hAnsi="Arial"/>
                <w:sz w:val="18"/>
                <w:szCs w:val="18"/>
                <w:color w:val="auto"/>
              </w:rPr>
              <w:t>production (lifting) costs</w:t>
            </w:r>
          </w:p>
        </w:tc>
        <w:tc>
          <w:tcPr>
            <w:tcW w:w="2780" w:type="dxa"/>
            <w:vAlign w:val="bottom"/>
            <w:gridSpan w:val="2"/>
          </w:tcPr>
          <w:p>
            <w:pPr>
              <w:jc w:val="right"/>
              <w:ind w:right="302"/>
              <w:spacing w:after="0"/>
              <w:rPr>
                <w:sz w:val="20"/>
                <w:szCs w:val="20"/>
                <w:color w:val="auto"/>
              </w:rPr>
            </w:pPr>
            <w:r>
              <w:rPr>
                <w:rFonts w:ascii="Arial" w:cs="Arial" w:eastAsia="Arial" w:hAnsi="Arial"/>
                <w:sz w:val="18"/>
                <w:szCs w:val="18"/>
                <w:color w:val="auto"/>
              </w:rPr>
              <w:t>(29,159)</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(8,202)</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(37,361)</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Development costs incurred during the year</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16,544</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2,927</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19,471</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Net change in prices, lifting and development costs</w:t>
            </w:r>
          </w:p>
        </w:tc>
        <w:tc>
          <w:tcPr>
            <w:tcW w:w="2780" w:type="dxa"/>
            <w:vAlign w:val="bottom"/>
            <w:gridSpan w:val="2"/>
          </w:tcPr>
          <w:p>
            <w:pPr>
              <w:jc w:val="right"/>
              <w:ind w:right="302"/>
              <w:spacing w:after="0"/>
              <w:rPr>
                <w:sz w:val="20"/>
                <w:szCs w:val="20"/>
                <w:color w:val="auto"/>
              </w:rPr>
            </w:pPr>
            <w:r>
              <w:rPr>
                <w:rFonts w:ascii="Arial" w:cs="Arial" w:eastAsia="Arial" w:hAnsi="Arial"/>
                <w:sz w:val="18"/>
                <w:szCs w:val="18"/>
                <w:color w:val="auto"/>
              </w:rPr>
              <w:t>(66,455)</w:t>
            </w:r>
          </w:p>
        </w:tc>
        <w:tc>
          <w:tcPr>
            <w:tcW w:w="1840" w:type="dxa"/>
            <w:vAlign w:val="bottom"/>
          </w:tcPr>
          <w:p>
            <w:pPr>
              <w:jc w:val="right"/>
              <w:ind w:right="436"/>
              <w:spacing w:after="0"/>
              <w:rPr>
                <w:sz w:val="20"/>
                <w:szCs w:val="20"/>
                <w:color w:val="auto"/>
              </w:rPr>
            </w:pPr>
            <w:r>
              <w:rPr>
                <w:rFonts w:ascii="Arial" w:cs="Arial" w:eastAsia="Arial" w:hAnsi="Arial"/>
                <w:sz w:val="18"/>
                <w:szCs w:val="18"/>
                <w:color w:val="auto"/>
              </w:rPr>
              <w:t>(21,046)</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(87,501)</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Revisions of previous reserves estimates</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4,906</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657</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5,563</w:t>
            </w: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Accretion of discount</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11,433</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3,956</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15,389</w:t>
            </w: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Net change in income taxes</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25,379</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6,548</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31,927</w:t>
            </w:r>
          </w:p>
        </w:tc>
      </w:tr>
      <w:tr>
        <w:trPr>
          <w:trHeight w:val="224"/>
        </w:trPr>
        <w:tc>
          <w:tcPr>
            <w:tcW w:w="5360" w:type="dxa"/>
            <w:vAlign w:val="bottom"/>
          </w:tcPr>
          <w:p>
            <w:pPr>
              <w:ind w:left="280"/>
              <w:spacing w:after="0"/>
              <w:rPr>
                <w:sz w:val="20"/>
                <w:szCs w:val="20"/>
                <w:color w:val="auto"/>
              </w:rPr>
            </w:pPr>
            <w:r>
              <w:rPr>
                <w:rFonts w:ascii="Arial" w:cs="Arial" w:eastAsia="Arial" w:hAnsi="Arial"/>
                <w:sz w:val="18"/>
                <w:szCs w:val="18"/>
                <w:color w:val="auto"/>
              </w:rPr>
              <w:t>Total change in the standardized measure during the year</w:t>
            </w:r>
          </w:p>
        </w:tc>
        <w:tc>
          <w:tcPr>
            <w:tcW w:w="1300" w:type="dxa"/>
            <w:vAlign w:val="bottom"/>
          </w:tcPr>
          <w:p>
            <w:pPr>
              <w:spacing w:after="0"/>
              <w:rPr>
                <w:sz w:val="19"/>
                <w:szCs w:val="19"/>
                <w:color w:val="auto"/>
              </w:rPr>
            </w:pPr>
          </w:p>
        </w:tc>
        <w:tc>
          <w:tcPr>
            <w:tcW w:w="148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rPr>
              <w:t>(38,604)</w:t>
            </w:r>
          </w:p>
        </w:tc>
        <w:tc>
          <w:tcPr>
            <w:tcW w:w="18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(15,156)</w:t>
            </w:r>
          </w:p>
        </w:tc>
        <w:tc>
          <w:tcPr>
            <w:tcW w:w="144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rPr>
              <w:t>(53,760)</w:t>
            </w:r>
          </w:p>
        </w:tc>
      </w:tr>
      <w:tr>
        <w:trPr>
          <w:trHeight w:val="418"/>
        </w:trPr>
        <w:tc>
          <w:tcPr>
            <w:tcW w:w="5360" w:type="dxa"/>
            <w:vAlign w:val="bottom"/>
          </w:tcPr>
          <w:p>
            <w:pPr>
              <w:ind w:left="40"/>
              <w:spacing w:after="0"/>
              <w:rPr>
                <w:sz w:val="20"/>
                <w:szCs w:val="20"/>
                <w:color w:val="auto"/>
              </w:rPr>
            </w:pPr>
            <w:r>
              <w:rPr>
                <w:rFonts w:ascii="Arial" w:cs="Arial" w:eastAsia="Arial" w:hAnsi="Arial"/>
                <w:sz w:val="18"/>
                <w:szCs w:val="18"/>
                <w:color w:val="auto"/>
              </w:rPr>
              <w:t>Discounted future net cash flows as of December 31, 2019</w:t>
            </w:r>
          </w:p>
        </w:tc>
        <w:tc>
          <w:tcPr>
            <w:tcW w:w="2780" w:type="dxa"/>
            <w:vAlign w:val="bottom"/>
            <w:gridSpan w:val="2"/>
          </w:tcPr>
          <w:p>
            <w:pPr>
              <w:jc w:val="right"/>
              <w:ind w:right="342"/>
              <w:spacing w:after="0"/>
              <w:rPr>
                <w:sz w:val="20"/>
                <w:szCs w:val="20"/>
                <w:color w:val="auto"/>
              </w:rPr>
            </w:pPr>
            <w:r>
              <w:rPr>
                <w:rFonts w:ascii="Arial" w:cs="Arial" w:eastAsia="Arial" w:hAnsi="Arial"/>
                <w:sz w:val="18"/>
                <w:szCs w:val="18"/>
                <w:color w:val="auto"/>
              </w:rPr>
              <w:t>67,500</w:t>
            </w:r>
          </w:p>
        </w:tc>
        <w:tc>
          <w:tcPr>
            <w:tcW w:w="1840" w:type="dxa"/>
            <w:vAlign w:val="bottom"/>
          </w:tcPr>
          <w:p>
            <w:pPr>
              <w:jc w:val="right"/>
              <w:ind w:right="476"/>
              <w:spacing w:after="0"/>
              <w:rPr>
                <w:sz w:val="20"/>
                <w:szCs w:val="20"/>
                <w:color w:val="auto"/>
              </w:rPr>
            </w:pPr>
            <w:r>
              <w:rPr>
                <w:rFonts w:ascii="Arial" w:cs="Arial" w:eastAsia="Arial" w:hAnsi="Arial"/>
                <w:sz w:val="18"/>
                <w:szCs w:val="18"/>
                <w:color w:val="auto"/>
              </w:rPr>
              <w:t>22,416</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89,916</w:t>
            </w:r>
          </w:p>
        </w:tc>
      </w:tr>
      <w:tr>
        <w:trPr>
          <w:trHeight w:val="898"/>
        </w:trPr>
        <w:tc>
          <w:tcPr>
            <w:tcW w:w="536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Arial" w:cs="Arial" w:eastAsia="Arial" w:hAnsi="Arial"/>
                <w:sz w:val="18"/>
                <w:szCs w:val="18"/>
                <w:color w:val="auto"/>
              </w:rPr>
              <w:t>124</w:t>
            </w:r>
          </w:p>
        </w:tc>
        <w:tc>
          <w:tcPr>
            <w:tcW w:w="14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196"/>
        </w:trPr>
        <w:tc>
          <w:tcPr>
            <w:tcW w:w="53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OPERATING INFORMATION (unaudited)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960" w:type="dxa"/>
            <w:vAlign w:val="bottom"/>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880" w:type="dxa"/>
            <w:vAlign w:val="bottom"/>
          </w:tcPr>
          <w:p>
            <w:pPr>
              <w:spacing w:after="0" w:line="195" w:lineRule="exact"/>
              <w:rPr>
                <w:sz w:val="20"/>
                <w:szCs w:val="20"/>
                <w:color w:val="auto"/>
              </w:rPr>
            </w:pPr>
            <w:r>
              <w:rPr>
                <w:rFonts w:ascii="Arial" w:cs="Arial" w:eastAsia="Arial" w:hAnsi="Arial"/>
                <w:sz w:val="18"/>
                <w:szCs w:val="18"/>
                <w:color w:val="auto"/>
              </w:rPr>
              <w:t>Production of crude oil, natural gas liquids, bitumen and synthetic oil</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Net production</w:t>
            </w:r>
          </w:p>
        </w:tc>
        <w:tc>
          <w:tcPr>
            <w:tcW w:w="84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4"/>
              </w:rPr>
              <w:t>(thousands of barrels daily)</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646</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551</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494</w:t>
            </w: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Canada/Other Americas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467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438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412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430</w:t>
            </w: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Europe</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132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7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Africa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372</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387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474</w:t>
            </w:r>
          </w:p>
        </w:tc>
        <w:tc>
          <w:tcPr>
            <w:tcW w:w="78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Asia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748</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711</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698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707</w:t>
            </w:r>
          </w:p>
        </w:tc>
        <w:tc>
          <w:tcPr>
            <w:tcW w:w="78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Australia/Oceania</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2,386</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2,266</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2,283</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411"/>
        </w:trPr>
        <w:tc>
          <w:tcPr>
            <w:tcW w:w="6900" w:type="dxa"/>
            <w:vAlign w:val="bottom"/>
            <w:gridSpan w:val="2"/>
          </w:tcPr>
          <w:p>
            <w:pPr>
              <w:spacing w:after="0"/>
              <w:rPr>
                <w:sz w:val="20"/>
                <w:szCs w:val="20"/>
                <w:color w:val="auto"/>
              </w:rPr>
            </w:pPr>
            <w:r>
              <w:rPr>
                <w:rFonts w:ascii="Arial" w:cs="Arial" w:eastAsia="Arial" w:hAnsi="Arial"/>
                <w:sz w:val="18"/>
                <w:szCs w:val="18"/>
                <w:color w:val="auto"/>
              </w:rPr>
              <w:t>Natural gas production available for sale</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Net production</w:t>
            </w:r>
          </w:p>
        </w:tc>
        <w:tc>
          <w:tcPr>
            <w:tcW w:w="840" w:type="dxa"/>
            <w:vAlign w:val="bottom"/>
          </w:tcPr>
          <w:p>
            <w:pPr>
              <w:spacing w:after="0"/>
              <w:rPr>
                <w:sz w:val="18"/>
                <w:szCs w:val="18"/>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6"/>
              </w:rPr>
              <w:t>(millions of cubic feet daily)</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2,778</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2,574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2,936</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3,078</w:t>
            </w:r>
          </w:p>
        </w:tc>
        <w:tc>
          <w:tcPr>
            <w:tcW w:w="780" w:type="dxa"/>
            <w:vAlign w:val="bottom"/>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Canada/Other Americas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227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7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Europe</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1,457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1,653</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1,948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2,173</w:t>
            </w:r>
          </w:p>
        </w:tc>
        <w:tc>
          <w:tcPr>
            <w:tcW w:w="780" w:type="dxa"/>
            <w:vAlign w:val="bottom"/>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Africa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Asia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3,575</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3,613</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3,794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3,743</w:t>
            </w:r>
          </w:p>
        </w:tc>
        <w:tc>
          <w:tcPr>
            <w:tcW w:w="780" w:type="dxa"/>
            <w:vAlign w:val="bottom"/>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Australia/Oceania</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1,319</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1,325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1,310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9,394</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9,405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10,211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10,127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5"/>
              </w:rPr>
              <w:t>(thousands of oil-equivalent barrels daily)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4"/>
                <w:szCs w:val="14"/>
                <w:i w:val="1"/>
                <w:iCs w:val="1"/>
                <w:color w:val="auto"/>
              </w:rPr>
              <w:t>(1)</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3,952</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3,833</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3,985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4,053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411"/>
        </w:trPr>
        <w:tc>
          <w:tcPr>
            <w:tcW w:w="6900" w:type="dxa"/>
            <w:vAlign w:val="bottom"/>
            <w:gridSpan w:val="2"/>
          </w:tcPr>
          <w:p>
            <w:pPr>
              <w:spacing w:after="0"/>
              <w:rPr>
                <w:sz w:val="20"/>
                <w:szCs w:val="20"/>
                <w:color w:val="auto"/>
              </w:rPr>
            </w:pPr>
            <w:r>
              <w:rPr>
                <w:rFonts w:ascii="Arial" w:cs="Arial" w:eastAsia="Arial" w:hAnsi="Arial"/>
                <w:sz w:val="18"/>
                <w:szCs w:val="18"/>
                <w:color w:val="auto"/>
              </w:rPr>
              <w:t>Refinery throughput</w:t>
            </w:r>
          </w:p>
        </w:tc>
        <w:tc>
          <w:tcPr>
            <w:tcW w:w="84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4"/>
              </w:rPr>
              <w:t>(thousands of barrels daily)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1,532</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1,588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1,508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1,591</w:t>
            </w:r>
          </w:p>
        </w:tc>
        <w:tc>
          <w:tcPr>
            <w:tcW w:w="78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Canada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353</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392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383</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363</w:t>
            </w: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Europe</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1,317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1,422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1,510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1,417</w:t>
            </w:r>
          </w:p>
        </w:tc>
        <w:tc>
          <w:tcPr>
            <w:tcW w:w="78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Asia Pacific</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598</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706</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690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708</w:t>
            </w:r>
          </w:p>
        </w:tc>
        <w:tc>
          <w:tcPr>
            <w:tcW w:w="78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Other Non-U.S.</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181</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164</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3,981</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4,272</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4,291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4,269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195"/>
        </w:trPr>
        <w:tc>
          <w:tcPr>
            <w:tcW w:w="6900" w:type="dxa"/>
            <w:vAlign w:val="bottom"/>
            <w:gridSpan w:val="2"/>
          </w:tcPr>
          <w:p>
            <w:pPr>
              <w:spacing w:after="0" w:line="195" w:lineRule="exact"/>
              <w:rPr>
                <w:sz w:val="20"/>
                <w:szCs w:val="20"/>
                <w:color w:val="auto"/>
              </w:rPr>
            </w:pPr>
            <w:r>
              <w:rPr>
                <w:rFonts w:ascii="Arial" w:cs="Arial" w:eastAsia="Arial" w:hAnsi="Arial"/>
                <w:sz w:val="18"/>
                <w:szCs w:val="18"/>
                <w:color w:val="auto"/>
              </w:rPr>
              <w:t xml:space="preserve">Petroleum product sales </w:t>
            </w:r>
            <w:r>
              <w:rPr>
                <w:rFonts w:ascii="Arial" w:cs="Arial" w:eastAsia="Arial" w:hAnsi="Arial"/>
                <w:sz w:val="14"/>
                <w:szCs w:val="14"/>
                <w:i w:val="1"/>
                <w:iCs w:val="1"/>
                <w:color w:val="auto"/>
              </w:rPr>
              <w:t>(2)</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2,292</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2,210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2,190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2,250</w:t>
            </w:r>
          </w:p>
        </w:tc>
        <w:tc>
          <w:tcPr>
            <w:tcW w:w="780" w:type="dxa"/>
            <w:vAlign w:val="bottom"/>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Canada</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476</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510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499</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491</w:t>
            </w:r>
          </w:p>
        </w:tc>
        <w:tc>
          <w:tcPr>
            <w:tcW w:w="7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Europe</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1,479</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1,556</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1,597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1,519</w:t>
            </w:r>
          </w:p>
        </w:tc>
        <w:tc>
          <w:tcPr>
            <w:tcW w:w="78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Asia Pacific and other Eastern Hemisphere</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1,156</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1,200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1,164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1,140</w:t>
            </w:r>
          </w:p>
        </w:tc>
        <w:tc>
          <w:tcPr>
            <w:tcW w:w="780" w:type="dxa"/>
            <w:vAlign w:val="bottom"/>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Latin America</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5,452</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5,512</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5,530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5,482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80" w:type="dxa"/>
            <w:vAlign w:val="bottom"/>
          </w:tcPr>
          <w:p>
            <w:pPr>
              <w:ind w:left="200"/>
              <w:spacing w:after="0" w:line="195" w:lineRule="exact"/>
              <w:rPr>
                <w:sz w:val="20"/>
                <w:szCs w:val="20"/>
                <w:color w:val="auto"/>
              </w:rPr>
            </w:pPr>
            <w:r>
              <w:rPr>
                <w:rFonts w:ascii="Arial" w:cs="Arial" w:eastAsia="Arial" w:hAnsi="Arial"/>
                <w:sz w:val="18"/>
                <w:szCs w:val="18"/>
                <w:color w:val="auto"/>
              </w:rPr>
              <w:t>Gasoline, naphthas</w:t>
            </w:r>
          </w:p>
        </w:tc>
        <w:tc>
          <w:tcPr>
            <w:tcW w:w="8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2,220</w:t>
            </w:r>
          </w:p>
        </w:tc>
        <w:tc>
          <w:tcPr>
            <w:tcW w:w="980" w:type="dxa"/>
            <w:vAlign w:val="bottom"/>
          </w:tcPr>
          <w:p>
            <w:pPr>
              <w:jc w:val="right"/>
              <w:ind w:right="133"/>
              <w:spacing w:after="0" w:line="195" w:lineRule="exact"/>
              <w:rPr>
                <w:sz w:val="20"/>
                <w:szCs w:val="20"/>
                <w:color w:val="auto"/>
              </w:rPr>
            </w:pPr>
            <w:r>
              <w:rPr>
                <w:rFonts w:ascii="Arial" w:cs="Arial" w:eastAsia="Arial" w:hAnsi="Arial"/>
                <w:sz w:val="18"/>
                <w:szCs w:val="18"/>
                <w:color w:val="auto"/>
              </w:rPr>
              <w:t>2,217</w:t>
            </w:r>
          </w:p>
        </w:tc>
        <w:tc>
          <w:tcPr>
            <w:tcW w:w="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2,262</w:t>
            </w:r>
          </w:p>
        </w:tc>
        <w:tc>
          <w:tcPr>
            <w:tcW w:w="9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2,270</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Heating oils, kerosene, diesel oils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1,867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1,840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1,850</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1,772</w:t>
            </w:r>
          </w:p>
        </w:tc>
        <w:tc>
          <w:tcPr>
            <w:tcW w:w="780" w:type="dxa"/>
            <w:vAlign w:val="bottom"/>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Aviation fuels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406</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402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382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Heavy fuels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395</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371</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370</w:t>
            </w:r>
          </w:p>
        </w:tc>
        <w:tc>
          <w:tcPr>
            <w:tcW w:w="7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Specialty petroleum products</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689</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658</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5,452</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5,512</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5,530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5,482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411"/>
        </w:trPr>
        <w:tc>
          <w:tcPr>
            <w:tcW w:w="6900" w:type="dxa"/>
            <w:vAlign w:val="bottom"/>
            <w:gridSpan w:val="2"/>
          </w:tcPr>
          <w:p>
            <w:pPr>
              <w:spacing w:after="0"/>
              <w:rPr>
                <w:sz w:val="20"/>
                <w:szCs w:val="20"/>
                <w:color w:val="auto"/>
              </w:rPr>
            </w:pPr>
            <w:r>
              <w:rPr>
                <w:rFonts w:ascii="Arial" w:cs="Arial" w:eastAsia="Arial" w:hAnsi="Arial"/>
                <w:sz w:val="18"/>
                <w:szCs w:val="18"/>
                <w:color w:val="auto"/>
              </w:rPr>
              <w:t xml:space="preserve">Chemical prime product sales </w:t>
            </w:r>
            <w:r>
              <w:rPr>
                <w:rFonts w:ascii="Arial" w:cs="Arial" w:eastAsia="Arial" w:hAnsi="Arial"/>
                <w:sz w:val="14"/>
                <w:szCs w:val="14"/>
                <w:i w:val="1"/>
                <w:iCs w:val="1"/>
                <w:color w:val="auto"/>
              </w:rPr>
              <w:t>(2)</w:t>
            </w:r>
          </w:p>
        </w:tc>
        <w:tc>
          <w:tcPr>
            <w:tcW w:w="840" w:type="dxa"/>
            <w:vAlign w:val="bottom"/>
          </w:tcPr>
          <w:p>
            <w:pPr>
              <w:spacing w:after="0"/>
              <w:rPr>
                <w:sz w:val="24"/>
                <w:szCs w:val="24"/>
                <w:color w:val="auto"/>
              </w:rPr>
            </w:pPr>
          </w:p>
        </w:tc>
        <w:tc>
          <w:tcPr>
            <w:tcW w:w="2900" w:type="dxa"/>
            <w:vAlign w:val="bottom"/>
            <w:gridSpan w:val="3"/>
          </w:tcPr>
          <w:p>
            <w:pPr>
              <w:jc w:val="center"/>
              <w:spacing w:after="0"/>
              <w:rPr>
                <w:sz w:val="20"/>
                <w:szCs w:val="20"/>
                <w:color w:val="auto"/>
              </w:rPr>
            </w:pPr>
            <w:r>
              <w:rPr>
                <w:rFonts w:ascii="Arial" w:cs="Arial" w:eastAsia="Arial" w:hAnsi="Arial"/>
                <w:sz w:val="14"/>
                <w:szCs w:val="14"/>
                <w:i w:val="1"/>
                <w:iCs w:val="1"/>
                <w:color w:val="auto"/>
                <w:w w:val="93"/>
              </w:rPr>
              <w:t>(thousands of metric tons)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9,127</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9,824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9,307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9,576</w:t>
            </w:r>
          </w:p>
        </w:tc>
        <w:tc>
          <w:tcPr>
            <w:tcW w:w="780" w:type="dxa"/>
            <w:vAlign w:val="bottom"/>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Non-U.S.</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17,389</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17,045</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16,113</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15,349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Arial" w:cs="Arial" w:eastAsia="Arial" w:hAnsi="Arial"/>
                <w:sz w:val="18"/>
                <w:szCs w:val="18"/>
                <w:color w:val="auto"/>
              </w:rPr>
              <w:t>Worldwide</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26,516</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26,869</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25,420</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24,925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Operating statistics include 100 percent of operations of majority-owned subsidiaries; for other companies, crude production, gas, petroleum product and chemical prime product sales include ExxonMobil’s ownership percentage and refining throughput includes quantities processed for ExxonMobil. Net production excludes royalties and quantities due others when produced, whether payment is made in kind or cash.</w:t>
      </w:r>
    </w:p>
    <w:p>
      <w:pPr>
        <w:spacing w:after="0" w:line="46"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Natural gas is converted to an oil-equivalent basis at six million cubic feet per one thousand barrels.</w:t>
      </w:r>
    </w:p>
    <w:p>
      <w:pPr>
        <w:spacing w:after="0" w:line="63" w:lineRule="exact"/>
        <w:rPr>
          <w:rFonts w:ascii="Arial" w:cs="Arial" w:eastAsia="Arial" w:hAnsi="Arial"/>
          <w:sz w:val="18"/>
          <w:szCs w:val="18"/>
          <w:i w:val="1"/>
          <w:iCs w:val="1"/>
          <w:color w:val="auto"/>
        </w:rPr>
      </w:pPr>
    </w:p>
    <w:p>
      <w:pPr>
        <w:ind w:left="540" w:hanging="532"/>
        <w:spacing w:after="0"/>
        <w:tabs>
          <w:tab w:leader="none" w:pos="54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Petroleum product and chemical prime product sales data reported net of purchases/sales contracts with the same counterparty.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7" w:name="page128"/>
    <w:bookmarkEnd w:id="127"/>
    <w:tbl>
      <w:tblPr>
        <w:tblLayout w:type="fixed"/>
        <w:tblInd w:w="1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40" w:type="dxa"/>
            <w:vAlign w:val="bottom"/>
          </w:tcPr>
          <w:p>
            <w:pPr>
              <w:ind w:left="3840"/>
              <w:spacing w:after="0"/>
              <w:rPr>
                <w:sz w:val="20"/>
                <w:szCs w:val="20"/>
                <w:color w:val="auto"/>
              </w:rPr>
            </w:pPr>
            <w:r>
              <w:rPr>
                <w:rFonts w:ascii="Arial" w:cs="Arial" w:eastAsia="Arial" w:hAnsi="Arial"/>
                <w:sz w:val="18"/>
                <w:szCs w:val="18"/>
                <w:b w:val="1"/>
                <w:bCs w:val="1"/>
                <w:color w:val="auto"/>
              </w:rPr>
              <w:t>INDEX TO EXHIBITS</w:t>
            </w:r>
          </w:p>
        </w:tc>
      </w:tr>
      <w:tr>
        <w:trPr>
          <w:trHeight w:val="234"/>
        </w:trPr>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Exhibit</w:t>
            </w:r>
          </w:p>
        </w:tc>
        <w:tc>
          <w:tcPr>
            <w:tcW w:w="104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gridSpan w:val="6"/>
          </w:tcPr>
          <w:p>
            <w:pPr>
              <w:spacing w:after="0"/>
              <w:rPr>
                <w:rFonts w:ascii="Arial" w:cs="Arial" w:eastAsia="Arial" w:hAnsi="Arial"/>
                <w:sz w:val="18"/>
                <w:szCs w:val="18"/>
                <w:color w:val="0000FF"/>
              </w:rPr>
            </w:pPr>
            <w:hyperlink r:id="rId199">
              <w:r>
                <w:rPr>
                  <w:rFonts w:ascii="Arial" w:cs="Arial" w:eastAsia="Arial" w:hAnsi="Arial"/>
                  <w:sz w:val="18"/>
                  <w:szCs w:val="18"/>
                  <w:color w:val="0000FF"/>
                </w:rPr>
                <w:t>3(i)</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5"/>
              </w:rPr>
              <w:t>Restated Certificate of Incorporation, as restated November 30, 1999, and as further amended effective June 20, 2001 (incorporated by</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reference to Exhibit 3(i) to the Registrant’s Annual Report on Form 10-K for 2015).</w:t>
            </w:r>
          </w:p>
        </w:tc>
      </w:tr>
      <w:tr>
        <w:trPr>
          <w:trHeight w:val="257"/>
        </w:trPr>
        <w:tc>
          <w:tcPr>
            <w:tcW w:w="980" w:type="dxa"/>
            <w:vAlign w:val="bottom"/>
            <w:gridSpan w:val="6"/>
          </w:tcPr>
          <w:p>
            <w:pPr>
              <w:spacing w:after="0"/>
              <w:rPr>
                <w:rFonts w:ascii="Arial" w:cs="Arial" w:eastAsia="Arial" w:hAnsi="Arial"/>
                <w:sz w:val="18"/>
                <w:szCs w:val="18"/>
                <w:color w:val="0000FF"/>
              </w:rPr>
            </w:pPr>
            <w:hyperlink r:id="rId200">
              <w:r>
                <w:rPr>
                  <w:rFonts w:ascii="Arial" w:cs="Arial" w:eastAsia="Arial" w:hAnsi="Arial"/>
                  <w:sz w:val="18"/>
                  <w:szCs w:val="18"/>
                  <w:color w:val="0000FF"/>
                </w:rPr>
                <w:t>3(ii)</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7"/>
              </w:rPr>
              <w:t>By-Laws, as revised effective November 1, 2017 (incorporated by reference to Exhibit 3(ii) to the Registrant’s Report on Form 8-K of</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October 31, 2017).</w:t>
            </w:r>
          </w:p>
        </w:tc>
      </w:tr>
      <w:tr>
        <w:trPr>
          <w:trHeight w:val="257"/>
        </w:trPr>
        <w:tc>
          <w:tcPr>
            <w:tcW w:w="980" w:type="dxa"/>
            <w:vAlign w:val="bottom"/>
            <w:gridSpan w:val="6"/>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4(vi)</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rPr>
              <w:t>Description of ExxonMobil Capital Stock.</w:t>
            </w:r>
          </w:p>
        </w:tc>
      </w:tr>
      <w:tr>
        <w:trPr>
          <w:trHeight w:val="20"/>
        </w:trPr>
        <w:tc>
          <w:tcPr>
            <w:tcW w:w="3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77"/>
        </w:trPr>
        <w:tc>
          <w:tcPr>
            <w:tcW w:w="980" w:type="dxa"/>
            <w:vAlign w:val="bottom"/>
            <w:gridSpan w:val="6"/>
          </w:tcPr>
          <w:p>
            <w:pPr>
              <w:spacing w:after="0"/>
              <w:rPr>
                <w:rFonts w:ascii="Arial" w:cs="Arial" w:eastAsia="Arial" w:hAnsi="Arial"/>
                <w:sz w:val="18"/>
                <w:szCs w:val="18"/>
                <w:color w:val="0000FF"/>
              </w:rPr>
            </w:pPr>
            <w:hyperlink r:id="rId201">
              <w:r>
                <w:rPr>
                  <w:rFonts w:ascii="Arial" w:cs="Arial" w:eastAsia="Arial" w:hAnsi="Arial"/>
                  <w:sz w:val="18"/>
                  <w:szCs w:val="18"/>
                  <w:color w:val="0000FF"/>
                </w:rPr>
                <w:t>10(iii)(a.1)</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4"/>
              </w:rPr>
              <w:t>2003 Incentive Program, as approved by shareholders May 28, 2003 (incorporated by reference to Exhibit 10(iii)(a.1) to the Registrant’s</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Annual Report on Form 10-K for 2017).*</w:t>
            </w:r>
          </w:p>
        </w:tc>
      </w:tr>
      <w:tr>
        <w:trPr>
          <w:trHeight w:val="257"/>
        </w:trPr>
        <w:tc>
          <w:tcPr>
            <w:tcW w:w="980" w:type="dxa"/>
            <w:vAlign w:val="bottom"/>
            <w:gridSpan w:val="6"/>
          </w:tcPr>
          <w:p>
            <w:pPr>
              <w:spacing w:after="0"/>
              <w:rPr>
                <w:rFonts w:ascii="Arial" w:cs="Arial" w:eastAsia="Arial" w:hAnsi="Arial"/>
                <w:sz w:val="18"/>
                <w:szCs w:val="18"/>
                <w:color w:val="0000FF"/>
              </w:rPr>
            </w:pPr>
            <w:hyperlink r:id="rId202">
              <w:r>
                <w:rPr>
                  <w:rFonts w:ascii="Arial" w:cs="Arial" w:eastAsia="Arial" w:hAnsi="Arial"/>
                  <w:sz w:val="18"/>
                  <w:szCs w:val="18"/>
                  <w:color w:val="0000FF"/>
                </w:rPr>
                <w:t>10(iii)(a.2)</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Extended Provisions for Restricted Stock Agreements (incorporated by reference to Exhibit 10(iii)(a.2) to the Registrant’s Annual Report on</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Form 10-K for 2016).*</w:t>
            </w:r>
          </w:p>
        </w:tc>
      </w:tr>
      <w:tr>
        <w:trPr>
          <w:trHeight w:val="257"/>
        </w:trPr>
        <w:tc>
          <w:tcPr>
            <w:tcW w:w="980" w:type="dxa"/>
            <w:vAlign w:val="bottom"/>
            <w:gridSpan w:val="6"/>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10(iii)(a.3)</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rPr>
              <w:t>Extended Provisions for Restricted Stock Unit Agreements – Settlement in Shares.*</w:t>
            </w:r>
          </w:p>
        </w:tc>
      </w:tr>
      <w:tr>
        <w:trPr>
          <w:trHeight w:val="20"/>
        </w:trPr>
        <w:tc>
          <w:tcPr>
            <w:tcW w:w="660" w:type="dxa"/>
            <w:vAlign w:val="bottom"/>
            <w:tcBorders>
              <w:left w:val="single" w:sz="8" w:color="0000EE"/>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77"/>
        </w:trPr>
        <w:tc>
          <w:tcPr>
            <w:tcW w:w="980" w:type="dxa"/>
            <w:vAlign w:val="bottom"/>
            <w:gridSpan w:val="6"/>
          </w:tcPr>
          <w:p>
            <w:pPr>
              <w:spacing w:after="0"/>
              <w:rPr>
                <w:rFonts w:ascii="Arial" w:cs="Arial" w:eastAsia="Arial" w:hAnsi="Arial"/>
                <w:sz w:val="18"/>
                <w:szCs w:val="18"/>
                <w:color w:val="0000FF"/>
              </w:rPr>
            </w:pPr>
            <w:hyperlink r:id="rId203">
              <w:r>
                <w:rPr>
                  <w:rFonts w:ascii="Arial" w:cs="Arial" w:eastAsia="Arial" w:hAnsi="Arial"/>
                  <w:sz w:val="18"/>
                  <w:szCs w:val="18"/>
                  <w:color w:val="0000FF"/>
                </w:rPr>
                <w:t>10(iii)(b.1)</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1"/>
              </w:rPr>
              <w:t>Short Term Incentive Program, as amended (incorporated by reference to Exhibit 10(iii)(b.1) to the Registrant’s Annual Report on Form 10-K</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for 2018).*</w:t>
            </w:r>
          </w:p>
        </w:tc>
      </w:tr>
      <w:tr>
        <w:trPr>
          <w:trHeight w:val="257"/>
        </w:trPr>
        <w:tc>
          <w:tcPr>
            <w:tcW w:w="980" w:type="dxa"/>
            <w:vAlign w:val="bottom"/>
            <w:gridSpan w:val="6"/>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10(iii)(b.2)</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rPr>
              <w:t>Earnings Bonus Unit instrument.*</w:t>
            </w:r>
          </w:p>
        </w:tc>
      </w:tr>
      <w:tr>
        <w:trPr>
          <w:trHeight w:val="20"/>
        </w:trPr>
        <w:tc>
          <w:tcPr>
            <w:tcW w:w="660" w:type="dxa"/>
            <w:vAlign w:val="bottom"/>
            <w:tcBorders>
              <w:left w:val="single" w:sz="8" w:color="0000EE"/>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77"/>
        </w:trPr>
        <w:tc>
          <w:tcPr>
            <w:tcW w:w="980" w:type="dxa"/>
            <w:vAlign w:val="bottom"/>
            <w:gridSpan w:val="6"/>
          </w:tcPr>
          <w:p>
            <w:pPr>
              <w:spacing w:after="0"/>
              <w:rPr>
                <w:rFonts w:ascii="Arial" w:cs="Arial" w:eastAsia="Arial" w:hAnsi="Arial"/>
                <w:sz w:val="18"/>
                <w:szCs w:val="18"/>
                <w:color w:val="0000FF"/>
              </w:rPr>
            </w:pPr>
            <w:hyperlink r:id="rId204">
              <w:r>
                <w:rPr>
                  <w:rFonts w:ascii="Arial" w:cs="Arial" w:eastAsia="Arial" w:hAnsi="Arial"/>
                  <w:sz w:val="18"/>
                  <w:szCs w:val="18"/>
                  <w:color w:val="0000FF"/>
                </w:rPr>
                <w:t>10(iii)(c.1)</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ExxonMobil Supplemental Savings Plan (incorporated by reference to Exhibit 10(iii)(c.1) to the Registrant’s Quarterly Report on Form 10-Q</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for the quarter ended June 30, 2017).*</w:t>
            </w:r>
          </w:p>
        </w:tc>
      </w:tr>
      <w:tr>
        <w:trPr>
          <w:trHeight w:val="257"/>
        </w:trPr>
        <w:tc>
          <w:tcPr>
            <w:tcW w:w="980" w:type="dxa"/>
            <w:vAlign w:val="bottom"/>
            <w:gridSpan w:val="6"/>
          </w:tcPr>
          <w:p>
            <w:pPr>
              <w:spacing w:after="0"/>
              <w:rPr>
                <w:rFonts w:ascii="Arial" w:cs="Arial" w:eastAsia="Arial" w:hAnsi="Arial"/>
                <w:sz w:val="18"/>
                <w:szCs w:val="18"/>
                <w:color w:val="0000FF"/>
              </w:rPr>
            </w:pPr>
            <w:hyperlink r:id="rId205">
              <w:r>
                <w:rPr>
                  <w:rFonts w:ascii="Arial" w:cs="Arial" w:eastAsia="Arial" w:hAnsi="Arial"/>
                  <w:sz w:val="18"/>
                  <w:szCs w:val="18"/>
                  <w:color w:val="0000FF"/>
                </w:rPr>
                <w:t>10(iii)(c.2)</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ExxonMobil Supplemental Pension Plan (incorporated by reference to Exhibit 10(iii)(c.2) to the Registrant’s Annual Report on Form 10-K for</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2014).*</w:t>
            </w:r>
          </w:p>
        </w:tc>
      </w:tr>
      <w:tr>
        <w:trPr>
          <w:trHeight w:val="257"/>
        </w:trPr>
        <w:tc>
          <w:tcPr>
            <w:tcW w:w="980" w:type="dxa"/>
            <w:vAlign w:val="bottom"/>
            <w:gridSpan w:val="6"/>
          </w:tcPr>
          <w:p>
            <w:pPr>
              <w:spacing w:after="0"/>
              <w:rPr>
                <w:rFonts w:ascii="Arial" w:cs="Arial" w:eastAsia="Arial" w:hAnsi="Arial"/>
                <w:sz w:val="18"/>
                <w:szCs w:val="18"/>
                <w:color w:val="0000FF"/>
              </w:rPr>
            </w:pPr>
            <w:hyperlink r:id="rId206">
              <w:r>
                <w:rPr>
                  <w:rFonts w:ascii="Arial" w:cs="Arial" w:eastAsia="Arial" w:hAnsi="Arial"/>
                  <w:sz w:val="18"/>
                  <w:szCs w:val="18"/>
                  <w:color w:val="0000FF"/>
                </w:rPr>
                <w:t>10(iii)(c.3)</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ExxonMobil Additional Payments Plan (incorporated by reference to Exhibit 10(iii)(c.3) to the Registrant’s Annual Report on Form 10-K for</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2018).*</w:t>
            </w:r>
          </w:p>
        </w:tc>
      </w:tr>
      <w:tr>
        <w:trPr>
          <w:trHeight w:val="257"/>
        </w:trPr>
        <w:tc>
          <w:tcPr>
            <w:tcW w:w="980" w:type="dxa"/>
            <w:vAlign w:val="bottom"/>
            <w:gridSpan w:val="6"/>
          </w:tcPr>
          <w:p>
            <w:pPr>
              <w:spacing w:after="0"/>
              <w:rPr>
                <w:rFonts w:ascii="Arial" w:cs="Arial" w:eastAsia="Arial" w:hAnsi="Arial"/>
                <w:sz w:val="18"/>
                <w:szCs w:val="18"/>
                <w:color w:val="0000FF"/>
              </w:rPr>
            </w:pPr>
            <w:hyperlink r:id="rId207">
              <w:r>
                <w:rPr>
                  <w:rFonts w:ascii="Arial" w:cs="Arial" w:eastAsia="Arial" w:hAnsi="Arial"/>
                  <w:sz w:val="18"/>
                  <w:szCs w:val="18"/>
                  <w:color w:val="0000FF"/>
                </w:rPr>
                <w:t>10(iii)(d)</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6"/>
              </w:rPr>
              <w:t>ExxonMobil Executive Life Insurance and Death Benefit Plan (incorporated by reference to Exhibit 10(iii)(d) to the Registrant’s Annual</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Report on Form 10-K for 2016).*</w:t>
            </w:r>
          </w:p>
        </w:tc>
      </w:tr>
      <w:tr>
        <w:trPr>
          <w:trHeight w:val="257"/>
        </w:trPr>
        <w:tc>
          <w:tcPr>
            <w:tcW w:w="980" w:type="dxa"/>
            <w:vAlign w:val="bottom"/>
            <w:gridSpan w:val="6"/>
          </w:tcPr>
          <w:p>
            <w:pPr>
              <w:spacing w:after="0"/>
              <w:rPr>
                <w:rFonts w:ascii="Arial" w:cs="Arial" w:eastAsia="Arial" w:hAnsi="Arial"/>
                <w:sz w:val="18"/>
                <w:szCs w:val="18"/>
                <w:color w:val="0000FF"/>
              </w:rPr>
            </w:pPr>
            <w:hyperlink r:id="rId208">
              <w:r>
                <w:rPr>
                  <w:rFonts w:ascii="Arial" w:cs="Arial" w:eastAsia="Arial" w:hAnsi="Arial"/>
                  <w:sz w:val="18"/>
                  <w:szCs w:val="18"/>
                  <w:color w:val="0000FF"/>
                </w:rPr>
                <w:t>10(iii)(f.1)</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4"/>
              </w:rPr>
              <w:t>2004 Non-Employee Director Restricted Stock Plan (incorporated by reference to Exhibit 10(iii)(f.1) to the Registrant’s Annual Report on</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Form 10-K for 2018).*</w:t>
            </w:r>
          </w:p>
        </w:tc>
      </w:tr>
      <w:tr>
        <w:trPr>
          <w:trHeight w:val="257"/>
        </w:trPr>
        <w:tc>
          <w:tcPr>
            <w:tcW w:w="980" w:type="dxa"/>
            <w:vAlign w:val="bottom"/>
            <w:gridSpan w:val="6"/>
          </w:tcPr>
          <w:p>
            <w:pPr>
              <w:spacing w:after="0"/>
              <w:rPr>
                <w:rFonts w:ascii="Arial" w:cs="Arial" w:eastAsia="Arial" w:hAnsi="Arial"/>
                <w:sz w:val="18"/>
                <w:szCs w:val="18"/>
                <w:color w:val="0000FF"/>
              </w:rPr>
            </w:pPr>
            <w:hyperlink r:id="rId209">
              <w:r>
                <w:rPr>
                  <w:rFonts w:ascii="Arial" w:cs="Arial" w:eastAsia="Arial" w:hAnsi="Arial"/>
                  <w:sz w:val="18"/>
                  <w:szCs w:val="18"/>
                  <w:color w:val="0000FF"/>
                </w:rPr>
                <w:t>10(iii)(f.2)</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2"/>
              </w:rPr>
              <w:t>Standing resolution for non-employee director restricted grants dated September 26, 2007 (incorporated by reference to Exhibit 10(iii)(f.2) to</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the Registrant’s Annual Report on Form 10-K for 2016).*</w:t>
            </w:r>
          </w:p>
        </w:tc>
      </w:tr>
      <w:tr>
        <w:trPr>
          <w:trHeight w:val="257"/>
        </w:trPr>
        <w:tc>
          <w:tcPr>
            <w:tcW w:w="980" w:type="dxa"/>
            <w:vAlign w:val="bottom"/>
            <w:gridSpan w:val="6"/>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10(iii)(f.3)</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rPr>
              <w:t>Form of restricted stock grant letter for non-employee directors.*</w:t>
            </w:r>
          </w:p>
        </w:tc>
      </w:tr>
      <w:tr>
        <w:trPr>
          <w:trHeight w:val="20"/>
        </w:trPr>
        <w:tc>
          <w:tcPr>
            <w:tcW w:w="800" w:type="dxa"/>
            <w:vAlign w:val="bottom"/>
            <w:tcBorders>
              <w:left w:val="single" w:sz="8" w:color="0000EE"/>
              <w:right w:val="single" w:sz="8" w:color="0000EE"/>
            </w:tcBorders>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77"/>
        </w:trPr>
        <w:tc>
          <w:tcPr>
            <w:tcW w:w="980" w:type="dxa"/>
            <w:vAlign w:val="bottom"/>
            <w:gridSpan w:val="6"/>
          </w:tcPr>
          <w:p>
            <w:pPr>
              <w:spacing w:after="0"/>
              <w:rPr>
                <w:rFonts w:ascii="Arial" w:cs="Arial" w:eastAsia="Arial" w:hAnsi="Arial"/>
                <w:sz w:val="18"/>
                <w:szCs w:val="18"/>
                <w:color w:val="0000FF"/>
              </w:rPr>
            </w:pPr>
            <w:hyperlink r:id="rId210">
              <w:r>
                <w:rPr>
                  <w:rFonts w:ascii="Arial" w:cs="Arial" w:eastAsia="Arial" w:hAnsi="Arial"/>
                  <w:sz w:val="18"/>
                  <w:szCs w:val="18"/>
                  <w:color w:val="0000FF"/>
                </w:rPr>
                <w:t>10(iii)(f.4)</w:t>
              </w:r>
            </w:hyperlink>
          </w:p>
        </w:tc>
        <w:tc>
          <w:tcPr>
            <w:tcW w:w="10440" w:type="dxa"/>
            <w:vAlign w:val="bottom"/>
          </w:tcPr>
          <w:p>
            <w:pPr>
              <w:ind w:left="180"/>
              <w:spacing w:after="0"/>
              <w:rPr>
                <w:sz w:val="20"/>
                <w:szCs w:val="20"/>
                <w:color w:val="auto"/>
              </w:rPr>
            </w:pPr>
            <w:r>
              <w:rPr>
                <w:rFonts w:ascii="Arial" w:cs="Arial" w:eastAsia="Arial" w:hAnsi="Arial"/>
                <w:sz w:val="18"/>
                <w:szCs w:val="18"/>
                <w:color w:val="auto"/>
                <w:w w:val="96"/>
              </w:rPr>
              <w:t>Standing resolution for non-employee director cash fees dated October 26, 2011 (incorporated by reference to Exhibit 10(iii)(f.4) to the</w:t>
            </w:r>
          </w:p>
        </w:tc>
      </w:tr>
      <w:tr>
        <w:trPr>
          <w:trHeight w:val="237"/>
        </w:trPr>
        <w:tc>
          <w:tcPr>
            <w:tcW w:w="2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Registrant’s Annual Report on Form 10-K for 2015).*</w:t>
            </w:r>
          </w:p>
        </w:tc>
      </w:tr>
    </w:tbl>
    <w:p>
      <w:pPr>
        <w:spacing w:after="0" w:line="67" w:lineRule="exact"/>
        <w:rPr>
          <w:sz w:val="20"/>
          <w:szCs w:val="20"/>
          <w:color w:val="auto"/>
        </w:rPr>
      </w:pPr>
    </w:p>
    <w:p>
      <w:pPr>
        <w:ind w:left="1160" w:hanging="1152"/>
        <w:spacing w:after="0"/>
        <w:tabs>
          <w:tab w:leader="none" w:pos="1160" w:val="left"/>
        </w:tabs>
        <w:numPr>
          <w:ilvl w:val="0"/>
          <w:numId w:val="38"/>
        </w:numPr>
        <w:rPr>
          <w:rFonts w:ascii="Arial" w:cs="Arial" w:eastAsia="Arial" w:hAnsi="Arial"/>
          <w:sz w:val="16"/>
          <w:szCs w:val="16"/>
          <w:u w:val="single" w:color="auto"/>
          <w:color w:val="0000FF"/>
        </w:rPr>
      </w:pPr>
      <w:r>
        <w:rPr>
          <w:rFonts w:ascii="Arial" w:cs="Arial" w:eastAsia="Arial" w:hAnsi="Arial"/>
          <w:sz w:val="16"/>
          <w:szCs w:val="16"/>
          <w:color w:val="auto"/>
        </w:rPr>
        <w:t>Code of Ethics and Business Conduct (incorporated by reference to Exhibit 14 to the Registrant’s Annual Report on Form 10-K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143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93" w:lineRule="exact"/>
        <w:rPr>
          <w:sz w:val="20"/>
          <w:szCs w:val="20"/>
          <w:color w:val="auto"/>
        </w:rPr>
      </w:pPr>
    </w:p>
    <w:p>
      <w:pPr>
        <w:ind w:left="1160" w:hanging="1152"/>
        <w:spacing w:after="0"/>
        <w:tabs>
          <w:tab w:leader="none" w:pos="1160" w:val="left"/>
        </w:tabs>
        <w:numPr>
          <w:ilvl w:val="0"/>
          <w:numId w:val="39"/>
        </w:numPr>
        <w:rPr>
          <w:rFonts w:ascii="Arial" w:cs="Arial" w:eastAsia="Arial" w:hAnsi="Arial"/>
          <w:sz w:val="18"/>
          <w:szCs w:val="18"/>
          <w:u w:val="single" w:color="auto"/>
          <w:color w:val="0000FF"/>
        </w:rPr>
      </w:pPr>
      <w:r>
        <w:rPr>
          <w:rFonts w:ascii="Arial" w:cs="Arial" w:eastAsia="Arial" w:hAnsi="Arial"/>
          <w:sz w:val="18"/>
          <w:szCs w:val="18"/>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0" w:lineRule="exact"/>
        <w:rPr>
          <w:sz w:val="20"/>
          <w:szCs w:val="20"/>
          <w:color w:val="auto"/>
        </w:rPr>
      </w:pPr>
    </w:p>
    <w:p>
      <w:pPr>
        <w:ind w:left="1160" w:hanging="1152"/>
        <w:spacing w:after="0"/>
        <w:tabs>
          <w:tab w:leader="none" w:pos="1160" w:val="left"/>
        </w:tabs>
        <w:numPr>
          <w:ilvl w:val="0"/>
          <w:numId w:val="40"/>
        </w:numPr>
        <w:rPr>
          <w:rFonts w:ascii="Arial" w:cs="Arial" w:eastAsia="Arial" w:hAnsi="Arial"/>
          <w:sz w:val="18"/>
          <w:szCs w:val="18"/>
          <w:u w:val="single" w:color="auto"/>
          <w:color w:val="0000FF"/>
        </w:rPr>
      </w:pPr>
      <w:r>
        <w:rPr>
          <w:rFonts w:ascii="Arial" w:cs="Arial" w:eastAsia="Arial" w:hAnsi="Arial"/>
          <w:sz w:val="18"/>
          <w:szCs w:val="18"/>
          <w:color w:val="auto"/>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3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0" w:type="dxa"/>
            <w:vAlign w:val="bottom"/>
          </w:tcPr>
          <w:p>
            <w:pPr>
              <w:spacing w:after="0"/>
              <w:rPr>
                <w:rFonts w:ascii="Arial" w:cs="Arial" w:eastAsia="Arial" w:hAnsi="Arial"/>
                <w:sz w:val="18"/>
                <w:szCs w:val="18"/>
                <w:color w:val="0000FF"/>
                <w:w w:val="79"/>
              </w:rPr>
            </w:pPr>
            <w:hyperlink w:anchor="page143">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40" w:type="dxa"/>
            <w:vAlign w:val="bottom"/>
          </w:tcPr>
          <w:p>
            <w:pPr>
              <w:spacing w:after="0"/>
              <w:rPr>
                <w:sz w:val="18"/>
                <w:szCs w:val="18"/>
                <w:color w:val="auto"/>
              </w:rPr>
            </w:pPr>
          </w:p>
        </w:tc>
        <w:tc>
          <w:tcPr>
            <w:tcW w:w="7560" w:type="dxa"/>
            <w:vAlign w:val="bottom"/>
            <w:gridSpan w:val="2"/>
          </w:tcPr>
          <w:p>
            <w:pPr>
              <w:ind w:left="200"/>
              <w:spacing w:after="0"/>
              <w:rPr>
                <w:sz w:val="20"/>
                <w:szCs w:val="20"/>
                <w:color w:val="auto"/>
              </w:rPr>
            </w:pPr>
            <w:r>
              <w:rPr>
                <w:rFonts w:ascii="Arial" w:cs="Arial" w:eastAsia="Arial" w:hAnsi="Arial"/>
                <w:sz w:val="18"/>
                <w:szCs w:val="18"/>
                <w:color w:val="auto"/>
                <w:w w:val="98"/>
              </w:rPr>
              <w:t>Certification (pursuant to Securities Exchange Act Rule 13a-14(a)) by Chief Executive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277"/>
        </w:trPr>
        <w:tc>
          <w:tcPr>
            <w:tcW w:w="320" w:type="dxa"/>
            <w:vAlign w:val="bottom"/>
          </w:tcPr>
          <w:p>
            <w:pPr>
              <w:spacing w:after="0"/>
              <w:rPr>
                <w:rFonts w:ascii="Arial" w:cs="Arial" w:eastAsia="Arial" w:hAnsi="Arial"/>
                <w:sz w:val="18"/>
                <w:szCs w:val="18"/>
                <w:color w:val="0000FF"/>
                <w:w w:val="79"/>
              </w:rPr>
            </w:pPr>
            <w:hyperlink w:anchor="page14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40" w:type="dxa"/>
            <w:vAlign w:val="bottom"/>
          </w:tcPr>
          <w:p>
            <w:pPr>
              <w:spacing w:after="0"/>
              <w:rPr>
                <w:sz w:val="24"/>
                <w:szCs w:val="24"/>
                <w:color w:val="auto"/>
              </w:rPr>
            </w:pPr>
          </w:p>
        </w:tc>
        <w:tc>
          <w:tcPr>
            <w:tcW w:w="7560" w:type="dxa"/>
            <w:vAlign w:val="bottom"/>
            <w:gridSpan w:val="2"/>
          </w:tcPr>
          <w:p>
            <w:pPr>
              <w:ind w:left="200"/>
              <w:spacing w:after="0"/>
              <w:rPr>
                <w:sz w:val="20"/>
                <w:szCs w:val="20"/>
                <w:color w:val="auto"/>
              </w:rPr>
            </w:pPr>
            <w:r>
              <w:rPr>
                <w:rFonts w:ascii="Arial" w:cs="Arial" w:eastAsia="Arial" w:hAnsi="Arial"/>
                <w:sz w:val="18"/>
                <w:szCs w:val="18"/>
                <w:color w:val="auto"/>
                <w:w w:val="95"/>
              </w:rPr>
              <w:t>Certification (pursuant to Securities Exchange Act Rule 13a-14(a)) by Principal Financial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277"/>
        </w:trPr>
        <w:tc>
          <w:tcPr>
            <w:tcW w:w="320" w:type="dxa"/>
            <w:vAlign w:val="bottom"/>
          </w:tcPr>
          <w:p>
            <w:pPr>
              <w:spacing w:after="0"/>
              <w:rPr>
                <w:rFonts w:ascii="Arial" w:cs="Arial" w:eastAsia="Arial" w:hAnsi="Arial"/>
                <w:sz w:val="18"/>
                <w:szCs w:val="18"/>
                <w:color w:val="0000FF"/>
                <w:w w:val="79"/>
              </w:rPr>
            </w:pPr>
            <w:hyperlink w:anchor="page14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3</w:t>
              </w:r>
            </w:hyperlink>
          </w:p>
        </w:tc>
        <w:tc>
          <w:tcPr>
            <w:tcW w:w="640" w:type="dxa"/>
            <w:vAlign w:val="bottom"/>
          </w:tcPr>
          <w:p>
            <w:pPr>
              <w:spacing w:after="0"/>
              <w:rPr>
                <w:sz w:val="24"/>
                <w:szCs w:val="24"/>
                <w:color w:val="auto"/>
              </w:rPr>
            </w:pPr>
          </w:p>
        </w:tc>
        <w:tc>
          <w:tcPr>
            <w:tcW w:w="7560" w:type="dxa"/>
            <w:vAlign w:val="bottom"/>
            <w:gridSpan w:val="2"/>
          </w:tcPr>
          <w:p>
            <w:pPr>
              <w:ind w:left="200"/>
              <w:spacing w:after="0"/>
              <w:rPr>
                <w:sz w:val="20"/>
                <w:szCs w:val="20"/>
                <w:color w:val="auto"/>
              </w:rPr>
            </w:pPr>
            <w:r>
              <w:rPr>
                <w:rFonts w:ascii="Arial" w:cs="Arial" w:eastAsia="Arial" w:hAnsi="Arial"/>
                <w:sz w:val="18"/>
                <w:szCs w:val="18"/>
                <w:color w:val="auto"/>
                <w:w w:val="93"/>
              </w:rPr>
              <w:t>Certification (pursuant to Securities Exchange Act Rule 13a-14(a)) by Principal Accounting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77"/>
        </w:trPr>
        <w:tc>
          <w:tcPr>
            <w:tcW w:w="320" w:type="dxa"/>
            <w:vAlign w:val="bottom"/>
          </w:tcPr>
          <w:p>
            <w:pPr>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4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w w:val="89"/>
              </w:rPr>
              <w:t>Section 1350</w:t>
            </w:r>
          </w:p>
        </w:tc>
        <w:tc>
          <w:tcPr>
            <w:tcW w:w="6400" w:type="dxa"/>
            <w:vAlign w:val="bottom"/>
          </w:tcPr>
          <w:p>
            <w:pPr>
              <w:ind w:left="20"/>
              <w:spacing w:after="0"/>
              <w:rPr>
                <w:sz w:val="20"/>
                <w:szCs w:val="20"/>
                <w:color w:val="auto"/>
              </w:rPr>
            </w:pPr>
            <w:r>
              <w:rPr>
                <w:rFonts w:ascii="Arial" w:cs="Arial" w:eastAsia="Arial" w:hAnsi="Arial"/>
                <w:sz w:val="18"/>
                <w:szCs w:val="18"/>
                <w:color w:val="auto"/>
                <w:w w:val="97"/>
              </w:rPr>
              <w:t>Certification (pursuant to Sarbanes-Oxley Section 906) by Chief Executive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77"/>
        </w:trPr>
        <w:tc>
          <w:tcPr>
            <w:tcW w:w="320" w:type="dxa"/>
            <w:vAlign w:val="bottom"/>
          </w:tcPr>
          <w:p>
            <w:pPr>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4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w w:val="89"/>
              </w:rPr>
              <w:t>Section 1350</w:t>
            </w:r>
          </w:p>
        </w:tc>
        <w:tc>
          <w:tcPr>
            <w:tcW w:w="6400" w:type="dxa"/>
            <w:vAlign w:val="bottom"/>
          </w:tcPr>
          <w:p>
            <w:pPr>
              <w:ind w:left="20"/>
              <w:spacing w:after="0"/>
              <w:rPr>
                <w:sz w:val="20"/>
                <w:szCs w:val="20"/>
                <w:color w:val="auto"/>
              </w:rPr>
            </w:pPr>
            <w:r>
              <w:rPr>
                <w:rFonts w:ascii="Arial" w:cs="Arial" w:eastAsia="Arial" w:hAnsi="Arial"/>
                <w:sz w:val="18"/>
                <w:szCs w:val="18"/>
                <w:color w:val="auto"/>
                <w:w w:val="94"/>
              </w:rPr>
              <w:t>Certification (pursuant to Sarbanes-Oxley Section 906) by Principal Financial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77"/>
        </w:trPr>
        <w:tc>
          <w:tcPr>
            <w:tcW w:w="320" w:type="dxa"/>
            <w:vAlign w:val="bottom"/>
          </w:tcPr>
          <w:p>
            <w:pPr>
              <w:spacing w:after="0"/>
              <w:rPr>
                <w:rFonts w:ascii="Arial" w:cs="Arial" w:eastAsia="Arial" w:hAnsi="Arial"/>
                <w:sz w:val="18"/>
                <w:szCs w:val="18"/>
                <w:color w:val="0000FF"/>
                <w:w w:val="79"/>
              </w:rPr>
            </w:pPr>
            <w:hyperlink w:anchor="page148">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3</w:t>
              </w:r>
            </w:hyperlink>
          </w:p>
        </w:tc>
        <w:tc>
          <w:tcPr>
            <w:tcW w:w="64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w w:val="89"/>
              </w:rPr>
              <w:t>Section 1350</w:t>
            </w:r>
          </w:p>
        </w:tc>
        <w:tc>
          <w:tcPr>
            <w:tcW w:w="6400" w:type="dxa"/>
            <w:vAlign w:val="bottom"/>
          </w:tcPr>
          <w:p>
            <w:pPr>
              <w:ind w:left="20"/>
              <w:spacing w:after="0"/>
              <w:rPr>
                <w:sz w:val="20"/>
                <w:szCs w:val="20"/>
                <w:color w:val="auto"/>
              </w:rPr>
            </w:pPr>
            <w:r>
              <w:rPr>
                <w:rFonts w:ascii="Arial" w:cs="Arial" w:eastAsia="Arial" w:hAnsi="Arial"/>
                <w:sz w:val="18"/>
                <w:szCs w:val="18"/>
                <w:color w:val="auto"/>
                <w:w w:val="91"/>
              </w:rPr>
              <w:t>Certification (pursuant to Sarbanes-Oxley Section 906) by Principal Accounting Officer.</w:t>
            </w:r>
          </w:p>
        </w:tc>
      </w:tr>
      <w:tr>
        <w:trPr>
          <w:trHeight w:val="20"/>
        </w:trPr>
        <w:tc>
          <w:tcPr>
            <w:tcW w:w="32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w w:val="93"/>
              </w:rPr>
              <w:t>101</w:t>
            </w:r>
          </w:p>
        </w:tc>
        <w:tc>
          <w:tcPr>
            <w:tcW w:w="640" w:type="dxa"/>
            <w:vAlign w:val="bottom"/>
          </w:tcPr>
          <w:p>
            <w:pPr>
              <w:spacing w:after="0"/>
              <w:rPr>
                <w:sz w:val="24"/>
                <w:szCs w:val="24"/>
                <w:color w:val="auto"/>
              </w:rPr>
            </w:pPr>
          </w:p>
        </w:tc>
        <w:tc>
          <w:tcPr>
            <w:tcW w:w="7560" w:type="dxa"/>
            <w:vAlign w:val="bottom"/>
            <w:gridSpan w:val="2"/>
          </w:tcPr>
          <w:p>
            <w:pPr>
              <w:ind w:left="200"/>
              <w:spacing w:after="0"/>
              <w:rPr>
                <w:sz w:val="20"/>
                <w:szCs w:val="20"/>
                <w:color w:val="auto"/>
              </w:rPr>
            </w:pPr>
            <w:r>
              <w:rPr>
                <w:rFonts w:ascii="Arial" w:cs="Arial" w:eastAsia="Arial" w:hAnsi="Arial"/>
                <w:sz w:val="18"/>
                <w:szCs w:val="18"/>
                <w:color w:val="auto"/>
              </w:rPr>
              <w:t>Interactive data files (formatted as Inline XBRL).</w:t>
            </w:r>
          </w:p>
        </w:tc>
      </w:tr>
      <w:tr>
        <w:trPr>
          <w:trHeight w:val="295"/>
        </w:trPr>
        <w:tc>
          <w:tcPr>
            <w:tcW w:w="320" w:type="dxa"/>
            <w:vAlign w:val="bottom"/>
          </w:tcPr>
          <w:p>
            <w:pPr>
              <w:spacing w:after="0"/>
              <w:rPr>
                <w:sz w:val="20"/>
                <w:szCs w:val="20"/>
                <w:color w:val="auto"/>
              </w:rPr>
            </w:pPr>
            <w:r>
              <w:rPr>
                <w:rFonts w:ascii="Arial" w:cs="Arial" w:eastAsia="Arial" w:hAnsi="Arial"/>
                <w:sz w:val="18"/>
                <w:szCs w:val="18"/>
                <w:color w:val="auto"/>
                <w:w w:val="93"/>
              </w:rPr>
              <w:t>104</w:t>
            </w:r>
          </w:p>
        </w:tc>
        <w:tc>
          <w:tcPr>
            <w:tcW w:w="640" w:type="dxa"/>
            <w:vAlign w:val="bottom"/>
          </w:tcPr>
          <w:p>
            <w:pPr>
              <w:spacing w:after="0"/>
              <w:rPr>
                <w:sz w:val="24"/>
                <w:szCs w:val="24"/>
                <w:color w:val="auto"/>
              </w:rPr>
            </w:pPr>
          </w:p>
        </w:tc>
        <w:tc>
          <w:tcPr>
            <w:tcW w:w="7560" w:type="dxa"/>
            <w:vAlign w:val="bottom"/>
            <w:gridSpan w:val="2"/>
          </w:tcPr>
          <w:p>
            <w:pPr>
              <w:ind w:left="2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85"/>
        </w:trPr>
        <w:tc>
          <w:tcPr>
            <w:tcW w:w="960" w:type="dxa"/>
            <w:vAlign w:val="bottom"/>
            <w:gridSpan w:val="2"/>
          </w:tcPr>
          <w:p>
            <w:pPr>
              <w:spacing w:after="0"/>
              <w:rPr>
                <w:sz w:val="20"/>
                <w:szCs w:val="20"/>
                <w:color w:val="auto"/>
              </w:rPr>
            </w:pPr>
            <w:r>
              <w:rPr>
                <w:rFonts w:ascii="Arial" w:cs="Arial" w:eastAsia="Arial" w:hAnsi="Arial"/>
                <w:sz w:val="7"/>
                <w:szCs w:val="7"/>
                <w:color w:val="auto"/>
              </w:rPr>
              <w:t>_____________________</w:t>
            </w:r>
          </w:p>
        </w:tc>
        <w:tc>
          <w:tcPr>
            <w:tcW w:w="1160" w:type="dxa"/>
            <w:vAlign w:val="bottom"/>
          </w:tcPr>
          <w:p>
            <w:pPr>
              <w:spacing w:after="0"/>
              <w:rPr>
                <w:sz w:val="7"/>
                <w:szCs w:val="7"/>
                <w:color w:val="auto"/>
              </w:rPr>
            </w:pPr>
          </w:p>
        </w:tc>
        <w:tc>
          <w:tcPr>
            <w:tcW w:w="6400" w:type="dxa"/>
            <w:vAlign w:val="bottom"/>
          </w:tcPr>
          <w:p>
            <w:pPr>
              <w:spacing w:after="0"/>
              <w:rPr>
                <w:sz w:val="7"/>
                <w:szCs w:val="7"/>
                <w:color w:val="auto"/>
              </w:rPr>
            </w:pPr>
          </w:p>
        </w:tc>
      </w:tr>
    </w:tbl>
    <w:p>
      <w:pPr>
        <w:ind w:left="340"/>
        <w:spacing w:after="0"/>
        <w:rPr>
          <w:sz w:val="20"/>
          <w:szCs w:val="20"/>
          <w:color w:val="auto"/>
        </w:rPr>
      </w:pPr>
      <w:r>
        <w:rPr>
          <w:rFonts w:ascii="Arial" w:cs="Arial" w:eastAsia="Arial" w:hAnsi="Arial"/>
          <w:sz w:val="18"/>
          <w:szCs w:val="18"/>
          <w:color w:val="auto"/>
        </w:rPr>
        <w:t>* Compensatory plan or arrangement required to be identified pursuant to Item 15(a)(3) of this Annual Report on Form 10-K.</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EXXON MOBIL CORPORATION</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DARREN W. WOODS</w:t>
            </w:r>
          </w:p>
        </w:tc>
      </w:tr>
      <w:tr>
        <w:trPr>
          <w:trHeight w:val="195"/>
        </w:trPr>
        <w:tc>
          <w:tcPr>
            <w:tcW w:w="340" w:type="dxa"/>
            <w:vAlign w:val="bottom"/>
          </w:tcPr>
          <w:p>
            <w:pPr>
              <w:spacing w:after="0"/>
              <w:rPr>
                <w:sz w:val="16"/>
                <w:szCs w:val="16"/>
                <w:color w:val="auto"/>
              </w:rPr>
            </w:pPr>
          </w:p>
        </w:tc>
        <w:tc>
          <w:tcPr>
            <w:tcW w:w="4340" w:type="dxa"/>
            <w:vAlign w:val="bottom"/>
          </w:tcPr>
          <w:p>
            <w:pPr>
              <w:jc w:val="center"/>
              <w:spacing w:after="0" w:line="195" w:lineRule="exact"/>
              <w:rPr>
                <w:sz w:val="20"/>
                <w:szCs w:val="20"/>
                <w:color w:val="auto"/>
              </w:rPr>
            </w:pPr>
            <w:r>
              <w:rPr>
                <w:rFonts w:ascii="Arial" w:cs="Arial" w:eastAsia="Arial" w:hAnsi="Arial"/>
                <w:sz w:val="18"/>
                <w:szCs w:val="18"/>
                <w:color w:val="auto"/>
                <w:w w:val="89"/>
              </w:rPr>
              <w:t>(Darren W. Woods,</w:t>
            </w:r>
          </w:p>
        </w:tc>
      </w:tr>
      <w:tr>
        <w:trPr>
          <w:trHeight w:val="230"/>
        </w:trPr>
        <w:tc>
          <w:tcPr>
            <w:tcW w:w="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0"/>
              </w:rPr>
              <w:t>Chairman of the Board)</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152400</wp:posOffset>
            </wp:positionV>
            <wp:extent cx="2761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Each person whose signature appears below constitutes and appoints Leonard M. Fox, Jeremy R. Osterstock, and Richard C. Vint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114300</wp:posOffset>
            </wp:positionV>
            <wp:extent cx="27616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indicated and on February 26, 2020.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DARREN W. WOODS</w:t>
            </w:r>
          </w:p>
        </w:tc>
        <w:tc>
          <w:tcPr>
            <w:tcW w:w="5920" w:type="dxa"/>
            <w:vAlign w:val="bottom"/>
          </w:tcPr>
          <w:p>
            <w:pPr>
              <w:jc w:val="center"/>
              <w:ind w:left="3090"/>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(Darren W. Woods)</w:t>
            </w:r>
          </w:p>
        </w:tc>
        <w:tc>
          <w:tcPr>
            <w:tcW w:w="5920" w:type="dxa"/>
            <w:vAlign w:val="bottom"/>
          </w:tcPr>
          <w:p>
            <w:pPr>
              <w:jc w:val="center"/>
              <w:ind w:left="3090"/>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SUSAN K. AVERY</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(Susan K. Avery)</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ANGELA F. BRALY</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3"/>
              </w:rPr>
              <w:t>(Angela F. Braly)</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URSULA M. BURNS</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4"/>
              </w:rPr>
              <w:t>(Ursula M. Burns)</w:t>
            </w:r>
          </w:p>
        </w:tc>
        <w:tc>
          <w:tcPr>
            <w:tcW w:w="5920" w:type="dxa"/>
            <w:vAlign w:val="bottom"/>
          </w:tcPr>
          <w:p>
            <w:pPr>
              <w:spacing w:after="0"/>
              <w:rPr>
                <w:sz w:val="19"/>
                <w:szCs w:val="19"/>
                <w:color w:val="auto"/>
              </w:rPr>
            </w:pPr>
          </w:p>
        </w:tc>
      </w:tr>
      <w:tr>
        <w:trPr>
          <w:trHeight w:val="431"/>
        </w:trPr>
        <w:tc>
          <w:tcPr>
            <w:tcW w:w="5500" w:type="dxa"/>
            <w:vAlign w:val="bottom"/>
          </w:tcPr>
          <w:p>
            <w:pPr>
              <w:spacing w:after="0"/>
              <w:rPr>
                <w:sz w:val="24"/>
                <w:szCs w:val="24"/>
                <w:color w:val="auto"/>
              </w:rPr>
            </w:pPr>
          </w:p>
        </w:tc>
        <w:tc>
          <w:tcPr>
            <w:tcW w:w="5920" w:type="dxa"/>
            <w:vAlign w:val="bottom"/>
          </w:tcPr>
          <w:p>
            <w:pPr>
              <w:jc w:val="right"/>
              <w:ind w:right="5490"/>
              <w:spacing w:after="0"/>
              <w:rPr>
                <w:sz w:val="20"/>
                <w:szCs w:val="20"/>
                <w:color w:val="auto"/>
              </w:rPr>
            </w:pPr>
            <w:r>
              <w:rPr>
                <w:rFonts w:ascii="Arial" w:cs="Arial" w:eastAsia="Arial" w:hAnsi="Arial"/>
                <w:sz w:val="18"/>
                <w:szCs w:val="18"/>
                <w:color w:val="auto"/>
              </w:rPr>
              <w:t>127</w:t>
            </w:r>
          </w:p>
        </w:tc>
      </w:tr>
      <w:tr>
        <w:trPr>
          <w:trHeight w:val="210"/>
        </w:trPr>
        <w:tc>
          <w:tcPr>
            <w:tcW w:w="5500" w:type="dxa"/>
            <w:vAlign w:val="bottom"/>
            <w:tcBorders>
              <w:bottom w:val="single" w:sz="8" w:color="9A9A9A"/>
            </w:tcBorders>
          </w:tcPr>
          <w:p>
            <w:pPr>
              <w:spacing w:after="0"/>
              <w:rPr>
                <w:sz w:val="18"/>
                <w:szCs w:val="18"/>
                <w:color w:val="auto"/>
              </w:rPr>
            </w:pPr>
          </w:p>
        </w:tc>
        <w:tc>
          <w:tcPr>
            <w:tcW w:w="5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KENNETH C. FRAZIER</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(Kenneth C. Frazier)</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JOSEPH L. HOOLEY</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(Joseph L. Hooley)</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STEVEN A. KANDARIAN</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(Steven A. Kandarian)</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R. OBERHELMAN</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0"/>
              </w:rPr>
              <w:t>(Douglas R. Oberhelman)</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SAMUEL J. PALMISANO</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9"/>
              </w:rPr>
              <w:t>(Samuel J. Palmisano)</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STEVEN S REINEMUND</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88"/>
              </w:rPr>
              <w:t>(Steven S Reinemund)</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C. WELDON</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5"/>
              </w:rPr>
              <w:t>Director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4"/>
              </w:rPr>
              <w:t>(William C. Weldon)</w:t>
            </w:r>
          </w:p>
        </w:tc>
        <w:tc>
          <w:tcPr>
            <w:tcW w:w="5920" w:type="dxa"/>
            <w:vAlign w:val="bottom"/>
          </w:tcPr>
          <w:p>
            <w:pPr>
              <w:spacing w:after="0"/>
              <w:rPr>
                <w:sz w:val="19"/>
                <w:szCs w:val="19"/>
                <w:color w:val="auto"/>
              </w:rPr>
            </w:pP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P. SWIGER</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0"/>
              </w:rPr>
              <w:t>Senior Vice President</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1"/>
              </w:rPr>
              <w:t>(Andrew P. Swiger)</w:t>
            </w:r>
          </w:p>
        </w:tc>
        <w:tc>
          <w:tcPr>
            <w:tcW w:w="5920" w:type="dxa"/>
            <w:vAlign w:val="bottom"/>
          </w:tcPr>
          <w:p>
            <w:pPr>
              <w:jc w:val="center"/>
              <w:ind w:left="3110"/>
              <w:spacing w:after="0"/>
              <w:rPr>
                <w:sz w:val="20"/>
                <w:szCs w:val="20"/>
                <w:color w:val="auto"/>
              </w:rPr>
            </w:pPr>
            <w:r>
              <w:rPr>
                <w:rFonts w:ascii="Arial" w:cs="Arial" w:eastAsia="Arial" w:hAnsi="Arial"/>
                <w:sz w:val="18"/>
                <w:szCs w:val="18"/>
                <w:color w:val="auto"/>
                <w:w w:val="94"/>
              </w:rPr>
              <w:t>(Principal Financial Officer)</w:t>
            </w:r>
          </w:p>
        </w:tc>
      </w:tr>
      <w:tr>
        <w:trPr>
          <w:trHeight w:val="418"/>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S. ROSENTHAL</w:t>
            </w:r>
          </w:p>
        </w:tc>
        <w:tc>
          <w:tcPr>
            <w:tcW w:w="5920" w:type="dxa"/>
            <w:vAlign w:val="bottom"/>
          </w:tcPr>
          <w:p>
            <w:pPr>
              <w:jc w:val="center"/>
              <w:ind w:left="3090"/>
              <w:spacing w:after="0"/>
              <w:rPr>
                <w:sz w:val="20"/>
                <w:szCs w:val="20"/>
                <w:color w:val="auto"/>
              </w:rPr>
            </w:pPr>
            <w:r>
              <w:rPr>
                <w:rFonts w:ascii="Arial" w:cs="Arial" w:eastAsia="Arial" w:hAnsi="Arial"/>
                <w:sz w:val="18"/>
                <w:szCs w:val="18"/>
                <w:color w:val="auto"/>
                <w:w w:val="91"/>
              </w:rPr>
              <w:t>Vice President and Controller</w:t>
            </w:r>
          </w:p>
        </w:tc>
      </w:tr>
      <w:tr>
        <w:trPr>
          <w:trHeight w:val="224"/>
        </w:trPr>
        <w:tc>
          <w:tcPr>
            <w:tcW w:w="5500" w:type="dxa"/>
            <w:vAlign w:val="bottom"/>
          </w:tcPr>
          <w:p>
            <w:pPr>
              <w:jc w:val="center"/>
              <w:spacing w:after="0"/>
              <w:rPr>
                <w:sz w:val="20"/>
                <w:szCs w:val="20"/>
                <w:color w:val="auto"/>
              </w:rPr>
            </w:pPr>
            <w:r>
              <w:rPr>
                <w:rFonts w:ascii="Arial" w:cs="Arial" w:eastAsia="Arial" w:hAnsi="Arial"/>
                <w:sz w:val="18"/>
                <w:szCs w:val="18"/>
                <w:color w:val="auto"/>
                <w:w w:val="90"/>
              </w:rPr>
              <w:t>(David S. Rosenthal)</w:t>
            </w:r>
          </w:p>
        </w:tc>
        <w:tc>
          <w:tcPr>
            <w:tcW w:w="5920" w:type="dxa"/>
            <w:vAlign w:val="bottom"/>
          </w:tcPr>
          <w:p>
            <w:pPr>
              <w:jc w:val="center"/>
              <w:ind w:left="3090"/>
              <w:spacing w:after="0"/>
              <w:rPr>
                <w:sz w:val="20"/>
                <w:szCs w:val="20"/>
                <w:color w:val="auto"/>
              </w:rPr>
            </w:pPr>
            <w:r>
              <w:rPr>
                <w:rFonts w:ascii="Arial" w:cs="Arial" w:eastAsia="Arial" w:hAnsi="Arial"/>
                <w:sz w:val="18"/>
                <w:szCs w:val="18"/>
                <w:color w:val="auto"/>
                <w:w w:val="95"/>
              </w:rPr>
              <w:t>(Principal Accounting Officer)</w:t>
            </w:r>
          </w:p>
        </w:tc>
      </w:tr>
      <w:tr>
        <w:trPr>
          <w:trHeight w:val="891"/>
        </w:trPr>
        <w:tc>
          <w:tcPr>
            <w:tcW w:w="5500" w:type="dxa"/>
            <w:vAlign w:val="bottom"/>
          </w:tcPr>
          <w:p>
            <w:pPr>
              <w:spacing w:after="0"/>
              <w:rPr>
                <w:sz w:val="24"/>
                <w:szCs w:val="24"/>
                <w:color w:val="auto"/>
              </w:rPr>
            </w:pPr>
          </w:p>
        </w:tc>
        <w:tc>
          <w:tcPr>
            <w:tcW w:w="5920" w:type="dxa"/>
            <w:vAlign w:val="bottom"/>
          </w:tcPr>
          <w:p>
            <w:pPr>
              <w:jc w:val="right"/>
              <w:ind w:right="5490"/>
              <w:spacing w:after="0"/>
              <w:rPr>
                <w:sz w:val="20"/>
                <w:szCs w:val="20"/>
                <w:color w:val="auto"/>
              </w:rPr>
            </w:pPr>
            <w:r>
              <w:rPr>
                <w:rFonts w:ascii="Arial" w:cs="Arial" w:eastAsia="Arial" w:hAnsi="Arial"/>
                <w:sz w:val="18"/>
                <w:szCs w:val="18"/>
                <w:color w:val="auto"/>
              </w:rPr>
              <w:t>128</w:t>
            </w:r>
          </w:p>
        </w:tc>
      </w:tr>
      <w:tr>
        <w:trPr>
          <w:trHeight w:val="210"/>
        </w:trPr>
        <w:tc>
          <w:tcPr>
            <w:tcW w:w="5500" w:type="dxa"/>
            <w:vAlign w:val="bottom"/>
            <w:tcBorders>
              <w:bottom w:val="single" w:sz="8" w:color="9A9A9A"/>
            </w:tcBorders>
          </w:tcPr>
          <w:p>
            <w:pPr>
              <w:spacing w:after="0"/>
              <w:rPr>
                <w:sz w:val="18"/>
                <w:szCs w:val="18"/>
                <w:color w:val="auto"/>
              </w:rPr>
            </w:pPr>
          </w:p>
        </w:tc>
        <w:tc>
          <w:tcPr>
            <w:tcW w:w="5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30" w:name="page131"/>
    <w:bookmarkEnd w:id="1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ind w:left="10260"/>
        <w:spacing w:after="0"/>
        <w:rPr>
          <w:sz w:val="20"/>
          <w:szCs w:val="20"/>
          <w:color w:val="auto"/>
        </w:rPr>
      </w:pPr>
      <w:r>
        <w:rPr>
          <w:rFonts w:ascii="Arial" w:cs="Arial" w:eastAsia="Arial" w:hAnsi="Arial"/>
          <w:sz w:val="18"/>
          <w:szCs w:val="18"/>
          <w:b w:val="1"/>
          <w:bCs w:val="1"/>
          <w:color w:val="auto"/>
        </w:rPr>
        <w:t>EXHIBIT 4(vi)</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EXXONMOBIL CAPITAL STOCK</w:t>
      </w:r>
    </w:p>
    <w:p>
      <w:pPr>
        <w:spacing w:after="0" w:line="17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description of the terms of ExxonMobil’s capital stock is a summary only and is qualified by reference to the relevant provisions of New Jersey law and the ExxonMobil restated certificate of incorporation and by-laws.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Under the ExxonMobil restated certificate of incorporation, ExxonMobil’s authorized capital stock consists of nine billion (9,000,000,000) shares of common stock, without par value, and two hundred million (200,000,000) shares of preferred stock, without par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71"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holder of ExxonMobil common stock is entitled to one vote for each share of ExxonMobil common stock held of record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record date on all matters submitted to a vote of shareholders.</w:t>
      </w:r>
    </w:p>
    <w:p>
      <w:pPr>
        <w:spacing w:after="0" w:line="108"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ExxonMobil common stock are entitled to receive such dividends as may be declared from time to time by ExxonMobil’s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out of funds legally available therefor, subject to any preferential dividend rights granted to the holders of any outstanding ExxonMobil preferred stock.</w:t>
      </w:r>
    </w:p>
    <w:p>
      <w:pPr>
        <w:spacing w:after="0" w:line="12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ExxonMobil common stock are entitled to share pro rata, upon any liquidation, dissolution or winding up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ExxonMobil, in all remaining assets available for distribution to shareholders after payment of or provision for ExxonMobil’s liabilities and the liquidation preference of any outstanding ExxonMobil preferred stock.</w:t>
      </w:r>
    </w:p>
    <w:p>
      <w:pPr>
        <w:spacing w:after="0" w:line="122"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ExxonMobil common stock have no preemptive rights to purchase, subscribe for or otherwise acquire any unissued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treasury shares or other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 Outstanding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date of this filing, no shares of ExxonMobil preferred stock were issued and outstanding.</w:t>
      </w:r>
    </w:p>
    <w:p>
      <w:pPr>
        <w:spacing w:after="0" w:line="17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b w:val="1"/>
          <w:bCs w:val="1"/>
          <w:i w:val="1"/>
          <w:iCs w:val="1"/>
          <w:color w:val="auto"/>
        </w:rPr>
        <w:t>Blank Check Preferred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ExxonMobil restated certificate of incorporation, the ExxonMobil board of directors has the authority,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shareholder approval, to create one or more classes or series within a class of preferred stock, to issue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the ExxonMobil board of directors could create and issue a class or series of preferred stock with rights, privileges or restrictions, and adopt a shareholder rights plan, having the effect of discriminating against an existing or prospective holder of securities as a result of such shareholder beneficially owning or commencing a tender offer for a substantial amount of ExxonMobil common stock. One of the effects of authorized but unissued and unreserved shares of capital stock may be to render more difficult or discourage an attempt by a potential acquirer to obtain control of ExxonMobil by means of a merger, tender offer, proxy contest or otherwise, and thereby protect the continuity of ExxonMobil’s management. The issuance of such shares of capital stock may have the effect of delaying, deferring or preventing a change in control of ExxonMobil without any further action by the shareholders of ExxonMobil. ExxonMobil has no present intention to adopt a shareholder rights plan, but could do so without shareholder approval at any future time.</w:t>
      </w:r>
    </w:p>
    <w:p>
      <w:pPr>
        <w:spacing w:after="0" w:line="11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ExxonMobil has designated 16,500,000 shares of ExxonMobil preferred stock as Class A Preferred Stock, none of which are outstanding, and 165,800 shares of ExxonMobil preferred stock as Class B Preferred Stock, none of which are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Computershare Trust Company, N.A. is the transfer agent and registrar for ExxonMobil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10(iii)(a.3)</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November 26, 2019</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Exxon Mobil Corporation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Extended Provisions for Restricted Stock Unit Agreements - Settlement in Shares</w:t>
      </w:r>
    </w:p>
    <w:p>
      <w:pPr>
        <w:spacing w:after="0" w:line="333" w:lineRule="exact"/>
        <w:rPr>
          <w:sz w:val="20"/>
          <w:szCs w:val="20"/>
          <w:color w:val="auto"/>
        </w:rPr>
      </w:pPr>
    </w:p>
    <w:p>
      <w:pPr>
        <w:ind w:left="340" w:right="140" w:hanging="333"/>
        <w:spacing w:after="0" w:line="281" w:lineRule="auto"/>
        <w:tabs>
          <w:tab w:leader="none" w:pos="421"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Date and Credit of Restricted Stock Units</w:t>
      </w:r>
      <w:r>
        <w:rPr>
          <w:rFonts w:ascii="Arial" w:cs="Arial" w:eastAsia="Arial" w:hAnsi="Arial"/>
          <w:sz w:val="17"/>
          <w:szCs w:val="17"/>
          <w:color w:val="auto"/>
        </w:rPr>
        <w:t>. If Grantee accepts the award on or before March 1, 2020, this Agreement will become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the Corporation receives the award acceptance. After this agreement becomes effective, the Corporation will credit to Grantee the number of restricted stock units specified in the award package. Subject to the terms and conditions of this Agreement, each restricted stock unit ("unit") will entitle Grantee to receive in settlement of the unit one share of the Corporation's common stock.</w:t>
      </w:r>
    </w:p>
    <w:p>
      <w:pPr>
        <w:spacing w:after="0" w:line="164" w:lineRule="exact"/>
        <w:rPr>
          <w:rFonts w:ascii="Arial" w:cs="Arial" w:eastAsia="Arial" w:hAnsi="Arial"/>
          <w:sz w:val="17"/>
          <w:szCs w:val="17"/>
          <w:color w:val="auto"/>
        </w:rPr>
      </w:pPr>
    </w:p>
    <w:p>
      <w:pPr>
        <w:ind w:left="340" w:right="20" w:hanging="333"/>
        <w:spacing w:after="0" w:line="266" w:lineRule="auto"/>
        <w:tabs>
          <w:tab w:leader="none" w:pos="42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w:t>
      </w:r>
      <w:r>
        <w:rPr>
          <w:rFonts w:ascii="Arial" w:cs="Arial" w:eastAsia="Arial" w:hAnsi="Arial"/>
          <w:sz w:val="18"/>
          <w:szCs w:val="18"/>
          <w:color w:val="auto"/>
        </w:rPr>
        <w:t>. If credited, the units will be subject to the provisions of this Agreement, and to such regulations and requirements as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of the Program may establish from time to time. The units will be credited to Grantee only on the condition that Grantee accepts such provisions, regulations, and requirements.</w:t>
      </w:r>
    </w:p>
    <w:p>
      <w:pPr>
        <w:spacing w:after="0" w:line="176" w:lineRule="exact"/>
        <w:rPr>
          <w:rFonts w:ascii="Arial" w:cs="Arial" w:eastAsia="Arial" w:hAnsi="Arial"/>
          <w:sz w:val="18"/>
          <w:szCs w:val="18"/>
          <w:color w:val="auto"/>
        </w:rPr>
      </w:pPr>
    </w:p>
    <w:p>
      <w:pPr>
        <w:ind w:left="360" w:hanging="353"/>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and Risk of Forfeiture</w:t>
      </w:r>
      <w:r>
        <w:rPr>
          <w:rFonts w:ascii="Arial" w:cs="Arial" w:eastAsia="Arial" w:hAnsi="Arial"/>
          <w:sz w:val="18"/>
          <w:szCs w:val="18"/>
          <w:color w:val="auto"/>
        </w:rPr>
        <w:t>. During the applicable restricted periods specified in section 4 of this Agreement,</w:t>
      </w:r>
    </w:p>
    <w:p>
      <w:pPr>
        <w:spacing w:after="0" w:line="67" w:lineRule="exact"/>
        <w:rPr>
          <w:sz w:val="20"/>
          <w:szCs w:val="20"/>
          <w:color w:val="auto"/>
        </w:rPr>
      </w:pPr>
    </w:p>
    <w:p>
      <w:pPr>
        <w:ind w:left="1060" w:right="840" w:hanging="324"/>
        <w:spacing w:after="0" w:line="277" w:lineRule="auto"/>
        <w:tabs>
          <w:tab w:leader="none" w:pos="111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units under restriction may not be sold, assigned, transferred, pledged, or otherwise disposed of or encumbered, and any attempt to do so will be null and void; and</w:t>
      </w:r>
    </w:p>
    <w:p>
      <w:pPr>
        <w:spacing w:after="0" w:line="8" w:lineRule="exact"/>
        <w:rPr>
          <w:rFonts w:ascii="Arial" w:cs="Arial" w:eastAsia="Arial" w:hAnsi="Arial"/>
          <w:sz w:val="18"/>
          <w:szCs w:val="18"/>
          <w:color w:val="auto"/>
        </w:rPr>
      </w:pPr>
    </w:p>
    <w:p>
      <w:pPr>
        <w:ind w:left="1120" w:hanging="384"/>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units under restriction may be forfeited as provided in section 6.</w:t>
      </w:r>
    </w:p>
    <w:p>
      <w:pPr>
        <w:spacing w:after="0" w:line="221" w:lineRule="exact"/>
        <w:rPr>
          <w:rFonts w:ascii="Arial" w:cs="Arial" w:eastAsia="Arial" w:hAnsi="Arial"/>
          <w:sz w:val="18"/>
          <w:szCs w:val="18"/>
          <w:color w:val="auto"/>
        </w:rPr>
      </w:pPr>
    </w:p>
    <w:p>
      <w:pPr>
        <w:ind w:left="340" w:right="140" w:hanging="333"/>
        <w:spacing w:after="0" w:line="282" w:lineRule="auto"/>
        <w:tabs>
          <w:tab w:leader="none" w:pos="421"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Periods</w:t>
      </w:r>
      <w:r>
        <w:rPr>
          <w:rFonts w:ascii="Arial" w:cs="Arial" w:eastAsia="Arial" w:hAnsi="Arial"/>
          <w:sz w:val="18"/>
          <w:szCs w:val="18"/>
          <w:color w:val="auto"/>
        </w:rPr>
        <w:t>. The restricted periods will commence when the units are credited to Grantee and, unless the units have been forfeited earlier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will expire as follows, whether or not Grantee is still an employee:</w:t>
      </w:r>
    </w:p>
    <w:p>
      <w:pPr>
        <w:spacing w:after="0" w:line="3" w:lineRule="exact"/>
        <w:rPr>
          <w:rFonts w:ascii="Arial" w:cs="Arial" w:eastAsia="Arial" w:hAnsi="Arial"/>
          <w:sz w:val="18"/>
          <w:szCs w:val="18"/>
          <w:color w:val="auto"/>
        </w:rPr>
      </w:pPr>
    </w:p>
    <w:p>
      <w:pPr>
        <w:ind w:left="1120" w:hanging="384"/>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 respect to 50% of the units, on November 26, 2024; and</w:t>
      </w:r>
    </w:p>
    <w:p>
      <w:pPr>
        <w:spacing w:after="0" w:line="63" w:lineRule="exact"/>
        <w:rPr>
          <w:rFonts w:ascii="Arial" w:cs="Arial" w:eastAsia="Arial" w:hAnsi="Arial"/>
          <w:sz w:val="18"/>
          <w:szCs w:val="18"/>
          <w:color w:val="auto"/>
        </w:rPr>
      </w:pPr>
    </w:p>
    <w:p>
      <w:pPr>
        <w:ind w:left="1120" w:hanging="384"/>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 respect to the remaining units, on the later to occur of</w:t>
      </w:r>
    </w:p>
    <w:p>
      <w:pPr>
        <w:spacing w:after="0" w:line="63" w:lineRule="exact"/>
        <w:rPr>
          <w:rFonts w:ascii="Arial" w:cs="Arial" w:eastAsia="Arial" w:hAnsi="Arial"/>
          <w:sz w:val="18"/>
          <w:szCs w:val="18"/>
          <w:color w:val="auto"/>
        </w:rPr>
      </w:pPr>
    </w:p>
    <w:p>
      <w:pPr>
        <w:ind w:left="1440" w:hanging="380"/>
        <w:spacing w:after="0"/>
        <w:tabs>
          <w:tab w:leader="none" w:pos="14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November 26, 2029, or</w:t>
      </w:r>
    </w:p>
    <w:p>
      <w:pPr>
        <w:spacing w:after="0" w:line="63" w:lineRule="exact"/>
        <w:rPr>
          <w:sz w:val="20"/>
          <w:szCs w:val="20"/>
          <w:color w:val="auto"/>
        </w:rPr>
      </w:pPr>
    </w:p>
    <w:p>
      <w:pPr>
        <w:ind w:left="1060"/>
        <w:spacing w:after="0"/>
        <w:tabs>
          <w:tab w:leader="none" w:pos="1400" w:val="left"/>
          <w:tab w:leader="none" w:pos="8700" w:val="left"/>
        </w:tabs>
        <w:rPr>
          <w:sz w:val="20"/>
          <w:szCs w:val="20"/>
          <w:color w:val="auto"/>
        </w:rPr>
      </w:pPr>
      <w:r>
        <w:rPr>
          <w:rFonts w:ascii="Arial" w:cs="Arial" w:eastAsia="Arial" w:hAnsi="Arial"/>
          <w:sz w:val="18"/>
          <w:szCs w:val="18"/>
          <w:color w:val="auto"/>
        </w:rPr>
        <w:t>(ii)</w:t>
        <w:tab/>
        <w:t>the first day of the calendar year immediately following the year in which Grantee terminates;</w:t>
      </w:r>
      <w:r>
        <w:rPr>
          <w:sz w:val="20"/>
          <w:szCs w:val="20"/>
          <w:color w:val="auto"/>
        </w:rPr>
        <w:tab/>
      </w:r>
      <w:r>
        <w:rPr>
          <w:rFonts w:ascii="Arial" w:cs="Arial" w:eastAsia="Arial" w:hAnsi="Arial"/>
          <w:sz w:val="16"/>
          <w:szCs w:val="16"/>
          <w:color w:val="auto"/>
        </w:rPr>
        <w:t>except that</w:t>
      </w:r>
    </w:p>
    <w:p>
      <w:pPr>
        <w:spacing w:after="0" w:line="63" w:lineRule="exact"/>
        <w:rPr>
          <w:sz w:val="20"/>
          <w:szCs w:val="20"/>
          <w:color w:val="auto"/>
        </w:rPr>
      </w:pPr>
    </w:p>
    <w:p>
      <w:pPr>
        <w:ind w:left="1120" w:hanging="384"/>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restricted periods will automatically expire with respect to all shares on the death of Grantee.</w:t>
      </w:r>
    </w:p>
    <w:p>
      <w:pPr>
        <w:spacing w:after="0" w:line="221" w:lineRule="exact"/>
        <w:rPr>
          <w:rFonts w:ascii="Arial" w:cs="Arial" w:eastAsia="Arial" w:hAnsi="Arial"/>
          <w:sz w:val="18"/>
          <w:szCs w:val="18"/>
          <w:color w:val="auto"/>
        </w:rPr>
      </w:pPr>
    </w:p>
    <w:p>
      <w:pPr>
        <w:jc w:val="both"/>
        <w:ind w:left="340" w:right="100" w:hanging="333"/>
        <w:spacing w:after="0" w:line="293" w:lineRule="auto"/>
        <w:tabs>
          <w:tab w:leader="none" w:pos="376"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No Obligation to Credit Units</w:t>
      </w:r>
      <w:r>
        <w:rPr>
          <w:rFonts w:ascii="Arial" w:cs="Arial" w:eastAsia="Arial" w:hAnsi="Arial"/>
          <w:sz w:val="16"/>
          <w:szCs w:val="16"/>
          <w:color w:val="auto"/>
        </w:rPr>
        <w:t>. The Corporation will have no obligation to credit any units and will have no other obligation to Grantee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subject matter of this Agreement if Grantee fails to accept the award on or before March 1, 2020. In addition, whether or not Grantee has accepted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award, the Corporation will have no obligation to credit any units and will have no other obligation to Grantee with respect to the subject  matter of this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Agreement if, before the units are credited:</w:t>
      </w:r>
    </w:p>
    <w:p>
      <w:pPr>
        <w:spacing w:after="0" w:line="49" w:lineRule="exact"/>
        <w:rPr>
          <w:sz w:val="20"/>
          <w:szCs w:val="20"/>
          <w:color w:val="auto"/>
        </w:rPr>
      </w:pPr>
    </w:p>
    <w:p>
      <w:pPr>
        <w:ind w:left="1060" w:right="960" w:hanging="324"/>
        <w:spacing w:after="0" w:line="298" w:lineRule="auto"/>
        <w:tabs>
          <w:tab w:leader="none" w:pos="11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Grantee terminates (other than by death) before standard retirement time within the meaning of the Program, except to the extent the administrative authority of the Program determines Grantee may receive units under this Agreement; or</w:t>
      </w:r>
    </w:p>
    <w:p>
      <w:pPr>
        <w:spacing w:after="0" w:line="1" w:lineRule="exact"/>
        <w:rPr>
          <w:sz w:val="20"/>
          <w:szCs w:val="20"/>
          <w:color w:val="auto"/>
        </w:rPr>
      </w:pPr>
    </w:p>
    <w:p>
      <w:pPr>
        <w:ind w:left="740"/>
        <w:spacing w:after="0"/>
        <w:tabs>
          <w:tab w:leader="none" w:pos="11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Grantee is determined to have engaged in detrimental activity within the meaning of the Program.</w:t>
      </w:r>
    </w:p>
    <w:p>
      <w:pPr>
        <w:spacing w:after="0" w:line="221" w:lineRule="exact"/>
        <w:rPr>
          <w:sz w:val="20"/>
          <w:szCs w:val="20"/>
          <w:color w:val="auto"/>
        </w:rPr>
      </w:pPr>
    </w:p>
    <w:p>
      <w:pPr>
        <w:ind w:left="340" w:right="260" w:hanging="333"/>
        <w:spacing w:after="0" w:line="282" w:lineRule="auto"/>
        <w:tabs>
          <w:tab w:leader="none" w:pos="376"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Units After Crediting</w:t>
      </w:r>
      <w:r>
        <w:rPr>
          <w:rFonts w:ascii="Arial" w:cs="Arial" w:eastAsia="Arial" w:hAnsi="Arial"/>
          <w:sz w:val="18"/>
          <w:szCs w:val="18"/>
          <w:color w:val="auto"/>
        </w:rPr>
        <w:t>. Until the applicable restricted period specified in section 4 has expired, the units under restriction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forfeited or subject to forfeiture in the following circumstances: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w:t>
      </w:r>
    </w:p>
    <w:p>
      <w:pPr>
        <w:spacing w:after="0" w:line="23" w:lineRule="exact"/>
        <w:rPr>
          <w:sz w:val="20"/>
          <w:szCs w:val="20"/>
          <w:color w:val="auto"/>
        </w:rPr>
      </w:pPr>
    </w:p>
    <w:p>
      <w:pPr>
        <w:jc w:val="both"/>
        <w:ind w:left="340" w:right="220"/>
        <w:spacing w:after="0" w:line="255" w:lineRule="auto"/>
        <w:rPr>
          <w:sz w:val="20"/>
          <w:szCs w:val="20"/>
          <w:color w:val="auto"/>
        </w:rPr>
      </w:pPr>
      <w:r>
        <w:rPr>
          <w:rFonts w:ascii="Arial" w:cs="Arial" w:eastAsia="Arial" w:hAnsi="Arial"/>
          <w:sz w:val="18"/>
          <w:szCs w:val="18"/>
          <w:color w:val="auto"/>
        </w:rPr>
        <w:t>If Grantee terminates (other than by death) before standard retirement time within the meaning of the Program, all units for which the applicable restricted periods have not expired will be automatically forfeited as of the date of termination, except to the extent the administrative authority determines Grantee may retain units issued under this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Detrimental activity</w:t>
      </w:r>
    </w:p>
    <w:p>
      <w:pPr>
        <w:spacing w:after="0" w:line="23" w:lineRule="exact"/>
        <w:rPr>
          <w:sz w:val="20"/>
          <w:szCs w:val="20"/>
          <w:color w:val="auto"/>
        </w:rPr>
      </w:pPr>
    </w:p>
    <w:p>
      <w:pPr>
        <w:ind w:left="340" w:right="740"/>
        <w:spacing w:after="0" w:line="290" w:lineRule="auto"/>
        <w:rPr>
          <w:sz w:val="20"/>
          <w:szCs w:val="20"/>
          <w:color w:val="auto"/>
        </w:rPr>
      </w:pPr>
      <w:r>
        <w:rPr>
          <w:rFonts w:ascii="Arial" w:cs="Arial" w:eastAsia="Arial" w:hAnsi="Arial"/>
          <w:sz w:val="17"/>
          <w:szCs w:val="17"/>
          <w:color w:val="auto"/>
        </w:rPr>
        <w:t>If Grantee is determined to have engaged in detrimental activity within the meaning of the Program, either before or after termination, all units for which the applicable restricted periods have not expired will be automatically forfeited as of the date of such determination.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Attempted transfer</w:t>
      </w:r>
    </w:p>
    <w:p>
      <w:pPr>
        <w:spacing w:after="0" w:line="23" w:lineRule="exact"/>
        <w:rPr>
          <w:sz w:val="20"/>
          <w:szCs w:val="20"/>
          <w:color w:val="auto"/>
        </w:rPr>
      </w:pPr>
    </w:p>
    <w:p>
      <w:pPr>
        <w:ind w:left="340" w:right="160"/>
        <w:spacing w:after="0" w:line="261" w:lineRule="auto"/>
        <w:rPr>
          <w:sz w:val="20"/>
          <w:szCs w:val="20"/>
          <w:color w:val="auto"/>
        </w:rPr>
      </w:pPr>
      <w:r>
        <w:rPr>
          <w:rFonts w:ascii="Arial" w:cs="Arial" w:eastAsia="Arial" w:hAnsi="Arial"/>
          <w:sz w:val="18"/>
          <w:szCs w:val="18"/>
          <w:color w:val="auto"/>
        </w:rPr>
        <w:t>The units are subject to forfeiture in the discretion of the administrative authority if Grantee attempts to sell, assign, transfer, pledge, or otherwise dispose of or encumber them during the applicable restricted periods.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115570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500"/>
          </w:cols>
          <w:pgMar w:left="160" w:top="418" w:right="239" w:bottom="1440" w:gutter="0" w:footer="0" w:header="0"/>
        </w:sectPr>
      </w:pPr>
    </w:p>
    <w:bookmarkStart w:id="133" w:name="page134"/>
    <w:bookmarkEnd w:id="133"/>
    <w:p>
      <w:pPr>
        <w:ind w:left="333"/>
        <w:spacing w:after="0"/>
        <w:rPr>
          <w:sz w:val="20"/>
          <w:szCs w:val="20"/>
          <w:color w:val="auto"/>
        </w:rPr>
      </w:pPr>
      <w:r>
        <w:rPr>
          <w:rFonts w:ascii="Arial" w:cs="Arial" w:eastAsia="Arial" w:hAnsi="Arial"/>
          <w:sz w:val="18"/>
          <w:szCs w:val="18"/>
          <w:b w:val="1"/>
          <w:bCs w:val="1"/>
          <w:i w:val="1"/>
          <w:iCs w:val="1"/>
          <w:color w:val="auto"/>
        </w:rPr>
        <w:t>Applicable law</w:t>
      </w:r>
    </w:p>
    <w:p>
      <w:pPr>
        <w:spacing w:after="0" w:line="63" w:lineRule="exact"/>
        <w:rPr>
          <w:sz w:val="20"/>
          <w:szCs w:val="20"/>
          <w:color w:val="auto"/>
        </w:rPr>
      </w:pPr>
    </w:p>
    <w:p>
      <w:pPr>
        <w:ind w:left="333" w:right="40"/>
        <w:spacing w:after="0" w:line="342" w:lineRule="auto"/>
        <w:rPr>
          <w:sz w:val="20"/>
          <w:szCs w:val="20"/>
          <w:color w:val="auto"/>
        </w:rPr>
      </w:pPr>
      <w:r>
        <w:rPr>
          <w:rFonts w:ascii="Arial" w:cs="Arial" w:eastAsia="Arial" w:hAnsi="Arial"/>
          <w:sz w:val="16"/>
          <w:szCs w:val="16"/>
          <w:color w:val="auto"/>
        </w:rPr>
        <w:t>The units are subject to forfeiture in whole or in part as the administrative authority deems necessary to comply with applicable law or Corporation policy including, without limitation, any clawback obligations determined to be owed by Grantee to the Corporation in connection with this or other awards.</w:t>
      </w:r>
    </w:p>
    <w:p>
      <w:pPr>
        <w:spacing w:after="0" w:line="120" w:lineRule="exact"/>
        <w:rPr>
          <w:sz w:val="20"/>
          <w:szCs w:val="20"/>
          <w:color w:val="auto"/>
        </w:rPr>
      </w:pPr>
    </w:p>
    <w:p>
      <w:pPr>
        <w:ind w:left="333" w:right="40" w:hanging="333"/>
        <w:spacing w:after="0" w:line="303" w:lineRule="auto"/>
        <w:tabs>
          <w:tab w:leader="none" w:pos="396"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Notwithstanding the restrictions on transfer that otherwise apply, the Corporation in its sole discretion may withhold units, or shares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deliverable in settlement of units, either at the time of crediting, at the time of settlement, or at any other time in order to satisfy any required withholding, social security, and similar taxes or contributions (collectively, "required taxes"). Withheld units or shares may be retained by the Corporation or sold on behalf of Grantee. The Corporation in its sole discretion may also withhold any required taxes from dividend equivalents paid on the units.</w:t>
      </w:r>
    </w:p>
    <w:p>
      <w:pPr>
        <w:spacing w:after="0" w:line="151" w:lineRule="exact"/>
        <w:rPr>
          <w:rFonts w:ascii="Arial" w:cs="Arial" w:eastAsia="Arial" w:hAnsi="Arial"/>
          <w:sz w:val="16"/>
          <w:szCs w:val="16"/>
          <w:color w:val="auto"/>
        </w:rPr>
      </w:pPr>
    </w:p>
    <w:p>
      <w:pPr>
        <w:ind w:left="333" w:right="120" w:hanging="333"/>
        <w:spacing w:after="0" w:line="261"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of Units; No Shareholder Status</w:t>
      </w:r>
      <w:r>
        <w:rPr>
          <w:rFonts w:ascii="Arial" w:cs="Arial" w:eastAsia="Arial" w:hAnsi="Arial"/>
          <w:sz w:val="18"/>
          <w:szCs w:val="18"/>
          <w:color w:val="auto"/>
        </w:rPr>
        <w:t>. The units will be represented by book-entry credits in records maintained by or on behalf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Units will be unfunded and unsecured promises by the Corporation to deliver shares in the future upon the terms and subject to the conditions of this Agreement. Grantee will not be a shareholder of the Corporation with respect to units prior to the time shares are actually registered in Grantee's name in settlement of such units in accordance with section 9.</w:t>
      </w:r>
    </w:p>
    <w:p>
      <w:pPr>
        <w:spacing w:after="0" w:line="180" w:lineRule="exact"/>
        <w:rPr>
          <w:rFonts w:ascii="Arial" w:cs="Arial" w:eastAsia="Arial" w:hAnsi="Arial"/>
          <w:sz w:val="18"/>
          <w:szCs w:val="18"/>
          <w:color w:val="auto"/>
        </w:rPr>
      </w:pPr>
    </w:p>
    <w:p>
      <w:pPr>
        <w:ind w:left="333" w:hanging="333"/>
        <w:spacing w:after="0" w:line="261"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color w:val="auto"/>
        </w:rPr>
        <w:t>. If and when the applicable restricted period expires with respect to any units, subject to section 7, the Corporation will issue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free of restriction and registered in the name of Grantee, in settlement of such units. Such shares will be delivered promptly after such expiration to or for the account of Grantee either in certificated form or by book-entry transfer in accordance with the procedures of the administrative authority in effect at the time.</w:t>
      </w:r>
    </w:p>
    <w:p>
      <w:pPr>
        <w:spacing w:after="0" w:line="180" w:lineRule="exact"/>
        <w:rPr>
          <w:rFonts w:ascii="Arial" w:cs="Arial" w:eastAsia="Arial" w:hAnsi="Arial"/>
          <w:sz w:val="18"/>
          <w:szCs w:val="18"/>
          <w:color w:val="auto"/>
        </w:rPr>
      </w:pPr>
    </w:p>
    <w:p>
      <w:pPr>
        <w:ind w:left="333" w:right="40" w:hanging="333"/>
        <w:spacing w:after="0" w:line="261" w:lineRule="auto"/>
        <w:tabs>
          <w:tab w:leader="none" w:pos="39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Equivalents</w:t>
      </w:r>
      <w:r>
        <w:rPr>
          <w:rFonts w:ascii="Arial" w:cs="Arial" w:eastAsia="Arial" w:hAnsi="Arial"/>
          <w:sz w:val="18"/>
          <w:szCs w:val="18"/>
          <w:color w:val="auto"/>
        </w:rPr>
        <w:t>. The Corporation will pay to Grantee cash with respect to each credited unit corresponding in amount, currency, and timing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cash dividends that would be payable with respect to a share of common stock outstanding on each record date that occurs during the applicable restricted period. Alternatively, the administrative authority may determine to reinvest such dividend equivalents in additional units which will be held subject to all the terms and conditions otherwise applicable to units under this Agreement.</w:t>
      </w:r>
    </w:p>
    <w:p>
      <w:pPr>
        <w:spacing w:after="0" w:line="180" w:lineRule="exact"/>
        <w:rPr>
          <w:rFonts w:ascii="Arial" w:cs="Arial" w:eastAsia="Arial" w:hAnsi="Arial"/>
          <w:sz w:val="18"/>
          <w:szCs w:val="18"/>
          <w:color w:val="auto"/>
        </w:rPr>
      </w:pPr>
    </w:p>
    <w:p>
      <w:pPr>
        <w:ind w:left="333" w:right="240" w:hanging="333"/>
        <w:spacing w:after="0" w:line="256" w:lineRule="auto"/>
        <w:tabs>
          <w:tab w:leader="none" w:pos="38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Capitalization</w:t>
      </w:r>
      <w:r>
        <w:rPr>
          <w:rFonts w:ascii="Arial" w:cs="Arial" w:eastAsia="Arial" w:hAnsi="Arial"/>
          <w:sz w:val="18"/>
          <w:szCs w:val="18"/>
          <w:color w:val="auto"/>
        </w:rPr>
        <w:t>. If during the applicable restricted periods a stock split, stock dividend, or other relevant change in capitalization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occurs, the administrative authority will make such adjustments in the number of units credited to Grantee, or in the number and type of securities deliverable to Grantee in settlement of such units and used in determining dividend equivalent amounts, as the administrative authority may determine to be appropriate. Any resulting new units or securities credited with respect to previously credited units that are still restricted under this Agreement will be delivered to and held by or on behalf of the Corporation and will be subject to the same provisions, restrictions, and requirements as those previously credited units.</w:t>
      </w:r>
    </w:p>
    <w:p>
      <w:pPr>
        <w:spacing w:after="0" w:line="187" w:lineRule="exact"/>
        <w:rPr>
          <w:rFonts w:ascii="Arial" w:cs="Arial" w:eastAsia="Arial" w:hAnsi="Arial"/>
          <w:sz w:val="18"/>
          <w:szCs w:val="18"/>
          <w:color w:val="auto"/>
        </w:rPr>
      </w:pPr>
    </w:p>
    <w:p>
      <w:pPr>
        <w:ind w:left="333" w:right="60" w:hanging="333"/>
        <w:spacing w:after="0" w:line="266" w:lineRule="auto"/>
        <w:tabs>
          <w:tab w:leader="none" w:pos="39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Limits on the Corporation’s Obligations</w:t>
      </w:r>
      <w:r>
        <w:rPr>
          <w:rFonts w:ascii="Arial" w:cs="Arial" w:eastAsia="Arial" w:hAnsi="Arial"/>
          <w:sz w:val="18"/>
          <w:szCs w:val="18"/>
          <w:color w:val="auto"/>
        </w:rPr>
        <w:t>. Notwithstanding anything else contained in this Agreement, under no circumstances will the Corporation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credit any units or issue or deliver any shares in settlement of units if doing so would violate any law or listing requirement that the administrative authority determines to be applicable.</w:t>
      </w:r>
    </w:p>
    <w:p>
      <w:pPr>
        <w:spacing w:after="0" w:line="176" w:lineRule="exact"/>
        <w:rPr>
          <w:rFonts w:ascii="Arial" w:cs="Arial" w:eastAsia="Arial" w:hAnsi="Arial"/>
          <w:sz w:val="18"/>
          <w:szCs w:val="18"/>
          <w:color w:val="auto"/>
        </w:rPr>
      </w:pPr>
    </w:p>
    <w:p>
      <w:pPr>
        <w:ind w:left="373" w:hanging="373"/>
        <w:spacing w:after="0"/>
        <w:tabs>
          <w:tab w:leader="none" w:pos="373"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Receipt or Access to Program</w:t>
      </w:r>
      <w:r>
        <w:rPr>
          <w:rFonts w:ascii="Arial" w:cs="Arial" w:eastAsia="Arial" w:hAnsi="Arial"/>
          <w:sz w:val="18"/>
          <w:szCs w:val="18"/>
          <w:color w:val="auto"/>
        </w:rPr>
        <w:t>. Grantee acknowledges receipt of or access to the full text of the Program.</w:t>
      </w:r>
    </w:p>
    <w:p>
      <w:pPr>
        <w:spacing w:after="0" w:line="225" w:lineRule="exact"/>
        <w:rPr>
          <w:rFonts w:ascii="Arial" w:cs="Arial" w:eastAsia="Arial" w:hAnsi="Arial"/>
          <w:sz w:val="18"/>
          <w:szCs w:val="18"/>
          <w:color w:val="auto"/>
        </w:rPr>
      </w:pPr>
    </w:p>
    <w:p>
      <w:pPr>
        <w:ind w:left="333" w:right="20" w:hanging="333"/>
        <w:spacing w:after="0" w:line="266" w:lineRule="auto"/>
        <w:tabs>
          <w:tab w:leader="none" w:pos="391"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Communications</w:t>
      </w:r>
      <w:r>
        <w:rPr>
          <w:rFonts w:ascii="Arial" w:cs="Arial" w:eastAsia="Arial" w:hAnsi="Arial"/>
          <w:sz w:val="18"/>
          <w:szCs w:val="18"/>
          <w:color w:val="auto"/>
        </w:rPr>
        <w:t>. To facilitate communications regarding this Agreement, Grantee agrees to notify the Corporation promptly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in current mailing and email addresses. Communications to the Corporation in connection with this Agreement should be directed to the Incentive Processing Office, or to such other address as the Corporation may designate by further notice to Grantee.</w:t>
      </w:r>
    </w:p>
    <w:p>
      <w:pPr>
        <w:spacing w:after="0" w:line="176" w:lineRule="exact"/>
        <w:rPr>
          <w:rFonts w:ascii="Arial" w:cs="Arial" w:eastAsia="Arial" w:hAnsi="Arial"/>
          <w:sz w:val="18"/>
          <w:szCs w:val="18"/>
          <w:color w:val="auto"/>
        </w:rPr>
      </w:pPr>
    </w:p>
    <w:p>
      <w:pPr>
        <w:ind w:left="333" w:right="20" w:hanging="333"/>
        <w:spacing w:after="0" w:line="284" w:lineRule="auto"/>
        <w:tabs>
          <w:tab w:leader="none" w:pos="391"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of Personal Data</w:t>
      </w:r>
      <w:r>
        <w:rPr>
          <w:rFonts w:ascii="Arial" w:cs="Arial" w:eastAsia="Arial" w:hAnsi="Arial"/>
          <w:sz w:val="16"/>
          <w:szCs w:val="16"/>
          <w:color w:val="auto"/>
        </w:rPr>
        <w:t>. The administration of the Program and this Agreement, including any subsequent ownership of shares, involve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use, and transfer of personal data about Grantee between and among the Corporation, selected subsidiaries and other affiliates of the Corporation, and third-party service providers such as Morgan Stanley and Computershare (the Corporation's transfer agent), as well as various regulatory and tax authorities around the world. This data includes Grantee's name, age, date of birth, contact information, work location, employment status, tax status, social security number, salary, nationality, job title, share ownership, and details of incentive awards granted, cancelled, vested or unvested, and related information. By accepting this award, Grantee authorizes such collection, use, and transfer of this data. Grantee may, at any time and without charge, view such data and require necessary corrections to it. Such data will at all times be held in accordance with applicable laws, regulations, and agreements. For more information on data privacy, see the data privacy statement on the Incentive Award Program Intranet website.</w:t>
      </w:r>
    </w:p>
    <w:p>
      <w:pPr>
        <w:spacing w:after="0" w:line="5"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106680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53"/>
          </w:cols>
          <w:pgMar w:left="167" w:top="301" w:right="279" w:bottom="1440" w:gutter="0" w:footer="0" w:header="0"/>
        </w:sectPr>
      </w:pPr>
    </w:p>
    <w:bookmarkStart w:id="134" w:name="page135"/>
    <w:bookmarkEnd w:id="134"/>
    <w:p>
      <w:pPr>
        <w:ind w:left="333" w:hanging="333"/>
        <w:spacing w:after="0" w:line="258" w:lineRule="auto"/>
        <w:tabs>
          <w:tab w:leader="none" w:pos="391"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Contract or Entitlement to Other or Future Awards</w:t>
      </w:r>
      <w:r>
        <w:rPr>
          <w:rFonts w:ascii="Arial" w:cs="Arial" w:eastAsia="Arial" w:hAnsi="Arial"/>
          <w:sz w:val="18"/>
          <w:szCs w:val="18"/>
          <w:color w:val="auto"/>
        </w:rPr>
        <w:t>. This Agreement, the Corporation's incentive programs, and Grantee's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incentive awards do not imply or form a part of any contract or assurance of employment, and they do not in any way limit or restrict the ability of Grantee's employer to terminate Grantee's employment. Grantee acknowledges that the Corporation maintains and administers its incentive programs entirely in its discretion and that Grantee is not entitled to any other or future incentive awards of any kind in addition to those that have already been granted.</w:t>
      </w:r>
    </w:p>
    <w:p>
      <w:pPr>
        <w:spacing w:after="0" w:line="183" w:lineRule="exact"/>
        <w:rPr>
          <w:rFonts w:ascii="Arial" w:cs="Arial" w:eastAsia="Arial" w:hAnsi="Arial"/>
          <w:sz w:val="18"/>
          <w:szCs w:val="18"/>
          <w:color w:val="auto"/>
        </w:rPr>
      </w:pPr>
    </w:p>
    <w:p>
      <w:pPr>
        <w:ind w:left="333" w:right="220" w:hanging="333"/>
        <w:spacing w:after="0" w:line="261" w:lineRule="auto"/>
        <w:tabs>
          <w:tab w:leader="none" w:pos="391"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Consent to Jurisdiction</w:t>
      </w:r>
      <w:r>
        <w:rPr>
          <w:rFonts w:ascii="Arial" w:cs="Arial" w:eastAsia="Arial" w:hAnsi="Arial"/>
          <w:sz w:val="18"/>
          <w:szCs w:val="18"/>
          <w:color w:val="auto"/>
        </w:rPr>
        <w:t>. This Agreement and the Program are governed by the laws of the State of New York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 of law rules. Any dispute arising out of or relating to this Agreement or the Program may be resolved in any state or federal court located within Dallas County, Texas, U.S.A. Grantee accepts that venue and submits to the personal jurisdiction of any such court. Similarly, the Corporation accepts such venue and submits to such jurisdiction.</w:t>
      </w:r>
    </w:p>
    <w:p>
      <w:pPr>
        <w:spacing w:after="0" w:line="180" w:lineRule="exact"/>
        <w:rPr>
          <w:rFonts w:ascii="Arial" w:cs="Arial" w:eastAsia="Arial" w:hAnsi="Arial"/>
          <w:sz w:val="18"/>
          <w:szCs w:val="18"/>
          <w:color w:val="auto"/>
        </w:rPr>
      </w:pPr>
    </w:p>
    <w:p>
      <w:pPr>
        <w:ind w:left="333" w:right="140" w:hanging="333"/>
        <w:spacing w:after="0" w:line="261" w:lineRule="auto"/>
        <w:tabs>
          <w:tab w:leader="none" w:pos="391"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understanding between Grantee and the Corporation with respect to the subject matter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jc w:val="center"/>
        <w:ind w:right="-1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106680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73"/>
          </w:cols>
          <w:pgMar w:left="167" w:top="405"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10(iii)(b.2)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EXXON MOBIL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EARNINGS BONUS UNIT AWARD</w:t>
      </w:r>
    </w:p>
    <w:p>
      <w:pPr>
        <w:spacing w:after="0" w:line="178"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82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6"/>
              </w:rPr>
              <w:t>Maximum</w:t>
            </w:r>
          </w:p>
        </w:tc>
      </w:tr>
      <w:tr>
        <w:trPr>
          <w:trHeight w:val="243"/>
        </w:trPr>
        <w:tc>
          <w:tcPr>
            <w:tcW w:w="13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8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Settlement</w:t>
            </w:r>
          </w:p>
        </w:tc>
      </w:tr>
      <w:tr>
        <w:trPr>
          <w:trHeight w:val="243"/>
        </w:trPr>
        <w:tc>
          <w:tcPr>
            <w:tcW w:w="1320" w:type="dxa"/>
            <w:vAlign w:val="bottom"/>
          </w:tcPr>
          <w:p>
            <w:pPr>
              <w:spacing w:after="0"/>
              <w:rPr>
                <w:sz w:val="21"/>
                <w:szCs w:val="21"/>
                <w:color w:val="auto"/>
              </w:rPr>
            </w:pPr>
          </w:p>
        </w:tc>
        <w:tc>
          <w:tcPr>
            <w:tcW w:w="3580" w:type="dxa"/>
            <w:vAlign w:val="bottom"/>
            <w:gridSpan w:val="3"/>
          </w:tcPr>
          <w:p>
            <w:pPr>
              <w:ind w:left="1880"/>
              <w:spacing w:after="0"/>
              <w:rPr>
                <w:sz w:val="20"/>
                <w:szCs w:val="20"/>
                <w:color w:val="auto"/>
              </w:rPr>
            </w:pPr>
            <w:r>
              <w:rPr>
                <w:rFonts w:ascii="Arial" w:cs="Arial" w:eastAsia="Arial" w:hAnsi="Arial"/>
                <w:sz w:val="18"/>
                <w:szCs w:val="18"/>
                <w:b w:val="1"/>
                <w:bCs w:val="1"/>
                <w:color w:val="auto"/>
              </w:rPr>
              <w:t>Number</w:t>
            </w:r>
          </w:p>
        </w:tc>
        <w:tc>
          <w:tcPr>
            <w:tcW w:w="2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Value Per</w:t>
            </w:r>
          </w:p>
        </w:tc>
        <w:tc>
          <w:tcPr>
            <w:tcW w:w="18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8"/>
              </w:rPr>
              <w:t>Value of</w:t>
            </w:r>
          </w:p>
        </w:tc>
      </w:tr>
      <w:tr>
        <w:trPr>
          <w:trHeight w:val="203"/>
        </w:trPr>
        <w:tc>
          <w:tcPr>
            <w:tcW w:w="1320" w:type="dxa"/>
            <w:vAlign w:val="bottom"/>
          </w:tcPr>
          <w:p>
            <w:pPr>
              <w:spacing w:after="0" w:line="202" w:lineRule="exact"/>
              <w:rPr>
                <w:sz w:val="20"/>
                <w:szCs w:val="20"/>
                <w:color w:val="auto"/>
              </w:rPr>
            </w:pPr>
            <w:r>
              <w:rPr>
                <w:rFonts w:ascii="Arial" w:cs="Arial" w:eastAsia="Arial" w:hAnsi="Arial"/>
                <w:sz w:val="18"/>
                <w:szCs w:val="18"/>
                <w:b w:val="1"/>
                <w:bCs w:val="1"/>
                <w:color w:val="auto"/>
                <w:w w:val="90"/>
              </w:rPr>
              <w:t>Name of Grantee</w:t>
            </w:r>
          </w:p>
        </w:tc>
        <w:tc>
          <w:tcPr>
            <w:tcW w:w="188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Arial" w:cs="Arial" w:eastAsia="Arial" w:hAnsi="Arial"/>
                <w:sz w:val="18"/>
                <w:szCs w:val="18"/>
                <w:b w:val="1"/>
                <w:bCs w:val="1"/>
                <w:color w:val="auto"/>
                <w:w w:val="88"/>
              </w:rPr>
              <w:t>of EBUs</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EBU</w:t>
            </w:r>
          </w:p>
        </w:tc>
        <w:tc>
          <w:tcPr>
            <w:tcW w:w="1240" w:type="dxa"/>
            <w:vAlign w:val="bottom"/>
          </w:tcPr>
          <w:p>
            <w:pPr>
              <w:spacing w:after="0"/>
              <w:rPr>
                <w:sz w:val="17"/>
                <w:szCs w:val="17"/>
                <w:color w:val="auto"/>
              </w:rPr>
            </w:pPr>
          </w:p>
        </w:tc>
        <w:tc>
          <w:tcPr>
            <w:tcW w:w="1820" w:type="dxa"/>
            <w:vAlign w:val="bottom"/>
            <w:gridSpan w:val="3"/>
          </w:tcPr>
          <w:p>
            <w:pPr>
              <w:jc w:val="center"/>
              <w:ind w:left="930"/>
              <w:spacing w:after="0" w:line="202" w:lineRule="exact"/>
              <w:rPr>
                <w:sz w:val="20"/>
                <w:szCs w:val="20"/>
                <w:color w:val="auto"/>
              </w:rPr>
            </w:pPr>
            <w:r>
              <w:rPr>
                <w:rFonts w:ascii="Arial" w:cs="Arial" w:eastAsia="Arial" w:hAnsi="Arial"/>
                <w:sz w:val="18"/>
                <w:szCs w:val="18"/>
                <w:b w:val="1"/>
                <w:bCs w:val="1"/>
                <w:color w:val="auto"/>
                <w:w w:val="94"/>
              </w:rPr>
              <w:t>Award</w:t>
            </w:r>
          </w:p>
        </w:tc>
      </w:tr>
      <w:tr>
        <w:trPr>
          <w:trHeight w:val="20"/>
        </w:trPr>
        <w:tc>
          <w:tcPr>
            <w:tcW w:w="1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00" w:type="dxa"/>
            <w:vAlign w:val="bottom"/>
            <w:gridSpan w:val="3"/>
          </w:tcPr>
          <w:p>
            <w:pPr>
              <w:jc w:val="center"/>
              <w:spacing w:after="0"/>
              <w:rPr>
                <w:sz w:val="20"/>
                <w:szCs w:val="20"/>
                <w:color w:val="auto"/>
              </w:rPr>
            </w:pPr>
            <w:r>
              <w:rPr>
                <w:rFonts w:ascii="Arial" w:cs="Arial" w:eastAsia="Arial" w:hAnsi="Arial"/>
                <w:sz w:val="18"/>
                <w:szCs w:val="18"/>
                <w:color w:val="auto"/>
                <w:w w:val="88"/>
              </w:rPr>
              <w:t>$6.50</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9"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EARNINGS BONUS UNIT AWARD</w:t>
      </w:r>
      <w:r>
        <w:rPr>
          <w:rFonts w:ascii="Arial" w:cs="Arial" w:eastAsia="Arial" w:hAnsi="Arial"/>
          <w:sz w:val="17"/>
          <w:szCs w:val="17"/>
          <w:color w:val="auto"/>
        </w:rPr>
        <w:t xml:space="preserve"> is granted in Dallas County, Texas by Exxon Mobil Corporation (the "Corporation") effective November 26, 2019 (the "date of grant"), pursuant to the Short Term Incentive Program adopted by the Board of Directors of the Corporation on October 27, 1993, as amended (the "Program"). This award is subject to the provisions of this instrument and the Program and to such regulations and requirements as may be stipulated from time to time by the administrative authority defined in the Program and is granted on the condition that Grantee accepts such provisions, regulations, and requirements. This instrument incorporates by reference the provisions of the Program, as it may be amended from time to time, including without limitation the definitions of terms used in this instrument and defined in the Program.</w:t>
      </w:r>
    </w:p>
    <w:p>
      <w:pPr>
        <w:spacing w:after="0" w:line="137" w:lineRule="exact"/>
        <w:rPr>
          <w:sz w:val="20"/>
          <w:szCs w:val="20"/>
          <w:color w:val="auto"/>
        </w:rPr>
      </w:pPr>
    </w:p>
    <w:p>
      <w:pPr>
        <w:ind w:right="100" w:firstLine="8"/>
        <w:spacing w:after="0" w:line="273"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Award</w:t>
      </w:r>
      <w:r>
        <w:rPr>
          <w:rFonts w:ascii="Arial" w:cs="Arial" w:eastAsia="Arial" w:hAnsi="Arial"/>
          <w:sz w:val="17"/>
          <w:szCs w:val="17"/>
          <w:color w:val="auto"/>
        </w:rPr>
        <w:t>. The Corporation has granted to Grantee the number of earnings bonus units ("EBUs") set forth above, with each EBU having the maximum settlement value set forth above. Subject to the other terms of this award, Grantee has the right, for each of these EBUs, to receive from the Corporation, promptly after the settlement date defined below, an amount of cash equal to the Corporation's cumulative earnings per common share (assuming dilution) as reflected in its quarterly earnings statements as initially filed in its quarterly or annual reports with the U.S. Securities and Exchange Commission commencing with earnings for the first full quarter following the date of grant to and including the last full quarter preceding the settlement date; provided, however, that the amount of such settlement will not exceed the maximum settlement value specified above.</w:t>
      </w:r>
    </w:p>
    <w:p>
      <w:pPr>
        <w:spacing w:after="0" w:line="151" w:lineRule="exact"/>
        <w:rPr>
          <w:rFonts w:ascii="Arial" w:cs="Arial" w:eastAsia="Arial" w:hAnsi="Arial"/>
          <w:sz w:val="17"/>
          <w:szCs w:val="17"/>
          <w:color w:val="auto"/>
        </w:rPr>
      </w:pPr>
    </w:p>
    <w:p>
      <w:pPr>
        <w:ind w:right="40" w:firstLine="8"/>
        <w:spacing w:after="0" w:line="25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Settlement Date</w:t>
      </w:r>
      <w:r>
        <w:rPr>
          <w:rFonts w:ascii="Arial" w:cs="Arial" w:eastAsia="Arial" w:hAnsi="Arial"/>
          <w:sz w:val="18"/>
          <w:szCs w:val="18"/>
          <w:color w:val="auto"/>
        </w:rPr>
        <w:t>. The settlement date of these EBUs will be the earlier of (i) the date of publication of the Corporation's quarterly earnings statement for the twelfth (12th) full quarter following the date of grant, or (ii) the date of publication of the Corporation's quarterly earnings statement which brings the cumulative earnings per common share (assuming dilution) as initially filed in its quarterly or annual reports with the U.S. Securities and Exchange Commission commencing with the first full quarter following the date of grant to an amount at least equal to the maximum settlement value per EBU specified above.</w:t>
      </w:r>
    </w:p>
    <w:p>
      <w:pPr>
        <w:spacing w:after="0" w:line="147"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Annulment</w:t>
      </w:r>
      <w:r>
        <w:rPr>
          <w:rFonts w:ascii="Arial" w:cs="Arial" w:eastAsia="Arial" w:hAnsi="Arial"/>
          <w:sz w:val="18"/>
          <w:szCs w:val="18"/>
          <w:color w:val="auto"/>
        </w:rPr>
        <w:t>. This award is provisional until the Corporation actually pays cash in settlement of the award.</w:t>
      </w:r>
    </w:p>
    <w:p>
      <w:pPr>
        <w:spacing w:after="0" w:line="117" w:lineRule="exact"/>
        <w:rPr>
          <w:rFonts w:ascii="Arial" w:cs="Arial" w:eastAsia="Arial" w:hAnsi="Arial"/>
          <w:sz w:val="18"/>
          <w:szCs w:val="18"/>
          <w:color w:val="auto"/>
        </w:rPr>
      </w:pPr>
    </w:p>
    <w:p>
      <w:pPr>
        <w:ind w:left="260" w:right="40" w:hanging="9"/>
        <w:spacing w:after="0" w:line="264" w:lineRule="auto"/>
        <w:tabs>
          <w:tab w:leader="none" w:pos="5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before the Corporation pays such cash, Grantee terminates (other than by death) before standard retirement time within the meaning of the Program, this award will automatically expire as of the date of termination, except to the extent the administrative authority determines Grantee may retain this award.</w:t>
      </w:r>
    </w:p>
    <w:p>
      <w:pPr>
        <w:spacing w:after="0" w:line="73" w:lineRule="exact"/>
        <w:rPr>
          <w:rFonts w:ascii="Arial" w:cs="Arial" w:eastAsia="Arial" w:hAnsi="Arial"/>
          <w:sz w:val="18"/>
          <w:szCs w:val="18"/>
          <w:color w:val="auto"/>
        </w:rPr>
      </w:pPr>
    </w:p>
    <w:p>
      <w:pPr>
        <w:ind w:left="260" w:right="20" w:hanging="9"/>
        <w:spacing w:after="0" w:line="277" w:lineRule="auto"/>
        <w:tabs>
          <w:tab w:leader="none" w:pos="51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before the Corporation pays such cash, Grantee is determined to have engaged in detrimental activity within the meaning of the Program, this award will automatically expire as of the date of such determination.</w:t>
      </w:r>
    </w:p>
    <w:p>
      <w:pPr>
        <w:spacing w:after="0" w:line="62" w:lineRule="exact"/>
        <w:rPr>
          <w:rFonts w:ascii="Arial" w:cs="Arial" w:eastAsia="Arial" w:hAnsi="Arial"/>
          <w:sz w:val="18"/>
          <w:szCs w:val="18"/>
          <w:color w:val="auto"/>
        </w:rPr>
      </w:pPr>
    </w:p>
    <w:p>
      <w:pPr>
        <w:ind w:left="260" w:right="480" w:hanging="9"/>
        <w:spacing w:after="0" w:line="342" w:lineRule="auto"/>
        <w:tabs>
          <w:tab w:leader="none" w:pos="505" w:val="left"/>
        </w:tabs>
        <w:numPr>
          <w:ilvl w:val="1"/>
          <w:numId w:val="50"/>
        </w:numPr>
        <w:rPr>
          <w:rFonts w:ascii="Arial" w:cs="Arial" w:eastAsia="Arial" w:hAnsi="Arial"/>
          <w:sz w:val="16"/>
          <w:szCs w:val="16"/>
          <w:color w:val="auto"/>
        </w:rPr>
      </w:pPr>
      <w:r>
        <w:rPr>
          <w:rFonts w:ascii="Arial" w:cs="Arial" w:eastAsia="Arial" w:hAnsi="Arial"/>
          <w:sz w:val="16"/>
          <w:szCs w:val="16"/>
          <w:color w:val="auto"/>
        </w:rPr>
        <w:t>Provisional awards held by executive officers may also be subject to cancellation to comply with applicable law or Corporation policy including, without limitation, any clawback obligations determined to be owed by Grantee to the Corporation in connection with this or other awards.</w:t>
      </w:r>
    </w:p>
    <w:p>
      <w:pPr>
        <w:spacing w:after="0" w:line="15" w:lineRule="exact"/>
        <w:rPr>
          <w:rFonts w:ascii="Arial" w:cs="Arial" w:eastAsia="Arial" w:hAnsi="Arial"/>
          <w:sz w:val="16"/>
          <w:szCs w:val="16"/>
          <w:color w:val="auto"/>
        </w:rPr>
      </w:pPr>
    </w:p>
    <w:p>
      <w:pPr>
        <w:ind w:right="100" w:firstLine="8"/>
        <w:spacing w:after="0" w:line="264"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number of EBUs covered by this award and the meaning of the term "common share" will be adjusted by the administrative authority as it deems appropriate to give effect to any stock split, stock dividend or other relevant change in capitalization of the Corporation after the date of grant and prior to the settlement date.</w:t>
      </w:r>
    </w:p>
    <w:p>
      <w:pPr>
        <w:spacing w:after="0" w:line="140" w:lineRule="exact"/>
        <w:rPr>
          <w:rFonts w:ascii="Arial" w:cs="Arial" w:eastAsia="Arial" w:hAnsi="Arial"/>
          <w:sz w:val="18"/>
          <w:szCs w:val="18"/>
          <w:color w:val="auto"/>
        </w:rPr>
      </w:pPr>
    </w:p>
    <w:p>
      <w:pPr>
        <w:ind w:right="80" w:firstLine="8"/>
        <w:spacing w:after="0" w:line="259"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 and Consent to Jurisdiction</w:t>
      </w:r>
      <w:r>
        <w:rPr>
          <w:rFonts w:ascii="Arial" w:cs="Arial" w:eastAsia="Arial" w:hAnsi="Arial"/>
          <w:sz w:val="18"/>
          <w:szCs w:val="18"/>
          <w:color w:val="auto"/>
        </w:rPr>
        <w:t>. This award and the Program are governed by the laws of the State of New York without regard to any conflict of law rules. Any dispute arising out of or relating to this award or the Program may be resolved in any state or federal court located within Dallas County, Texas, U.S.A. This award is issued on the condition that Grantee accepts such venue and submits to the personal jurisdiction of any such court. Similarly, the Corporation accepts such venue and submits to such jurisdiction.</w:t>
      </w: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EXXON MOBIL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ind w:left="9760"/>
        <w:spacing w:after="0"/>
        <w:rPr>
          <w:sz w:val="20"/>
          <w:szCs w:val="20"/>
          <w:color w:val="auto"/>
        </w:rPr>
      </w:pPr>
      <w:r>
        <w:rPr>
          <w:rFonts w:ascii="Arial" w:cs="Arial" w:eastAsia="Arial" w:hAnsi="Arial"/>
          <w:sz w:val="18"/>
          <w:szCs w:val="18"/>
          <w:b w:val="1"/>
          <w:bCs w:val="1"/>
          <w:color w:val="auto"/>
        </w:rPr>
        <w:t>EXHIBIT 10(iii)(f.3)</w:t>
      </w:r>
    </w:p>
    <w:p>
      <w:pPr>
        <w:sectPr>
          <w:pgSz w:w="11900" w:h="16838" w:orient="portrait"/>
          <w:cols w:equalWidth="0" w:num="1">
            <w:col w:w="11420"/>
          </w:cols>
          <w:pgMar w:left="240" w:top="553"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Exxon Mobil 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Neil A. Hansen</w:t>
      </w:r>
    </w:p>
    <w:p>
      <w:pPr>
        <w:spacing w:after="0" w:line="59" w:lineRule="exact"/>
        <w:rPr>
          <w:sz w:val="20"/>
          <w:szCs w:val="20"/>
          <w:color w:val="auto"/>
        </w:rPr>
      </w:pPr>
    </w:p>
    <w:p>
      <w:pPr>
        <w:sectPr>
          <w:pgSz w:w="11900" w:h="16838" w:orient="portrait"/>
          <w:cols w:equalWidth="0" w:num="2">
            <w:col w:w="7060" w:space="720"/>
            <w:col w:w="3640"/>
          </w:cols>
          <w:pgMar w:left="240" w:top="553" w:right="239" w:bottom="1440" w:gutter="0" w:footer="0" w:header="0"/>
          <w:type w:val="continuous"/>
        </w:sectPr>
      </w:pPr>
    </w:p>
    <w:p>
      <w:pPr>
        <w:spacing w:after="0"/>
        <w:rPr>
          <w:sz w:val="20"/>
          <w:szCs w:val="20"/>
          <w:color w:val="auto"/>
        </w:rPr>
      </w:pPr>
      <w:r>
        <w:rPr>
          <w:rFonts w:ascii="Arial" w:cs="Arial" w:eastAsia="Arial" w:hAnsi="Arial"/>
          <w:sz w:val="16"/>
          <w:szCs w:val="16"/>
          <w:color w:val="auto"/>
        </w:rPr>
        <w:t>5959 Las Colinas Boulevard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 Investor Relations</w:t>
      </w:r>
    </w:p>
    <w:p>
      <w:pPr>
        <w:spacing w:after="0" w:line="59" w:lineRule="exact"/>
        <w:rPr>
          <w:sz w:val="20"/>
          <w:szCs w:val="20"/>
          <w:color w:val="auto"/>
        </w:rPr>
      </w:pPr>
    </w:p>
    <w:p>
      <w:pPr>
        <w:sectPr>
          <w:pgSz w:w="11900" w:h="16838" w:orient="portrait"/>
          <w:cols w:equalWidth="0" w:num="2">
            <w:col w:w="7060" w:space="720"/>
            <w:col w:w="3640"/>
          </w:cols>
          <w:pgMar w:left="240" w:top="553" w:right="239" w:bottom="1440" w:gutter="0" w:footer="0" w:header="0"/>
          <w:type w:val="continuous"/>
        </w:sectPr>
      </w:pPr>
    </w:p>
    <w:p>
      <w:pPr>
        <w:spacing w:after="0"/>
        <w:rPr>
          <w:sz w:val="20"/>
          <w:szCs w:val="20"/>
          <w:color w:val="auto"/>
        </w:rPr>
      </w:pPr>
      <w:r>
        <w:rPr>
          <w:rFonts w:ascii="Arial" w:cs="Arial" w:eastAsia="Arial" w:hAnsi="Arial"/>
          <w:sz w:val="17"/>
          <w:szCs w:val="17"/>
          <w:color w:val="auto"/>
        </w:rPr>
        <w:t>Irving, TX 75039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and Corporate Secretary</w:t>
      </w:r>
    </w:p>
    <w:p>
      <w:pPr>
        <w:spacing w:after="0" w:line="222" w:lineRule="exact"/>
        <w:rPr>
          <w:sz w:val="20"/>
          <w:szCs w:val="20"/>
          <w:color w:val="auto"/>
        </w:rPr>
      </w:pPr>
    </w:p>
    <w:p>
      <w:pPr>
        <w:sectPr>
          <w:pgSz w:w="11900" w:h="16838" w:orient="portrait"/>
          <w:cols w:equalWidth="0" w:num="2">
            <w:col w:w="7060" w:space="720"/>
            <w:col w:w="3640"/>
          </w:cols>
          <w:pgMar w:left="240" w:top="553" w:right="23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January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38100</wp:posOffset>
            </wp:positionV>
            <wp:extent cx="1758315" cy="411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1758315" cy="41148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[Name of Non-Employee Director]</w:t>
      </w:r>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am pleased to inform you that on January 2, 2020, you were granted 2,500 shares of restricted stock under Exxon Mobil Corporation's 2004 Non-Employee Director Restricted Stock Plan (the "Plan") and in accordance with the Board's standing resolution regarding grants under the Plan. This letter summarizes key terms of your award and is qualified by reference to the Plan. You should refer to the text of the Plan for a detailed description of the terms and conditions of your award. Copies of the Plan have been previously distributed to you and are also available on request to me at any time.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restricted stock has been registered in your name and will be held in book-entry form by the Corporation's agent during the restricted period. As the owner of record, you have the right to vote the shares and receive cash dividends. However, during the restricted period the shares may not be sold, assigned, transferred, pledged, or otherwise disposed of or encumbered, and your restricted stock account will be subject to stop transfer instructions. When the restricted period expires, shares will be delivered to or for your account free of restrictions.</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restricted period for this award began at the time of grant. The restricted period will expire when you leave the Board after reaching retirement age (currently, age 72) or by reason of death. If you leave the Board before reaching retirement age, your restricted stock will be forfeited unless the Board determines to lift the restrictions at that time. By accepting this award, you agree to all its terms and conditions, including the restrictions on transfer and events of forfeiture.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You are entitled to designate a beneficiary for your restricted stock account. Please contact Cindy Kessel Guild at (972) 940-6708 for the necessary form should you wish to do so. Additional information concerning your award, including information on the tax consequences of your award and certain additional information required by the Securities Act of 1933, is also enclosed with this letter.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concerning the Plan or this award, please feel free to contact me at (972) 940-6716.</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[signed by Neil A. Hansen]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00" w:type="dxa"/>
            <w:vAlign w:val="bottom"/>
            <w:gridSpan w:val="2"/>
          </w:tcPr>
          <w:p>
            <w:pPr>
              <w:ind w:left="128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color w:val="auto"/>
              </w:rPr>
              <w:t xml:space="preserve">Subsidiaries of the Registrant </w:t>
            </w:r>
            <w:r>
              <w:rPr>
                <w:rFonts w:ascii="Arial" w:cs="Arial" w:eastAsia="Arial" w:hAnsi="Arial"/>
                <w:sz w:val="18"/>
                <w:szCs w:val="18"/>
                <w:b w:val="1"/>
                <w:bCs w:val="1"/>
                <w:i w:val="1"/>
                <w:iCs w:val="1"/>
                <w:color w:val="auto"/>
              </w:rPr>
              <w:t>(1), (2)</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(3)</w:t>
            </w:r>
            <w:r>
              <w:rPr>
                <w:rFonts w:ascii="Arial" w:cs="Arial" w:eastAsia="Arial" w:hAnsi="Arial"/>
                <w:sz w:val="18"/>
                <w:szCs w:val="18"/>
                <w:b w:val="1"/>
                <w:bCs w:val="1"/>
                <w:color w:val="auto"/>
              </w:rPr>
              <w:t xml:space="preserve"> – at December 31, 2019</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740" w:type="dxa"/>
            <w:vAlign w:val="bottom"/>
          </w:tcPr>
          <w:p>
            <w:pPr>
              <w:spacing w:after="0"/>
              <w:rPr>
                <w:sz w:val="24"/>
                <w:szCs w:val="24"/>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Percentage of</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Voting Securities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Owned Directly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or Indirectly by</w:t>
            </w:r>
          </w:p>
        </w:tc>
        <w:tc>
          <w:tcPr>
            <w:tcW w:w="2300" w:type="dxa"/>
            <w:vAlign w:val="bottom"/>
            <w:gridSpan w:val="2"/>
          </w:tcPr>
          <w:p>
            <w:pPr>
              <w:ind w:left="860"/>
              <w:spacing w:after="0"/>
              <w:rPr>
                <w:sz w:val="20"/>
                <w:szCs w:val="20"/>
                <w:color w:val="auto"/>
              </w:rPr>
            </w:pPr>
            <w:r>
              <w:rPr>
                <w:rFonts w:ascii="Arial" w:cs="Arial" w:eastAsia="Arial" w:hAnsi="Arial"/>
                <w:sz w:val="18"/>
                <w:szCs w:val="18"/>
                <w:color w:val="auto"/>
              </w:rPr>
              <w:t>State or</w:t>
            </w:r>
          </w:p>
        </w:tc>
        <w:tc>
          <w:tcPr>
            <w:tcW w:w="0" w:type="dxa"/>
            <w:vAlign w:val="bottom"/>
          </w:tcPr>
          <w:p>
            <w:pPr>
              <w:spacing w:after="0"/>
              <w:rPr>
                <w:sz w:val="1"/>
                <w:szCs w:val="1"/>
                <w:color w:val="auto"/>
              </w:rPr>
            </w:pPr>
          </w:p>
        </w:tc>
      </w:tr>
      <w:tr>
        <w:trPr>
          <w:trHeight w:val="230"/>
        </w:trPr>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 xml:space="preserve">Aera Energy LLC </w:t>
            </w:r>
            <w:r>
              <w:rPr>
                <w:rFonts w:ascii="Arial" w:cs="Arial" w:eastAsia="Arial" w:hAnsi="Arial"/>
                <w:sz w:val="18"/>
                <w:szCs w:val="18"/>
                <w:i w:val="1"/>
                <w:iCs w:val="1"/>
                <w:color w:val="auto"/>
              </w:rPr>
              <w:t>(5)</w:t>
            </w:r>
          </w:p>
        </w:tc>
        <w:tc>
          <w:tcPr>
            <w:tcW w:w="24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Registrant</w:t>
            </w:r>
          </w:p>
        </w:tc>
        <w:tc>
          <w:tcPr>
            <w:tcW w:w="2300" w:type="dxa"/>
            <w:vAlign w:val="bottom"/>
            <w:gridSpan w:val="2"/>
          </w:tcPr>
          <w:p>
            <w:pPr>
              <w:ind w:left="260"/>
              <w:spacing w:after="0"/>
              <w:rPr>
                <w:sz w:val="20"/>
                <w:szCs w:val="20"/>
                <w:color w:val="auto"/>
              </w:rPr>
            </w:pPr>
            <w:r>
              <w:rPr>
                <w:rFonts w:ascii="Arial" w:cs="Arial" w:eastAsia="Arial" w:hAnsi="Arial"/>
                <w:sz w:val="18"/>
                <w:szCs w:val="18"/>
                <w:color w:val="auto"/>
              </w:rPr>
              <w:t>Country of Organization</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84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rPr>
              <w:t>48.2</w:t>
            </w:r>
          </w:p>
        </w:tc>
        <w:tc>
          <w:tcPr>
            <w:tcW w:w="560" w:type="dxa"/>
            <w:vAlign w:val="bottom"/>
          </w:tcPr>
          <w:p>
            <w:pPr>
              <w:spacing w:after="0"/>
              <w:rPr>
                <w:sz w:val="16"/>
                <w:szCs w:val="16"/>
                <w:color w:val="auto"/>
              </w:rPr>
            </w:pPr>
          </w:p>
        </w:tc>
        <w:tc>
          <w:tcPr>
            <w:tcW w:w="22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AKG Marketing Company Limited</w:t>
            </w:r>
          </w:p>
        </w:tc>
        <w:tc>
          <w:tcPr>
            <w:tcW w:w="1840" w:type="dxa"/>
            <w:vAlign w:val="bottom"/>
          </w:tcPr>
          <w:p>
            <w:pPr>
              <w:ind w:left="500"/>
              <w:spacing w:after="0"/>
              <w:rPr>
                <w:sz w:val="20"/>
                <w:szCs w:val="20"/>
                <w:color w:val="auto"/>
              </w:rPr>
            </w:pPr>
            <w:r>
              <w:rPr>
                <w:rFonts w:ascii="Arial" w:cs="Arial" w:eastAsia="Arial" w:hAnsi="Arial"/>
                <w:sz w:val="18"/>
                <w:szCs w:val="18"/>
                <w:color w:val="auto"/>
              </w:rPr>
              <w:t>87.5</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Al-Jubail Petrochemical Company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Alberta Products Pipe Line Ltd.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Ampolex (Cepu) Pte Ltd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Ancon Insurance Company,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Barnett Gathering,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Barzan Gas Company Limited </w:t>
            </w:r>
            <w:r>
              <w:rPr>
                <w:rFonts w:ascii="Arial" w:cs="Arial" w:eastAsia="Arial" w:hAnsi="Arial"/>
                <w:sz w:val="18"/>
                <w:szCs w:val="18"/>
                <w:i w:val="1"/>
                <w:iCs w:val="1"/>
                <w:color w:val="auto"/>
              </w:rPr>
              <w:t>(5)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BEB Erdgas und Erdoel GmbH &amp; Co. KG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Cameroon Oil Transportation Company S.A.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41.06</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Cameroon</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Canada Imperial Oil Limited</w:t>
            </w:r>
          </w:p>
        </w:tc>
        <w:tc>
          <w:tcPr>
            <w:tcW w:w="1840" w:type="dxa"/>
            <w:vAlign w:val="bottom"/>
          </w:tcPr>
          <w:p>
            <w:pPr>
              <w:ind w:left="500"/>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Caspian Pipeline Consortium </w:t>
            </w:r>
            <w:r>
              <w:rPr>
                <w:rFonts w:ascii="Arial" w:cs="Arial" w:eastAsia="Arial" w:hAnsi="Arial"/>
                <w:sz w:val="18"/>
                <w:szCs w:val="18"/>
                <w:i w:val="1"/>
                <w:iCs w:val="1"/>
                <w:color w:val="auto"/>
              </w:rPr>
              <w:t>(5)</w:t>
            </w:r>
          </w:p>
        </w:tc>
        <w:tc>
          <w:tcPr>
            <w:tcW w:w="1840" w:type="dxa"/>
            <w:vAlign w:val="bottom"/>
          </w:tcPr>
          <w:p>
            <w:pPr>
              <w:jc w:val="right"/>
              <w:ind w:right="93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Russia/Kazakhstan</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Coral FLNG, S.A. </w:t>
            </w:r>
            <w:r>
              <w:rPr>
                <w:rFonts w:ascii="Arial" w:cs="Arial" w:eastAsia="Arial" w:hAnsi="Arial"/>
                <w:sz w:val="18"/>
                <w:szCs w:val="18"/>
                <w:i w:val="1"/>
                <w:iCs w:val="1"/>
                <w:color w:val="auto"/>
              </w:rPr>
              <w:t>(5)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Mozambique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Cross Timbers Energy, LLC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Ellora Energy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Australia Resources Pty Ltd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Deutschland GmbH</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Erdgas Beteiligungsgesellschaft mbH</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Angola (Overseas)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Chad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Guyana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Nigeria (Deepwater)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Nigeria (Offshore East)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Nigeria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and Production UK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Angola (Block 15)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Exploration Angola (Block 17)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Global Investments Ltd.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Italiana S.r.l.</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Nederland B.V.</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Norge AS</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Petroleum Company,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Raffinage</w:t>
            </w:r>
          </w:p>
        </w:tc>
        <w:tc>
          <w:tcPr>
            <w:tcW w:w="1840" w:type="dxa"/>
            <w:vAlign w:val="bottom"/>
          </w:tcPr>
          <w:p>
            <w:pPr>
              <w:ind w:left="500"/>
              <w:spacing w:after="0"/>
              <w:rPr>
                <w:sz w:val="20"/>
                <w:szCs w:val="20"/>
                <w:color w:val="auto"/>
              </w:rPr>
            </w:pPr>
            <w:r>
              <w:rPr>
                <w:rFonts w:ascii="Arial" w:cs="Arial" w:eastAsia="Arial" w:hAnsi="Arial"/>
                <w:sz w:val="18"/>
                <w:szCs w:val="18"/>
                <w:color w:val="auto"/>
              </w:rPr>
              <w:t>82.89</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Societe Anonyme Francaise</w:t>
            </w:r>
          </w:p>
        </w:tc>
        <w:tc>
          <w:tcPr>
            <w:tcW w:w="1840" w:type="dxa"/>
            <w:vAlign w:val="bottom"/>
          </w:tcPr>
          <w:p>
            <w:pPr>
              <w:ind w:left="500"/>
              <w:spacing w:after="0"/>
              <w:rPr>
                <w:sz w:val="20"/>
                <w:szCs w:val="20"/>
                <w:color w:val="auto"/>
              </w:rPr>
            </w:pPr>
            <w:r>
              <w:rPr>
                <w:rFonts w:ascii="Arial" w:cs="Arial" w:eastAsia="Arial" w:hAnsi="Arial"/>
                <w:sz w:val="18"/>
                <w:szCs w:val="18"/>
                <w:color w:val="auto"/>
              </w:rPr>
              <w:t>82.89</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Esso (Thailand) Public Company Limited</w:t>
            </w:r>
          </w:p>
        </w:tc>
        <w:tc>
          <w:tcPr>
            <w:tcW w:w="1840" w:type="dxa"/>
            <w:vAlign w:val="bottom"/>
          </w:tcPr>
          <w:p>
            <w:pPr>
              <w:ind w:left="500"/>
              <w:spacing w:after="0"/>
              <w:rPr>
                <w:sz w:val="20"/>
                <w:szCs w:val="20"/>
                <w:color w:val="auto"/>
              </w:rPr>
            </w:pPr>
            <w:r>
              <w:rPr>
                <w:rFonts w:ascii="Arial" w:cs="Arial" w:eastAsia="Arial" w:hAnsi="Arial"/>
                <w:sz w:val="18"/>
                <w:szCs w:val="18"/>
                <w:color w:val="auto"/>
              </w:rPr>
              <w:t>65.99</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Azerbaijan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Chemical Arabia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International Finance Company</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Luxembourg Holdings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Neftegas Limited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Overseas Corporation</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Exxon Overseas Investment Corporation</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740" w:type="dxa"/>
            <w:vAlign w:val="bottom"/>
          </w:tcPr>
          <w:p>
            <w:pPr>
              <w:ind w:left="60"/>
              <w:spacing w:after="0"/>
              <w:rPr>
                <w:sz w:val="20"/>
                <w:szCs w:val="20"/>
                <w:color w:val="auto"/>
              </w:rPr>
            </w:pPr>
            <w:r>
              <w:rPr>
                <w:rFonts w:ascii="Arial" w:cs="Arial" w:eastAsia="Arial" w:hAnsi="Arial"/>
                <w:sz w:val="18"/>
                <w:szCs w:val="18"/>
                <w:color w:val="auto"/>
              </w:rPr>
              <w:t>ExxonMobil (China) Investment Co., Ltd.</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89"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gridSpan w:val="2"/>
          </w:tcPr>
          <w:p>
            <w:pPr>
              <w:ind w:left="420"/>
              <w:spacing w:after="0"/>
              <w:rPr>
                <w:sz w:val="20"/>
                <w:szCs w:val="20"/>
                <w:color w:val="auto"/>
              </w:rPr>
            </w:pPr>
            <w:r>
              <w:rPr>
                <w:rFonts w:ascii="Arial" w:cs="Arial" w:eastAsia="Arial" w:hAnsi="Arial"/>
                <w:sz w:val="18"/>
                <w:szCs w:val="18"/>
                <w:color w:val="auto"/>
              </w:rPr>
              <w:t>Percentage of</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Voting Securities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Owned Directly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or Indirectly by</w:t>
            </w:r>
          </w:p>
        </w:tc>
        <w:tc>
          <w:tcPr>
            <w:tcW w:w="2280" w:type="dxa"/>
            <w:vAlign w:val="bottom"/>
          </w:tcPr>
          <w:p>
            <w:pPr>
              <w:ind w:left="860"/>
              <w:spacing w:after="0"/>
              <w:rPr>
                <w:sz w:val="20"/>
                <w:szCs w:val="20"/>
                <w:color w:val="auto"/>
              </w:rPr>
            </w:pPr>
            <w:r>
              <w:rPr>
                <w:rFonts w:ascii="Arial" w:cs="Arial" w:eastAsia="Arial" w:hAnsi="Arial"/>
                <w:sz w:val="18"/>
                <w:szCs w:val="18"/>
                <w:color w:val="auto"/>
              </w:rPr>
              <w:t>State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vMerge w:val="restart"/>
          </w:tcPr>
          <w:p>
            <w:pPr>
              <w:ind w:left="60"/>
              <w:spacing w:after="0"/>
              <w:rPr>
                <w:sz w:val="20"/>
                <w:szCs w:val="20"/>
                <w:color w:val="auto"/>
              </w:rPr>
            </w:pPr>
            <w:r>
              <w:rPr>
                <w:rFonts w:ascii="Arial" w:cs="Arial" w:eastAsia="Arial" w:hAnsi="Arial"/>
                <w:sz w:val="18"/>
                <w:szCs w:val="18"/>
                <w:color w:val="auto"/>
              </w:rPr>
              <w:t>ExxonMobil (Taicang) Petroleum Co., Ltd.</w:t>
            </w:r>
          </w:p>
        </w:tc>
        <w:tc>
          <w:tcPr>
            <w:tcW w:w="1480" w:type="dxa"/>
            <w:vAlign w:val="bottom"/>
          </w:tcPr>
          <w:p>
            <w:pPr>
              <w:spacing w:after="0"/>
              <w:rPr>
                <w:sz w:val="20"/>
                <w:szCs w:val="20"/>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Registrant</w:t>
            </w:r>
          </w:p>
        </w:tc>
        <w:tc>
          <w:tcPr>
            <w:tcW w:w="2280" w:type="dxa"/>
            <w:vAlign w:val="bottom"/>
          </w:tcPr>
          <w:p>
            <w:pPr>
              <w:ind w:left="260"/>
              <w:spacing w:after="0"/>
              <w:rPr>
                <w:sz w:val="20"/>
                <w:szCs w:val="20"/>
                <w:color w:val="auto"/>
              </w:rPr>
            </w:pPr>
            <w:r>
              <w:rPr>
                <w:rFonts w:ascii="Arial" w:cs="Arial" w:eastAsia="Arial" w:hAnsi="Arial"/>
                <w:sz w:val="18"/>
                <w:szCs w:val="18"/>
                <w:color w:val="auto"/>
              </w:rPr>
              <w:t>Country of Organization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84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6"/>
                <w:szCs w:val="16"/>
                <w:color w:val="auto"/>
              </w:rPr>
            </w:pPr>
          </w:p>
        </w:tc>
        <w:tc>
          <w:tcPr>
            <w:tcW w:w="22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Abu Dhabi Offshore Petroleum Company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Alaska Production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Asia Pacific Pte. Ltd.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Australia Pty Ltd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Barzan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Canada Energy</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Canada Ltd.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Canada Properties</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Canada Resources Company</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Capital Finance Company</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Capital Netherlands B.V.</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Central Europe Holding GmbH</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Cepu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Chemical France</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Chemical Gulf Coast Investments LLC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Chemical Holland B.V.</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Chemical Services (Shanghai) Co., Ltd.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China Petroleum &amp; Petrochemical Company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Delaware Holdings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Development Africa B.V.</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Egypt (S.A.E.)</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Egypt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Exploracao Brasil Ltda.</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Exploration and Production Malaysia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Exploration and Production Norway AS</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Norway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Exploration and Production Romania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Exploration and Production Tanzania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Financial Investment Company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Gas Marketing Europe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Global Services Company</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Golden Pass Surety LLC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Holding Company Holland LLC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Holding Norway AS</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Norway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Hong Kong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International Holdings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International Services SARL</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Luxembourg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Iraq Limited</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Italiana Gas S.r.l.</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Kazakhstan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Kazakhstan Ventures Inc.</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LNG Services B.V.</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Lubricants Trading Company</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Arial" w:cs="Arial" w:eastAsia="Arial" w:hAnsi="Arial"/>
                <w:sz w:val="18"/>
                <w:szCs w:val="18"/>
                <w:color w:val="auto"/>
              </w:rPr>
              <w:t>ExxonMobil Oil Corporation</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New York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ExxonMobil Petroleum &amp; Chemical BV</w:t>
            </w:r>
          </w:p>
        </w:tc>
        <w:tc>
          <w:tcPr>
            <w:tcW w:w="3320" w:type="dxa"/>
            <w:vAlign w:val="bottom"/>
            <w:gridSpan w:val="2"/>
          </w:tcPr>
          <w:p>
            <w:pPr>
              <w:ind w:left="19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5260" w:type="dxa"/>
            <w:vAlign w:val="bottom"/>
          </w:tcPr>
          <w:p>
            <w:pPr>
              <w:spacing w:after="0"/>
              <w:rPr>
                <w:sz w:val="24"/>
                <w:szCs w:val="24"/>
                <w:color w:val="auto"/>
              </w:rPr>
            </w:pP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2</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26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18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93" w:right="2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Percentage of</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Voting Securities</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Owned Directly</w:t>
            </w: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or Indirectly by</w:t>
            </w:r>
          </w:p>
        </w:tc>
        <w:tc>
          <w:tcPr>
            <w:tcW w:w="2280" w:type="dxa"/>
            <w:vAlign w:val="bottom"/>
          </w:tcPr>
          <w:p>
            <w:pPr>
              <w:ind w:left="860"/>
              <w:spacing w:after="0"/>
              <w:rPr>
                <w:sz w:val="20"/>
                <w:szCs w:val="20"/>
                <w:color w:val="auto"/>
              </w:rPr>
            </w:pPr>
            <w:r>
              <w:rPr>
                <w:rFonts w:ascii="Arial" w:cs="Arial" w:eastAsia="Arial" w:hAnsi="Arial"/>
                <w:sz w:val="18"/>
                <w:szCs w:val="18"/>
                <w:color w:val="auto"/>
              </w:rPr>
              <w:t>State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vMerge w:val="restart"/>
          </w:tcPr>
          <w:p>
            <w:pPr>
              <w:ind w:left="60"/>
              <w:spacing w:after="0"/>
              <w:rPr>
                <w:sz w:val="20"/>
                <w:szCs w:val="20"/>
                <w:color w:val="auto"/>
              </w:rPr>
            </w:pPr>
            <w:r>
              <w:rPr>
                <w:rFonts w:ascii="Arial" w:cs="Arial" w:eastAsia="Arial" w:hAnsi="Arial"/>
                <w:sz w:val="18"/>
                <w:szCs w:val="18"/>
                <w:color w:val="auto"/>
              </w:rPr>
              <w:t>ExxonMobil Petroleum &amp; Chemical Holdings Inc.</w:t>
            </w:r>
          </w:p>
        </w:tc>
        <w:tc>
          <w:tcPr>
            <w:tcW w:w="1740" w:type="dxa"/>
            <w:vAlign w:val="bottom"/>
          </w:tcPr>
          <w:p>
            <w:pPr>
              <w:spacing w:after="0"/>
              <w:rPr>
                <w:sz w:val="20"/>
                <w:szCs w:val="20"/>
                <w:color w:val="auto"/>
              </w:rPr>
            </w:pPr>
          </w:p>
        </w:tc>
        <w:tc>
          <w:tcPr>
            <w:tcW w:w="24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Registrant</w:t>
            </w:r>
          </w:p>
        </w:tc>
        <w:tc>
          <w:tcPr>
            <w:tcW w:w="2280" w:type="dxa"/>
            <w:vAlign w:val="bottom"/>
          </w:tcPr>
          <w:p>
            <w:pPr>
              <w:ind w:left="260"/>
              <w:spacing w:after="0"/>
              <w:rPr>
                <w:sz w:val="20"/>
                <w:szCs w:val="20"/>
                <w:color w:val="auto"/>
              </w:rPr>
            </w:pPr>
            <w:r>
              <w:rPr>
                <w:rFonts w:ascii="Arial" w:cs="Arial" w:eastAsia="Arial" w:hAnsi="Arial"/>
                <w:sz w:val="18"/>
                <w:szCs w:val="18"/>
                <w:color w:val="auto"/>
              </w:rPr>
              <w:t>Country of Organization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840" w:type="dxa"/>
            <w:vAlign w:val="bottom"/>
            <w:tcBorders>
              <w:top w:val="single" w:sz="8" w:color="auto"/>
            </w:tcBorders>
          </w:tcPr>
          <w:p>
            <w:pPr>
              <w:jc w:val="right"/>
              <w:ind w:right="1070"/>
              <w:spacing w:after="0" w:line="195"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6"/>
                <w:szCs w:val="16"/>
                <w:color w:val="auto"/>
              </w:rPr>
            </w:pPr>
          </w:p>
        </w:tc>
        <w:tc>
          <w:tcPr>
            <w:tcW w:w="22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Pipeline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PNG Antelope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Papua New Guinea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PNG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Papua New Guinea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Production Deutschland GmbH</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Qatargas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Qatargas (II)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Ras Laffan (III)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Rasgas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Research and Engineering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Sales and Supply LLC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Technology Finance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Upstream Integrated Solutions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Ventures Finance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ExxonMobil Ventures Funding Ltd.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Fujian Refining &amp; Petrochemical Co. Ltd. </w:t>
            </w:r>
            <w:r>
              <w:rPr>
                <w:rFonts w:ascii="Arial" w:cs="Arial" w:eastAsia="Arial" w:hAnsi="Arial"/>
                <w:sz w:val="18"/>
                <w:szCs w:val="18"/>
                <w:i w:val="1"/>
                <w:iCs w:val="1"/>
                <w:color w:val="auto"/>
              </w:rPr>
              <w:t>(5)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Golden Pass LNG Terminal Investments LLC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Golden Pass LNG Terminal LLC </w:t>
            </w:r>
            <w:r>
              <w:rPr>
                <w:rFonts w:ascii="Arial" w:cs="Arial" w:eastAsia="Arial" w:hAnsi="Arial"/>
                <w:sz w:val="18"/>
                <w:szCs w:val="18"/>
                <w:i w:val="1"/>
                <w:iCs w:val="1"/>
                <w:color w:val="auto"/>
              </w:rPr>
              <w:t>(5)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Golden Pass Pipeline LLC (5)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Gulf Coast Growth Ventures LLC </w:t>
            </w:r>
            <w:r>
              <w:rPr>
                <w:rFonts w:ascii="Arial" w:cs="Arial" w:eastAsia="Arial" w:hAnsi="Arial"/>
                <w:sz w:val="18"/>
                <w:szCs w:val="18"/>
                <w:i w:val="1"/>
                <w:iCs w:val="1"/>
                <w:color w:val="auto"/>
              </w:rPr>
              <w:t>(4) (5)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Imperial Oil Limited</w:t>
            </w:r>
          </w:p>
        </w:tc>
        <w:tc>
          <w:tcPr>
            <w:tcW w:w="3580" w:type="dxa"/>
            <w:vAlign w:val="bottom"/>
            <w:gridSpan w:val="2"/>
          </w:tcPr>
          <w:p>
            <w:pPr>
              <w:jc w:val="right"/>
              <w:ind w:right="930"/>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Imperial Oil Resources Limited</w:t>
            </w:r>
          </w:p>
        </w:tc>
        <w:tc>
          <w:tcPr>
            <w:tcW w:w="3580" w:type="dxa"/>
            <w:vAlign w:val="bottom"/>
            <w:gridSpan w:val="2"/>
          </w:tcPr>
          <w:p>
            <w:pPr>
              <w:jc w:val="right"/>
              <w:ind w:right="930"/>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Imperial Oil Resources N.W.T. Limited</w:t>
            </w:r>
          </w:p>
        </w:tc>
        <w:tc>
          <w:tcPr>
            <w:tcW w:w="3580" w:type="dxa"/>
            <w:vAlign w:val="bottom"/>
            <w:gridSpan w:val="2"/>
          </w:tcPr>
          <w:p>
            <w:pPr>
              <w:jc w:val="right"/>
              <w:ind w:right="930"/>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Imperial Oil/Petroliere Imperiale</w:t>
            </w:r>
          </w:p>
        </w:tc>
        <w:tc>
          <w:tcPr>
            <w:tcW w:w="3580" w:type="dxa"/>
            <w:vAlign w:val="bottom"/>
            <w:gridSpan w:val="2"/>
          </w:tcPr>
          <w:p>
            <w:pPr>
              <w:jc w:val="right"/>
              <w:ind w:right="930"/>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Infineum Italia s.r.I. </w:t>
            </w:r>
            <w:r>
              <w:rPr>
                <w:rFonts w:ascii="Arial" w:cs="Arial" w:eastAsia="Arial" w:hAnsi="Arial"/>
                <w:sz w:val="18"/>
                <w:szCs w:val="18"/>
                <w:i w:val="1"/>
                <w:iCs w:val="1"/>
                <w:color w:val="auto"/>
              </w:rPr>
              <w:t>(4) (5)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Infineum Singapore LLP </w:t>
            </w:r>
            <w:r>
              <w:rPr>
                <w:rFonts w:ascii="Arial" w:cs="Arial" w:eastAsia="Arial" w:hAnsi="Arial"/>
                <w:sz w:val="18"/>
                <w:szCs w:val="18"/>
                <w:i w:val="1"/>
                <w:iCs w:val="1"/>
                <w:color w:val="auto"/>
              </w:rPr>
              <w:t>(4) (5)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 xml:space="preserve">Marine Well Containment Company LLC </w:t>
            </w:r>
            <w:r>
              <w:rPr>
                <w:rFonts w:ascii="Arial" w:cs="Arial" w:eastAsia="Arial" w:hAnsi="Arial"/>
                <w:sz w:val="18"/>
                <w:szCs w:val="18"/>
                <w:i w:val="1"/>
                <w:iCs w:val="1"/>
                <w:color w:val="auto"/>
              </w:rPr>
              <w:t>(5)</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Mid-Point Pipeline LLC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Australia Resources Company Pty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California Exploration &amp; Producing Asset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Caspian Pipeline Company</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Chemical Products International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Corporation</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Equatorial Guinea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Erdgas Verwaltungsgesellschaft mbH</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Exploration &amp; Producing Australia Pty Ltd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International Finance Corporation</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International Petroleum Corporation</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Oil Australia Pty Ltd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Oil Exploration &amp; Producing Southeast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Oil New Zealand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Producing Nigeria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Nigeria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Arial" w:cs="Arial" w:eastAsia="Arial" w:hAnsi="Arial"/>
                <w:sz w:val="18"/>
                <w:szCs w:val="18"/>
                <w:color w:val="auto"/>
              </w:rPr>
              <w:t>Mobil Producing Texas &amp; New Mexico Inc.</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18"/>
                <w:szCs w:val="18"/>
                <w:color w:val="auto"/>
              </w:rPr>
              <w:t>Mobil Services (Bahamas) Limited</w:t>
            </w:r>
          </w:p>
        </w:tc>
        <w:tc>
          <w:tcPr>
            <w:tcW w:w="3580" w:type="dxa"/>
            <w:vAlign w:val="bottom"/>
            <w:gridSpan w:val="2"/>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5000" w:type="dxa"/>
            <w:vAlign w:val="bottom"/>
          </w:tcPr>
          <w:p>
            <w:pPr>
              <w:spacing w:after="0"/>
              <w:rPr>
                <w:sz w:val="24"/>
                <w:szCs w:val="24"/>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00" w:type="dxa"/>
            <w:vAlign w:val="bottom"/>
            <w:tcBorders>
              <w:bottom w:val="single" w:sz="8" w:color="808080"/>
            </w:tcBorders>
          </w:tcPr>
          <w:p>
            <w:pPr>
              <w:spacing w:after="0"/>
              <w:rPr>
                <w:sz w:val="16"/>
                <w:szCs w:val="16"/>
                <w:color w:val="auto"/>
              </w:rPr>
            </w:pPr>
          </w:p>
        </w:tc>
        <w:tc>
          <w:tcPr>
            <w:tcW w:w="1740" w:type="dxa"/>
            <w:vAlign w:val="bottom"/>
            <w:tcBorders>
              <w:bottom w:val="single" w:sz="8" w:color="808080"/>
            </w:tcBorders>
          </w:tcPr>
          <w:p>
            <w:pPr>
              <w:spacing w:after="0"/>
              <w:rPr>
                <w:sz w:val="16"/>
                <w:szCs w:val="16"/>
                <w:color w:val="auto"/>
              </w:rPr>
            </w:pPr>
          </w:p>
        </w:tc>
        <w:tc>
          <w:tcPr>
            <w:tcW w:w="18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93" w:right="2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Percentage of</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Voting Securities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Owned Directly</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or Indirectly by</w:t>
            </w:r>
          </w:p>
        </w:tc>
        <w:tc>
          <w:tcPr>
            <w:tcW w:w="2280" w:type="dxa"/>
            <w:vAlign w:val="bottom"/>
          </w:tcPr>
          <w:p>
            <w:pPr>
              <w:ind w:left="860"/>
              <w:spacing w:after="0"/>
              <w:rPr>
                <w:sz w:val="20"/>
                <w:szCs w:val="20"/>
                <w:color w:val="auto"/>
              </w:rPr>
            </w:pPr>
            <w:r>
              <w:rPr>
                <w:rFonts w:ascii="Arial" w:cs="Arial" w:eastAsia="Arial" w:hAnsi="Arial"/>
                <w:sz w:val="18"/>
                <w:szCs w:val="18"/>
                <w:color w:val="auto"/>
              </w:rPr>
              <w:t>State or</w:t>
            </w:r>
          </w:p>
        </w:tc>
        <w:tc>
          <w:tcPr>
            <w:tcW w:w="0" w:type="dxa"/>
            <w:vAlign w:val="bottom"/>
          </w:tcPr>
          <w:p>
            <w:pPr>
              <w:spacing w:after="0"/>
              <w:rPr>
                <w:sz w:val="1"/>
                <w:szCs w:val="1"/>
                <w:color w:val="auto"/>
              </w:rPr>
            </w:pPr>
          </w:p>
        </w:tc>
      </w:tr>
      <w:tr>
        <w:trPr>
          <w:trHeight w:val="230"/>
        </w:trPr>
        <w:tc>
          <w:tcPr>
            <w:tcW w:w="6740" w:type="dxa"/>
            <w:vAlign w:val="bottom"/>
            <w:vMerge w:val="restart"/>
          </w:tcPr>
          <w:p>
            <w:pPr>
              <w:ind w:left="60"/>
              <w:spacing w:after="0"/>
              <w:rPr>
                <w:sz w:val="20"/>
                <w:szCs w:val="20"/>
                <w:color w:val="auto"/>
              </w:rPr>
            </w:pPr>
            <w:r>
              <w:rPr>
                <w:rFonts w:ascii="Arial" w:cs="Arial" w:eastAsia="Arial" w:hAnsi="Arial"/>
                <w:sz w:val="18"/>
                <w:szCs w:val="18"/>
                <w:color w:val="auto"/>
              </w:rPr>
              <w:t>Mobil Venezolana De Petroleos Inc.</w:t>
            </w:r>
          </w:p>
        </w:tc>
        <w:tc>
          <w:tcPr>
            <w:tcW w:w="24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Registrant</w:t>
            </w:r>
          </w:p>
        </w:tc>
        <w:tc>
          <w:tcPr>
            <w:tcW w:w="2280" w:type="dxa"/>
            <w:vAlign w:val="bottom"/>
          </w:tcPr>
          <w:p>
            <w:pPr>
              <w:ind w:left="260"/>
              <w:spacing w:after="0"/>
              <w:rPr>
                <w:sz w:val="20"/>
                <w:szCs w:val="20"/>
                <w:color w:val="auto"/>
              </w:rPr>
            </w:pPr>
            <w:r>
              <w:rPr>
                <w:rFonts w:ascii="Arial" w:cs="Arial" w:eastAsia="Arial" w:hAnsi="Arial"/>
                <w:sz w:val="18"/>
                <w:szCs w:val="18"/>
                <w:color w:val="auto"/>
              </w:rPr>
              <w:t>Country of Organization</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840" w:type="dxa"/>
            <w:vAlign w:val="bottom"/>
            <w:tcBorders>
              <w:top w:val="single" w:sz="8" w:color="auto"/>
            </w:tcBorders>
          </w:tcPr>
          <w:p>
            <w:pPr>
              <w:jc w:val="right"/>
              <w:ind w:right="1070"/>
              <w:spacing w:after="0" w:line="195"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6"/>
                <w:szCs w:val="16"/>
                <w:color w:val="auto"/>
              </w:rPr>
            </w:pPr>
          </w:p>
        </w:tc>
        <w:tc>
          <w:tcPr>
            <w:tcW w:w="22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Mobil Yanbu Petrochemical Company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Mobil Yanbu Refining Company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Mountain Gathering,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Mozambique Rovuma Venture, S.p.A.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35.714</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Nederlandse Aardolie Maatschappij B.V.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Palmetto Transoceanic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Papua New Guinea Liquefied Natural Gas Global Company LDC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33.2</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Permian Express Partners LLC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Permian Highway Pipeline LLC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Phillips Exploration,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Qatar Liquefied Gas Company Limited </w:t>
            </w:r>
            <w:r>
              <w:rPr>
                <w:rFonts w:ascii="Arial" w:cs="Arial" w:eastAsia="Arial" w:hAnsi="Arial"/>
                <w:sz w:val="18"/>
                <w:szCs w:val="18"/>
                <w:i w:val="1"/>
                <w:iCs w:val="1"/>
                <w:color w:val="auto"/>
              </w:rPr>
              <w:t>(5)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Qatar Liquefied Gas Company Limited (2)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24.15</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Ras Laffan Liquefied Natural Gas Company Limited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24.999</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Ras Laffan Liquefied Natural Gas Company Limited (II)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30.517</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Ras Laffan Liquefied Natural Gas Company Limited (3) </w:t>
            </w:r>
            <w:r>
              <w:rPr>
                <w:rFonts w:ascii="Arial" w:cs="Arial" w:eastAsia="Arial" w:hAnsi="Arial"/>
                <w:sz w:val="18"/>
                <w:szCs w:val="18"/>
                <w:i w:val="1"/>
                <w:iCs w:val="1"/>
                <w:color w:val="auto"/>
              </w:rPr>
              <w:t>(5)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Saudi Aramco Mobil Refinery Company Ltd.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Saudi Yanbu Petrochemical Co. </w:t>
            </w:r>
            <w:r>
              <w:rPr>
                <w:rFonts w:ascii="Arial" w:cs="Arial" w:eastAsia="Arial" w:hAnsi="Arial"/>
                <w:sz w:val="18"/>
                <w:szCs w:val="18"/>
                <w:i w:val="1"/>
                <w:iCs w:val="1"/>
                <w:color w:val="auto"/>
              </w:rPr>
              <w:t>(4) (5)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SeaRiver Maritime,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SeaRiver Maritime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South Hook LNG Terminal Company Limited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24.15</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Tengizchevroil, LLP </w:t>
            </w:r>
            <w:r>
              <w:rPr>
                <w:rFonts w:ascii="Arial" w:cs="Arial" w:eastAsia="Arial" w:hAnsi="Arial"/>
                <w:sz w:val="18"/>
                <w:szCs w:val="18"/>
                <w:i w:val="1"/>
                <w:iCs w:val="1"/>
                <w:color w:val="auto"/>
              </w:rPr>
              <w:t>(5)</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 xml:space="preserve">Terminale GNL Adriatico S.r.l </w:t>
            </w:r>
            <w:r>
              <w:rPr>
                <w:rFonts w:ascii="Arial" w:cs="Arial" w:eastAsia="Arial" w:hAnsi="Arial"/>
                <w:sz w:val="18"/>
                <w:szCs w:val="18"/>
                <w:i w:val="1"/>
                <w:iCs w:val="1"/>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rPr>
              <w:t>70.678</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Wink to Webster Pipeline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Wolverine Pipe Line Company</w:t>
            </w:r>
          </w:p>
        </w:tc>
        <w:tc>
          <w:tcPr>
            <w:tcW w:w="1840" w:type="dxa"/>
            <w:vAlign w:val="bottom"/>
          </w:tcPr>
          <w:p>
            <w:pPr>
              <w:ind w:left="500"/>
              <w:spacing w:after="0"/>
              <w:rPr>
                <w:sz w:val="20"/>
                <w:szCs w:val="20"/>
                <w:color w:val="auto"/>
              </w:rPr>
            </w:pPr>
            <w:r>
              <w:rPr>
                <w:rFonts w:ascii="Arial" w:cs="Arial" w:eastAsia="Arial" w:hAnsi="Arial"/>
                <w:sz w:val="18"/>
                <w:szCs w:val="18"/>
                <w:color w:val="auto"/>
              </w:rPr>
              <w:t>53.39</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XH,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XTO Delaware Basin,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XTO Energy Canada</w:t>
            </w:r>
          </w:p>
        </w:tc>
        <w:tc>
          <w:tcPr>
            <w:tcW w:w="1840" w:type="dxa"/>
            <w:vAlign w:val="bottom"/>
          </w:tcPr>
          <w:p>
            <w:pPr>
              <w:ind w:left="500"/>
              <w:spacing w:after="0"/>
              <w:rPr>
                <w:sz w:val="20"/>
                <w:szCs w:val="20"/>
                <w:color w:val="auto"/>
              </w:rPr>
            </w:pPr>
            <w:r>
              <w:rPr>
                <w:rFonts w:ascii="Arial" w:cs="Arial" w:eastAsia="Arial" w:hAnsi="Arial"/>
                <w:sz w:val="18"/>
                <w:szCs w:val="18"/>
                <w:color w:val="auto"/>
              </w:rPr>
              <w:t>84.8</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XTO Energy Inc.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XTO Holdings,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rPr>
                <w:sz w:val="20"/>
                <w:szCs w:val="20"/>
                <w:color w:val="auto"/>
              </w:rPr>
            </w:pPr>
            <w:r>
              <w:rPr>
                <w:rFonts w:ascii="Arial" w:cs="Arial" w:eastAsia="Arial" w:hAnsi="Arial"/>
                <w:sz w:val="18"/>
                <w:szCs w:val="18"/>
                <w:color w:val="auto"/>
              </w:rPr>
              <w:t>XTO Permian Midstream,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740" w:type="dxa"/>
            <w:vAlign w:val="bottom"/>
          </w:tcPr>
          <w:p>
            <w:pPr>
              <w:ind w:left="60"/>
              <w:spacing w:after="0"/>
              <w:rPr>
                <w:sz w:val="20"/>
                <w:szCs w:val="20"/>
                <w:color w:val="auto"/>
              </w:rPr>
            </w:pPr>
            <w:r>
              <w:rPr>
                <w:rFonts w:ascii="Arial" w:cs="Arial" w:eastAsia="Arial" w:hAnsi="Arial"/>
                <w:sz w:val="18"/>
                <w:szCs w:val="18"/>
                <w:color w:val="auto"/>
              </w:rPr>
              <w:t>XTO Permian Operating, LLC</w:t>
            </w:r>
          </w:p>
        </w:tc>
        <w:tc>
          <w:tcPr>
            <w:tcW w:w="1840" w:type="dxa"/>
            <w:vAlign w:val="bottom"/>
          </w:tcPr>
          <w:p>
            <w:pPr>
              <w:jc w:val="right"/>
              <w:ind w:right="107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______________</w:t>
            </w: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NOTES:</w:t>
            </w: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020" w:right="100" w:hanging="915"/>
        <w:spacing w:after="0" w:line="264" w:lineRule="auto"/>
        <w:tabs>
          <w:tab w:leader="none" w:pos="102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2" w:lineRule="exact"/>
        <w:rPr>
          <w:rFonts w:ascii="Arial" w:cs="Arial" w:eastAsia="Arial" w:hAnsi="Arial"/>
          <w:sz w:val="16"/>
          <w:szCs w:val="16"/>
          <w:i w:val="1"/>
          <w:iCs w:val="1"/>
          <w:color w:val="auto"/>
        </w:rPr>
      </w:pPr>
    </w:p>
    <w:p>
      <w:pPr>
        <w:ind w:left="1020" w:right="100" w:hanging="915"/>
        <w:spacing w:after="0" w:line="234" w:lineRule="auto"/>
        <w:tabs>
          <w:tab w:leader="none" w:pos="102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With respect to certain companies, shares in names of nominees and qualifying shares in names of directors are included in the above percentages.</w:t>
      </w:r>
    </w:p>
    <w:p>
      <w:pPr>
        <w:spacing w:after="0" w:line="1" w:lineRule="exact"/>
        <w:rPr>
          <w:rFonts w:ascii="Arial" w:cs="Arial" w:eastAsia="Arial" w:hAnsi="Arial"/>
          <w:sz w:val="18"/>
          <w:szCs w:val="18"/>
          <w:i w:val="1"/>
          <w:iCs w:val="1"/>
          <w:color w:val="auto"/>
        </w:rPr>
      </w:pPr>
    </w:p>
    <w:p>
      <w:pPr>
        <w:ind w:left="1020" w:right="100" w:hanging="915"/>
        <w:spacing w:after="0" w:line="234" w:lineRule="auto"/>
        <w:tabs>
          <w:tab w:leader="none" w:pos="102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 names of other subsidiaries have been omitted from the above list since considered in the aggregate, they would not constitute a significant subsidiary under Securities and Exchange Commission Regulation S-X, Rule 1-02(w).</w:t>
      </w:r>
    </w:p>
    <w:p>
      <w:pPr>
        <w:spacing w:after="0" w:line="1" w:lineRule="exact"/>
        <w:rPr>
          <w:rFonts w:ascii="Arial" w:cs="Arial" w:eastAsia="Arial" w:hAnsi="Arial"/>
          <w:sz w:val="18"/>
          <w:szCs w:val="18"/>
          <w:i w:val="1"/>
          <w:iCs w:val="1"/>
          <w:color w:val="auto"/>
        </w:rPr>
      </w:pPr>
    </w:p>
    <w:p>
      <w:pPr>
        <w:ind w:left="1020" w:right="100" w:hanging="915"/>
        <w:spacing w:after="0" w:line="234" w:lineRule="auto"/>
        <w:tabs>
          <w:tab w:leader="none" w:pos="102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1" w:lineRule="exact"/>
        <w:rPr>
          <w:rFonts w:ascii="Arial" w:cs="Arial" w:eastAsia="Arial" w:hAnsi="Arial"/>
          <w:sz w:val="18"/>
          <w:szCs w:val="18"/>
          <w:i w:val="1"/>
          <w:iCs w:val="1"/>
          <w:color w:val="auto"/>
        </w:rPr>
      </w:pPr>
    </w:p>
    <w:p>
      <w:pPr>
        <w:ind w:left="1020" w:right="100" w:hanging="915"/>
        <w:spacing w:after="0" w:line="243" w:lineRule="auto"/>
        <w:tabs>
          <w:tab w:leader="none" w:pos="102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The investment in this unconsolidated person is represented by the registrant's percentage interest in the underlying net assets of such person. The accounting for these unconsolidated persons is referred to as the equity method of accounting.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incorporation by reference in the following Exxon Mobil Corporation Registration Statements on:</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Form S-3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(No.</w:t>
            </w:r>
          </w:p>
        </w:tc>
        <w:tc>
          <w:tcPr>
            <w:tcW w:w="1600" w:type="dxa"/>
            <w:vAlign w:val="bottom"/>
          </w:tcPr>
          <w:p>
            <w:pPr>
              <w:ind w:left="100"/>
              <w:spacing w:after="0"/>
              <w:rPr>
                <w:sz w:val="20"/>
                <w:szCs w:val="20"/>
                <w:color w:val="auto"/>
              </w:rPr>
            </w:pPr>
            <w:r>
              <w:rPr>
                <w:rFonts w:ascii="Arial" w:cs="Arial" w:eastAsia="Arial" w:hAnsi="Arial"/>
                <w:sz w:val="18"/>
                <w:szCs w:val="18"/>
                <w:color w:val="auto"/>
              </w:rPr>
              <w:t>333-216594)</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4120" w:type="dxa"/>
            <w:vAlign w:val="bottom"/>
          </w:tcPr>
          <w:p>
            <w:pPr>
              <w:ind w:left="220"/>
              <w:spacing w:after="0"/>
              <w:rPr>
                <w:sz w:val="20"/>
                <w:szCs w:val="20"/>
                <w:color w:val="auto"/>
              </w:rPr>
            </w:pPr>
            <w:r>
              <w:rPr>
                <w:rFonts w:ascii="Arial" w:cs="Arial" w:eastAsia="Arial" w:hAnsi="Arial"/>
                <w:sz w:val="18"/>
                <w:szCs w:val="18"/>
                <w:color w:val="auto"/>
              </w:rPr>
              <w:t>Exxon Mobil Corporation Debt Securities;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Form S-8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(Nos.</w:t>
            </w:r>
          </w:p>
        </w:tc>
        <w:tc>
          <w:tcPr>
            <w:tcW w:w="1600" w:type="dxa"/>
            <w:vAlign w:val="bottom"/>
          </w:tcPr>
          <w:p>
            <w:pPr>
              <w:ind w:left="100"/>
              <w:spacing w:after="0"/>
              <w:rPr>
                <w:sz w:val="20"/>
                <w:szCs w:val="20"/>
                <w:color w:val="auto"/>
              </w:rPr>
            </w:pPr>
            <w:r>
              <w:rPr>
                <w:rFonts w:ascii="Arial" w:cs="Arial" w:eastAsia="Arial" w:hAnsi="Arial"/>
                <w:sz w:val="18"/>
                <w:szCs w:val="18"/>
                <w:color w:val="auto"/>
              </w:rPr>
              <w:t>333-145188,</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4120" w:type="dxa"/>
            <w:vAlign w:val="bottom"/>
          </w:tcPr>
          <w:p>
            <w:pPr>
              <w:ind w:left="220"/>
              <w:spacing w:after="0"/>
              <w:rPr>
                <w:sz w:val="20"/>
                <w:szCs w:val="20"/>
                <w:color w:val="auto"/>
              </w:rPr>
            </w:pPr>
            <w:r>
              <w:rPr>
                <w:rFonts w:ascii="Arial" w:cs="Arial" w:eastAsia="Arial" w:hAnsi="Arial"/>
                <w:sz w:val="18"/>
                <w:szCs w:val="18"/>
                <w:color w:val="auto"/>
                <w:w w:val="92"/>
              </w:rPr>
              <w:t>2003 Incentive Program of Exxon Mobil Corporation;</w:t>
            </w:r>
          </w:p>
        </w:tc>
      </w:tr>
      <w:tr>
        <w:trPr>
          <w:trHeight w:val="230"/>
        </w:trPr>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333-110494,</w:t>
            </w:r>
          </w:p>
        </w:tc>
        <w:tc>
          <w:tcPr>
            <w:tcW w:w="10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243"/>
        </w:trPr>
        <w:tc>
          <w:tcPr>
            <w:tcW w:w="10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1600" w:type="dxa"/>
            <w:vAlign w:val="bottom"/>
          </w:tcPr>
          <w:p>
            <w:pPr>
              <w:ind w:left="100"/>
              <w:spacing w:after="0"/>
              <w:rPr>
                <w:sz w:val="20"/>
                <w:szCs w:val="20"/>
                <w:color w:val="auto"/>
              </w:rPr>
            </w:pPr>
            <w:r>
              <w:rPr>
                <w:rFonts w:ascii="Arial" w:cs="Arial" w:eastAsia="Arial" w:hAnsi="Arial"/>
                <w:sz w:val="18"/>
                <w:szCs w:val="18"/>
                <w:color w:val="auto"/>
              </w:rPr>
              <w:t>333-183012)</w:t>
            </w:r>
          </w:p>
        </w:tc>
        <w:tc>
          <w:tcPr>
            <w:tcW w:w="1000" w:type="dxa"/>
            <w:vAlign w:val="bottom"/>
          </w:tcPr>
          <w:p>
            <w:pPr>
              <w:spacing w:after="0"/>
              <w:rPr>
                <w:sz w:val="21"/>
                <w:szCs w:val="21"/>
                <w:color w:val="auto"/>
              </w:rPr>
            </w:pPr>
          </w:p>
        </w:tc>
        <w:tc>
          <w:tcPr>
            <w:tcW w:w="4120" w:type="dxa"/>
            <w:vAlign w:val="bottom"/>
          </w:tcPr>
          <w:p>
            <w:pPr>
              <w:spacing w:after="0"/>
              <w:rPr>
                <w:sz w:val="21"/>
                <w:szCs w:val="21"/>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color w:val="auto"/>
              </w:rPr>
              <w:t>Form S-8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(No.</w:t>
            </w:r>
          </w:p>
        </w:tc>
        <w:tc>
          <w:tcPr>
            <w:tcW w:w="1600" w:type="dxa"/>
            <w:vAlign w:val="bottom"/>
          </w:tcPr>
          <w:p>
            <w:pPr>
              <w:ind w:left="100"/>
              <w:spacing w:after="0"/>
              <w:rPr>
                <w:sz w:val="20"/>
                <w:szCs w:val="20"/>
                <w:color w:val="auto"/>
              </w:rPr>
            </w:pPr>
            <w:r>
              <w:rPr>
                <w:rFonts w:ascii="Arial" w:cs="Arial" w:eastAsia="Arial" w:hAnsi="Arial"/>
                <w:sz w:val="18"/>
                <w:szCs w:val="18"/>
                <w:color w:val="auto"/>
              </w:rPr>
              <w:t>333-166576)</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4120" w:type="dxa"/>
            <w:vAlign w:val="bottom"/>
          </w:tcPr>
          <w:p>
            <w:pPr>
              <w:ind w:left="220"/>
              <w:spacing w:after="0"/>
              <w:rPr>
                <w:sz w:val="20"/>
                <w:szCs w:val="20"/>
                <w:color w:val="auto"/>
              </w:rPr>
            </w:pPr>
            <w:r>
              <w:rPr>
                <w:rFonts w:ascii="Arial" w:cs="Arial" w:eastAsia="Arial" w:hAnsi="Arial"/>
                <w:sz w:val="18"/>
                <w:szCs w:val="18"/>
                <w:color w:val="auto"/>
              </w:rPr>
              <w:t>ExxonMobil Savings Plan;</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Form S-8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(No.</w:t>
            </w:r>
          </w:p>
        </w:tc>
        <w:tc>
          <w:tcPr>
            <w:tcW w:w="1600" w:type="dxa"/>
            <w:vAlign w:val="bottom"/>
          </w:tcPr>
          <w:p>
            <w:pPr>
              <w:ind w:left="100"/>
              <w:spacing w:after="0"/>
              <w:rPr>
                <w:sz w:val="20"/>
                <w:szCs w:val="20"/>
                <w:color w:val="auto"/>
              </w:rPr>
            </w:pPr>
            <w:r>
              <w:rPr>
                <w:rFonts w:ascii="Arial" w:cs="Arial" w:eastAsia="Arial" w:hAnsi="Arial"/>
                <w:sz w:val="18"/>
                <w:szCs w:val="18"/>
                <w:color w:val="auto"/>
              </w:rPr>
              <w:t>333-117980)</w:t>
            </w:r>
          </w:p>
        </w:tc>
        <w:tc>
          <w:tcPr>
            <w:tcW w:w="1000" w:type="dxa"/>
            <w:vAlign w:val="bottom"/>
          </w:tcPr>
          <w:p>
            <w:pPr>
              <w:ind w:left="580"/>
              <w:spacing w:after="0"/>
              <w:rPr>
                <w:sz w:val="20"/>
                <w:szCs w:val="20"/>
                <w:color w:val="auto"/>
              </w:rPr>
            </w:pPr>
            <w:r>
              <w:rPr>
                <w:rFonts w:ascii="Arial" w:cs="Arial" w:eastAsia="Arial" w:hAnsi="Arial"/>
                <w:sz w:val="18"/>
                <w:szCs w:val="18"/>
                <w:color w:val="auto"/>
              </w:rPr>
              <w:t>—</w:t>
            </w:r>
          </w:p>
        </w:tc>
        <w:tc>
          <w:tcPr>
            <w:tcW w:w="4120" w:type="dxa"/>
            <w:vAlign w:val="bottom"/>
          </w:tcPr>
          <w:p>
            <w:pPr>
              <w:ind w:left="220"/>
              <w:spacing w:after="0"/>
              <w:rPr>
                <w:sz w:val="20"/>
                <w:szCs w:val="20"/>
                <w:color w:val="auto"/>
              </w:rPr>
            </w:pPr>
            <w:r>
              <w:rPr>
                <w:rFonts w:ascii="Arial" w:cs="Arial" w:eastAsia="Arial" w:hAnsi="Arial"/>
                <w:sz w:val="18"/>
                <w:szCs w:val="18"/>
                <w:color w:val="auto"/>
                <w:w w:val="95"/>
              </w:rPr>
              <w:t>2004 Non-employee Director Restricted Stock Plan</w:t>
            </w:r>
          </w:p>
        </w:tc>
      </w:tr>
    </w:tbl>
    <w:p>
      <w:pPr>
        <w:spacing w:after="0" w:line="200" w:lineRule="exact"/>
        <w:rPr>
          <w:sz w:val="20"/>
          <w:szCs w:val="20"/>
          <w:color w:val="auto"/>
        </w:rPr>
      </w:pP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of our report dated February 26, 2020 relating to the financial statements and the effectiveness of internal control over financial reporting, which appears in this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Darren W. Woods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Darren W. Woods, certify that:</w:t>
      </w:r>
    </w:p>
    <w:p>
      <w:pPr>
        <w:spacing w:after="0" w:line="225"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2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DARREN W. WOODS</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85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3" w:name="page144"/>
    <w:bookmarkEnd w:id="143"/>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Andrew P. Swiger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 Swiger, certify that:</w:t>
      </w:r>
    </w:p>
    <w:p>
      <w:pPr>
        <w:spacing w:after="0" w:line="225" w:lineRule="exact"/>
        <w:rPr>
          <w:sz w:val="20"/>
          <w:szCs w:val="20"/>
          <w:color w:val="auto"/>
        </w:rPr>
      </w:pPr>
    </w:p>
    <w:p>
      <w:pPr>
        <w:ind w:left="720" w:hanging="388"/>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3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2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ANDREW P. SWIGER</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4" w:name="page145"/>
    <w:bookmarkEnd w:id="144"/>
    <w:p>
      <w:pPr>
        <w:ind w:left="10280"/>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David S. Rosenthal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S. Rosenthal, certify that:</w:t>
      </w:r>
    </w:p>
    <w:p>
      <w:pPr>
        <w:spacing w:after="0" w:line="225" w:lineRule="exact"/>
        <w:rPr>
          <w:sz w:val="20"/>
          <w:szCs w:val="20"/>
          <w:color w:val="auto"/>
        </w:rPr>
      </w:pPr>
    </w:p>
    <w:p>
      <w:pPr>
        <w:ind w:left="720" w:hanging="388"/>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31"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2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DAVID S. ROSENTHAL</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70" w:lineRule="exact"/>
        <w:rPr>
          <w:sz w:val="20"/>
          <w:szCs w:val="20"/>
          <w:color w:val="auto"/>
        </w:rPr>
      </w:pPr>
    </w:p>
    <w:p>
      <w:pPr>
        <w:ind w:left="340" w:hanging="332"/>
        <w:spacing w:after="0" w:line="308" w:lineRule="auto"/>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2019, as filed with the Securities and Exchange Commission on the date hereof (the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380" w:hanging="372"/>
        <w:spacing w:after="0"/>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4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DARREN W. WOODS</w:t>
      </w:r>
    </w:p>
    <w:p>
      <w:pPr>
        <w:spacing w:after="0" w:line="23"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-130810</wp:posOffset>
            </wp:positionV>
            <wp:extent cx="24612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862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Andrew P. Swiger, the principal financial officer of Exxon Mobil Corporation (the “Company”), hereby certifies that, to his knowledge:</w:t>
      </w:r>
    </w:p>
    <w:p>
      <w:pPr>
        <w:spacing w:after="0" w:line="170" w:lineRule="exact"/>
        <w:rPr>
          <w:sz w:val="20"/>
          <w:szCs w:val="20"/>
          <w:color w:val="auto"/>
        </w:rPr>
      </w:pPr>
    </w:p>
    <w:p>
      <w:pPr>
        <w:ind w:left="340" w:hanging="332"/>
        <w:spacing w:after="0" w:line="308" w:lineRule="auto"/>
        <w:tabs>
          <w:tab w:leader="none" w:pos="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2019, as filed with the Securities and Exchange Commission on the date hereof (the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380" w:hanging="372"/>
        <w:spacing w:after="0"/>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41"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 ANDREW P. SWIGER</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jc w:val="center"/>
        <w:ind w:left="7660"/>
        <w:spacing w:after="0"/>
        <w:rPr>
          <w:sz w:val="20"/>
          <w:szCs w:val="20"/>
          <w:color w:val="auto"/>
        </w:rPr>
      </w:pPr>
      <w:r>
        <w:rPr>
          <w:rFonts w:ascii="Arial" w:cs="Arial" w:eastAsia="Arial" w:hAnsi="Arial"/>
          <w:sz w:val="18"/>
          <w:szCs w:val="18"/>
          <w:color w:val="auto"/>
        </w:rPr>
        <w:t>Senior Vice President</w:t>
      </w:r>
    </w:p>
    <w:p>
      <w:pPr>
        <w:spacing w:after="0" w:line="7"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7" w:name="page148"/>
    <w:bookmarkEnd w:id="147"/>
    <w:p>
      <w:pPr>
        <w:ind w:left="10280"/>
        <w:spacing w:after="0"/>
        <w:rPr>
          <w:sz w:val="20"/>
          <w:szCs w:val="20"/>
          <w:color w:val="auto"/>
        </w:rPr>
      </w:pPr>
      <w:r>
        <w:rPr>
          <w:rFonts w:ascii="Arial" w:cs="Arial" w:eastAsia="Arial" w:hAnsi="Arial"/>
          <w:sz w:val="18"/>
          <w:szCs w:val="18"/>
          <w:b w:val="1"/>
          <w:bCs w:val="1"/>
          <w:color w:val="auto"/>
        </w:rPr>
        <w:t>EXHIBIT 32.3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David S. Rosenthal, the principal accounting officer of Exxon Mobil Corporation (the “Company”), hereby certifies that, to his knowledge:</w:t>
      </w:r>
    </w:p>
    <w:p>
      <w:pPr>
        <w:spacing w:after="0" w:line="170" w:lineRule="exact"/>
        <w:rPr>
          <w:sz w:val="20"/>
          <w:szCs w:val="20"/>
          <w:color w:val="auto"/>
        </w:rPr>
      </w:pPr>
    </w:p>
    <w:p>
      <w:pPr>
        <w:ind w:left="340" w:hanging="332"/>
        <w:spacing w:after="0" w:line="308"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2019, as filed with the Securities and Exchange Commission on the date hereof (the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380" w:hanging="372"/>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26, 2020</w:t>
      </w:r>
    </w:p>
    <w:p>
      <w:pPr>
        <w:spacing w:after="0" w:line="200" w:lineRule="exact"/>
        <w:rPr>
          <w:sz w:val="20"/>
          <w:szCs w:val="20"/>
          <w:color w:val="auto"/>
        </w:rPr>
      </w:pPr>
    </w:p>
    <w:p>
      <w:pPr>
        <w:spacing w:after="0" w:line="241"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DAVID S. ROSENTHAL</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-130810</wp:posOffset>
            </wp:positionV>
            <wp:extent cx="24612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8420"/>
        <w:spacing w:after="0"/>
        <w:rPr>
          <w:sz w:val="20"/>
          <w:szCs w:val="20"/>
          <w:color w:val="auto"/>
        </w:rPr>
      </w:pPr>
      <w:r>
        <w:rPr>
          <w:rFonts w:ascii="Arial" w:cs="Arial" w:eastAsia="Arial" w:hAnsi="Arial"/>
          <w:sz w:val="18"/>
          <w:szCs w:val="18"/>
          <w:color w:val="auto"/>
        </w:rPr>
        <w:t>Vice President and Controller</w:t>
      </w:r>
    </w:p>
    <w:p>
      <w:pPr>
        <w:spacing w:after="0" w:line="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3"/>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decimal"/>
      <w:start w:val="7"/>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20"/>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4"/>
    </w:lvl>
  </w:abstractNum>
  <w:abstractNum w:abstractNumId="38">
    <w:nsid w:val="7644A45C"/>
    <w:multiLevelType w:val="hybridMultilevel"/>
    <w:lvl w:ilvl="0">
      <w:lvlJc w:val="left"/>
      <w:lvlText w:val="%1"/>
      <w:numFmt w:val="decimal"/>
      <w:start w:val="21"/>
    </w:lvl>
  </w:abstractNum>
  <w:abstractNum w:abstractNumId="39">
    <w:nsid w:val="32FFF902"/>
    <w:multiLevelType w:val="hybridMultilevel"/>
    <w:lvl w:ilvl="0">
      <w:lvlJc w:val="left"/>
      <w:lvlText w:val="%1"/>
      <w:numFmt w:val="decimal"/>
      <w:start w:val="23"/>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2">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3">
    <w:nsid w:val="3DC240FB"/>
    <w:multiLevelType w:val="hybridMultilevel"/>
    <w:lvl w:ilvl="0">
      <w:lvlJc w:val="left"/>
      <w:lvlText w:val="%1"/>
      <w:numFmt w:val="decimal"/>
      <w:start w:val="1"/>
    </w:lvl>
    <w:lvl w:ilvl="1">
      <w:lvlJc w:val="left"/>
      <w:lvlText w:val="(%2)"/>
      <w:numFmt w:val="lowerLetter"/>
      <w:start w:val="3"/>
    </w:lvl>
  </w:abstractNum>
  <w:abstractNum w:abstractNumId="44">
    <w:nsid w:val="1BA026FA"/>
    <w:multiLevelType w:val="hybridMultilevel"/>
    <w:lvl w:ilvl="0">
      <w:lvlJc w:val="left"/>
      <w:lvlText w:val="%1."/>
      <w:numFmt w:val="decimal"/>
      <w:start w:val="5"/>
    </w:lvl>
    <w:lvl w:ilvl="1">
      <w:lvlJc w:val="left"/>
      <w:lvlText w:val="%2"/>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6"/>
    </w:lvl>
  </w:abstractNum>
  <w:abstractNum w:abstractNumId="47">
    <w:nsid w:val="12E685FB"/>
    <w:multiLevelType w:val="hybridMultilevel"/>
    <w:lvl w:ilvl="0">
      <w:lvlJc w:val="left"/>
      <w:lvlText w:val="%1."/>
      <w:numFmt w:val="decimal"/>
      <w:start w:val="7"/>
    </w:lvl>
  </w:abstractNum>
  <w:abstractNum w:abstractNumId="48">
    <w:nsid w:val="70C6A529"/>
    <w:multiLevelType w:val="hybridMultilevel"/>
    <w:lvl w:ilvl="0">
      <w:lvlJc w:val="left"/>
      <w:lvlText w:val="%1."/>
      <w:numFmt w:val="decimal"/>
      <w:start w:val="16"/>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lowerRoman"/>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jpe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199" Type="http://schemas.openxmlformats.org/officeDocument/2006/relationships/hyperlink" Target="http://www.sec.gov/Archives/edgar/data/34088/000003408816000065/xomexhibit3i.htm" TargetMode="External"/><Relationship Id="rId200" Type="http://schemas.openxmlformats.org/officeDocument/2006/relationships/hyperlink" Target="http://www.sec.gov/Archives/edgar/data/34088/000003408817000047/xomexhibit3ii.htm" TargetMode="External"/><Relationship Id="rId201" Type="http://schemas.openxmlformats.org/officeDocument/2006/relationships/hyperlink" Target="http://www.sec.gov/Archives/edgar/data/34088/000003408818000015/xomexhibit10iiia1.htm" TargetMode="External"/><Relationship Id="rId202" Type="http://schemas.openxmlformats.org/officeDocument/2006/relationships/hyperlink" Target="http://www.sec.gov/Archives/edgar/data/34088/000003408817000017/xomexhibit10iiia2.htm" TargetMode="External"/><Relationship Id="rId203" Type="http://schemas.openxmlformats.org/officeDocument/2006/relationships/hyperlink" Target="http://www.sec.gov/Archives/edgar/data/34088/000003408819000010/xomexhibit10iiib1.htm" TargetMode="External"/><Relationship Id="rId204" Type="http://schemas.openxmlformats.org/officeDocument/2006/relationships/hyperlink" Target="http://www.sec.gov/Archives/edgar/data/34088/000003408817000041/xomexhibit10iiic1.htm" TargetMode="External"/><Relationship Id="rId205" Type="http://schemas.openxmlformats.org/officeDocument/2006/relationships/hyperlink" Target="http://www.sec.gov/Archives/edgar/data/34088/000003408815000013/xom10iiic2.htm" TargetMode="External"/><Relationship Id="rId206" Type="http://schemas.openxmlformats.org/officeDocument/2006/relationships/hyperlink" Target="http://www.sec.gov/Archives/edgar/data/34088/000003408819000010/xomexhibit10iiic3.htm" TargetMode="External"/><Relationship Id="rId207" Type="http://schemas.openxmlformats.org/officeDocument/2006/relationships/hyperlink" Target="http://www.sec.gov/Archives/edgar/data/34088/000003408817000017/xomexhibit10iiid.htm" TargetMode="External"/><Relationship Id="rId208" Type="http://schemas.openxmlformats.org/officeDocument/2006/relationships/hyperlink" Target="http://www.sec.gov/Archives/edgar/data/34088/000003408819000010/xomexhibit10iiif1.htm" TargetMode="External"/><Relationship Id="rId209" Type="http://schemas.openxmlformats.org/officeDocument/2006/relationships/hyperlink" Target="http://www.sec.gov/Archives/edgar/data/34088/000003408817000017/xomexhibit10iiif2.htm" TargetMode="External"/><Relationship Id="rId210" Type="http://schemas.openxmlformats.org/officeDocument/2006/relationships/hyperlink" Target="http://www.sec.gov/Archives/edgar/data/34088/000003408816000065/xomexhibit10iiif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2020-02-26T15:28:21Z</dcterms:created>
  <dcterms:modified xsi:type="dcterms:W3CDTF">2020-02-26T15:28:21Z</dcterms:modified>
</cp:coreProperties>
</file>