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0"/>
        <w:spacing w:after="0"/>
        <w:rPr>
          <w:sz w:val="20"/>
          <w:szCs w:val="20"/>
          <w:color w:val="auto"/>
        </w:rPr>
      </w:pPr>
      <w:r>
        <w:rPr>
          <w:rFonts w:ascii="Times New Roman" w:cs="Times New Roman" w:eastAsia="Times New Roman" w:hAnsi="Times New Roman"/>
          <w:sz w:val="22"/>
          <w:szCs w:val="22"/>
          <w:b w:val="1"/>
          <w:bCs w:val="1"/>
          <w:color w:val="auto"/>
        </w:rPr>
        <w:t>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67036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9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1779270</wp:posOffset>
            </wp:positionH>
            <wp:positionV relativeFrom="paragraph">
              <wp:posOffset>107315</wp:posOffset>
            </wp:positionV>
            <wp:extent cx="35915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33" w:lineRule="exact"/>
        <w:rPr>
          <w:sz w:val="24"/>
          <w:szCs w:val="24"/>
          <w:color w:val="auto"/>
        </w:rPr>
      </w:pPr>
    </w:p>
    <w:p>
      <w:pPr>
        <w:ind w:left="2720" w:hanging="212"/>
        <w:spacing w:after="0"/>
        <w:tabs>
          <w:tab w:leader="none" w:pos="2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ANNUAL REPORT PURSUANT TO SECTION 13 OR 15(d) OF</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jc w:val="center"/>
        <w:spacing w:after="0"/>
        <w:rPr>
          <w:sz w:val="20"/>
          <w:szCs w:val="20"/>
          <w:color w:val="auto"/>
        </w:rPr>
      </w:pPr>
      <w:r>
        <w:rPr>
          <w:rFonts w:ascii="Times New Roman" w:cs="Times New Roman" w:eastAsia="Times New Roman" w:hAnsi="Times New Roman"/>
          <w:sz w:val="14"/>
          <w:szCs w:val="14"/>
          <w:color w:val="auto"/>
        </w:rPr>
        <w:t>For the fiscal year ended December 31, 2020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spacing w:after="0" w:line="10" w:lineRule="exact"/>
        <w:rPr>
          <w:sz w:val="24"/>
          <w:szCs w:val="24"/>
          <w:color w:val="auto"/>
        </w:rPr>
      </w:pPr>
    </w:p>
    <w:p>
      <w:pPr>
        <w:ind w:left="2520" w:hanging="255"/>
        <w:spacing w:after="0"/>
        <w:tabs>
          <w:tab w:leader="none" w:pos="2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w:t>
      </w:r>
    </w:p>
    <w:p>
      <w:pPr>
        <w:jc w:val="center"/>
        <w:spacing w:after="0" w:line="238" w:lineRule="auto"/>
        <w:rPr>
          <w:sz w:val="20"/>
          <w:szCs w:val="20"/>
          <w:color w:val="auto"/>
        </w:rPr>
      </w:pPr>
      <w:r>
        <w:rPr>
          <w:rFonts w:ascii="Times New Roman" w:cs="Times New Roman" w:eastAsia="Times New Roman" w:hAnsi="Times New Roman"/>
          <w:sz w:val="22"/>
          <w:szCs w:val="22"/>
          <w:b w:val="1"/>
          <w:bCs w:val="1"/>
          <w:color w:val="auto"/>
        </w:rPr>
        <w:t>THE SECURITIES EXCHANGE ACT OF 1934</w:t>
      </w:r>
    </w:p>
    <w:tbl>
      <w:tblPr>
        <w:tblLayout w:type="fixed"/>
        <w:tblInd w:w="4160" w:type="dxa"/>
        <w:tblCellMar>
          <w:top w:w="0" w:type="dxa"/>
          <w:left w:w="0" w:type="dxa"/>
          <w:bottom w:w="0" w:type="dxa"/>
          <w:right w:w="0" w:type="dxa"/>
        </w:tblCellMar>
      </w:tblPr>
      <w:tr>
        <w:trPr>
          <w:trHeight w:val="142"/>
        </w:trPr>
        <w:tc>
          <w:tcPr>
            <w:tcW w:w="17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For the transition period from</w:t>
            </w:r>
          </w:p>
        </w:tc>
        <w:tc>
          <w:tcPr>
            <w:tcW w:w="500" w:type="dxa"/>
            <w:vAlign w:val="bottom"/>
            <w:tcBorders>
              <w:bottom w:val="single" w:sz="8" w:color="auto"/>
            </w:tcBorders>
          </w:tcPr>
          <w:p>
            <w:pPr>
              <w:spacing w:after="0"/>
              <w:rPr>
                <w:sz w:val="12"/>
                <w:szCs w:val="12"/>
                <w:color w:val="auto"/>
              </w:rPr>
            </w:pPr>
          </w:p>
        </w:tc>
        <w:tc>
          <w:tcPr>
            <w:tcW w:w="1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to</w:t>
            </w:r>
          </w:p>
        </w:tc>
        <w:tc>
          <w:tcPr>
            <w:tcW w:w="520" w:type="dxa"/>
            <w:vAlign w:val="bottom"/>
            <w:tcBorders>
              <w:bottom w:val="single" w:sz="8" w:color="auto"/>
            </w:tcBorders>
          </w:tcPr>
          <w:p>
            <w:pPr>
              <w:spacing w:after="0"/>
              <w:rPr>
                <w:sz w:val="12"/>
                <w:szCs w:val="12"/>
                <w:color w:val="auto"/>
              </w:rPr>
            </w:pPr>
          </w:p>
        </w:tc>
      </w:tr>
      <w:tr>
        <w:trPr>
          <w:trHeight w:val="227"/>
        </w:trPr>
        <w:tc>
          <w:tcPr>
            <w:tcW w:w="2940" w:type="dxa"/>
            <w:vAlign w:val="bottom"/>
            <w:gridSpan w:val="4"/>
          </w:tcPr>
          <w:p>
            <w:pPr>
              <w:ind w:left="500"/>
              <w:spacing w:after="0"/>
              <w:rPr>
                <w:sz w:val="20"/>
                <w:szCs w:val="20"/>
                <w:color w:val="auto"/>
              </w:rPr>
            </w:pPr>
            <w:r>
              <w:rPr>
                <w:rFonts w:ascii="Times New Roman" w:cs="Times New Roman" w:eastAsia="Times New Roman" w:hAnsi="Times New Roman"/>
                <w:sz w:val="14"/>
                <w:szCs w:val="14"/>
                <w:color w:val="auto"/>
              </w:rPr>
              <w:t>Commission File Number 1-2256</w:t>
            </w:r>
          </w:p>
        </w:tc>
      </w:tr>
    </w:tbl>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440"/>
        </w:trPr>
        <w:tc>
          <w:tcPr>
            <w:tcW w:w="3000" w:type="dxa"/>
            <w:vAlign w:val="bottom"/>
          </w:tcPr>
          <w:p>
            <w:pPr>
              <w:spacing w:after="0"/>
              <w:rPr>
                <w:sz w:val="24"/>
                <w:szCs w:val="24"/>
                <w:color w:val="auto"/>
              </w:rPr>
            </w:pPr>
          </w:p>
        </w:tc>
        <w:tc>
          <w:tcPr>
            <w:tcW w:w="4980" w:type="dxa"/>
            <w:vAlign w:val="bottom"/>
          </w:tcPr>
          <w:p>
            <w:pPr>
              <w:jc w:val="center"/>
              <w:ind w:left="176"/>
              <w:spacing w:after="0"/>
              <w:rPr>
                <w:sz w:val="20"/>
                <w:szCs w:val="20"/>
                <w:color w:val="auto"/>
              </w:rPr>
            </w:pPr>
            <w:r>
              <w:rPr>
                <w:rFonts w:ascii="Times New Roman" w:cs="Times New Roman" w:eastAsia="Times New Roman" w:hAnsi="Times New Roman"/>
                <w:sz w:val="36"/>
                <w:szCs w:val="36"/>
                <w:b w:val="1"/>
                <w:bCs w:val="1"/>
                <w:color w:val="auto"/>
                <w:w w:val="99"/>
              </w:rPr>
              <w:t>Exxon Mobil Corporation</w:t>
            </w:r>
          </w:p>
        </w:tc>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88"/>
        </w:trPr>
        <w:tc>
          <w:tcPr>
            <w:tcW w:w="3000" w:type="dxa"/>
            <w:vAlign w:val="bottom"/>
          </w:tcPr>
          <w:p>
            <w:pPr>
              <w:spacing w:after="0"/>
              <w:rPr>
                <w:sz w:val="16"/>
                <w:szCs w:val="16"/>
                <w:color w:val="auto"/>
              </w:rPr>
            </w:pPr>
          </w:p>
        </w:tc>
        <w:tc>
          <w:tcPr>
            <w:tcW w:w="4980" w:type="dxa"/>
            <w:vAlign w:val="bottom"/>
          </w:tcPr>
          <w:p>
            <w:pPr>
              <w:jc w:val="center"/>
              <w:ind w:left="196"/>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8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338"/>
        </w:trPr>
        <w:tc>
          <w:tcPr>
            <w:tcW w:w="3000" w:type="dxa"/>
            <w:vAlign w:val="bottom"/>
          </w:tcPr>
          <w:p>
            <w:pPr>
              <w:jc w:val="center"/>
              <w:ind w:left="46"/>
              <w:spacing w:after="0"/>
              <w:rPr>
                <w:sz w:val="20"/>
                <w:szCs w:val="20"/>
                <w:color w:val="auto"/>
              </w:rPr>
            </w:pPr>
            <w:r>
              <w:rPr>
                <w:rFonts w:ascii="Times New Roman" w:cs="Times New Roman" w:eastAsia="Times New Roman" w:hAnsi="Times New Roman"/>
                <w:sz w:val="18"/>
                <w:szCs w:val="18"/>
                <w:b w:val="1"/>
                <w:bCs w:val="1"/>
                <w:color w:val="auto"/>
              </w:rPr>
              <w:t>New Jersey</w:t>
            </w:r>
          </w:p>
        </w:tc>
        <w:tc>
          <w:tcPr>
            <w:tcW w:w="4980" w:type="dxa"/>
            <w:vAlign w:val="bottom"/>
          </w:tcPr>
          <w:p>
            <w:pPr>
              <w:spacing w:after="0"/>
              <w:rPr>
                <w:sz w:val="24"/>
                <w:szCs w:val="24"/>
                <w:color w:val="auto"/>
              </w:rPr>
            </w:pPr>
          </w:p>
        </w:tc>
        <w:tc>
          <w:tcPr>
            <w:tcW w:w="3160" w:type="dxa"/>
            <w:vAlign w:val="bottom"/>
            <w:gridSpan w:val="2"/>
          </w:tcPr>
          <w:p>
            <w:pPr>
              <w:jc w:val="center"/>
              <w:ind w:right="1208"/>
              <w:spacing w:after="0"/>
              <w:rPr>
                <w:sz w:val="20"/>
                <w:szCs w:val="20"/>
                <w:color w:val="auto"/>
              </w:rPr>
            </w:pPr>
            <w:r>
              <w:rPr>
                <w:rFonts w:ascii="Times New Roman" w:cs="Times New Roman" w:eastAsia="Times New Roman" w:hAnsi="Times New Roman"/>
                <w:sz w:val="18"/>
                <w:szCs w:val="18"/>
                <w:b w:val="1"/>
                <w:bCs w:val="1"/>
                <w:color w:val="auto"/>
              </w:rPr>
              <w:t>13-5409005</w:t>
            </w:r>
          </w:p>
        </w:tc>
      </w:tr>
      <w:tr>
        <w:trPr>
          <w:trHeight w:val="144"/>
        </w:trPr>
        <w:tc>
          <w:tcPr>
            <w:tcW w:w="3000" w:type="dxa"/>
            <w:vAlign w:val="bottom"/>
          </w:tcPr>
          <w:p>
            <w:pPr>
              <w:jc w:val="center"/>
              <w:ind w:left="46"/>
              <w:spacing w:after="0" w:line="145"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4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80" w:type="dxa"/>
            <w:vAlign w:val="bottom"/>
          </w:tcPr>
          <w:p>
            <w:pPr>
              <w:jc w:val="center"/>
              <w:ind w:right="1508"/>
              <w:spacing w:after="0" w:line="145"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000" w:type="dxa"/>
            <w:vAlign w:val="bottom"/>
          </w:tcPr>
          <w:p>
            <w:pPr>
              <w:jc w:val="center"/>
              <w:ind w:left="46"/>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980" w:type="dxa"/>
            <w:vAlign w:val="bottom"/>
          </w:tcPr>
          <w:p>
            <w:pPr>
              <w:spacing w:after="0"/>
              <w:rPr>
                <w:sz w:val="16"/>
                <w:szCs w:val="16"/>
                <w:color w:val="auto"/>
              </w:rPr>
            </w:pPr>
          </w:p>
        </w:tc>
        <w:tc>
          <w:tcPr>
            <w:tcW w:w="3160" w:type="dxa"/>
            <w:vAlign w:val="bottom"/>
            <w:gridSpan w:val="2"/>
          </w:tcPr>
          <w:p>
            <w:pPr>
              <w:jc w:val="center"/>
              <w:ind w:right="1208"/>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275"/>
        </w:trPr>
        <w:tc>
          <w:tcPr>
            <w:tcW w:w="3000" w:type="dxa"/>
            <w:vAlign w:val="bottom"/>
          </w:tcPr>
          <w:p>
            <w:pPr>
              <w:spacing w:after="0"/>
              <w:rPr>
                <w:sz w:val="23"/>
                <w:szCs w:val="23"/>
                <w:color w:val="auto"/>
              </w:rPr>
            </w:pPr>
          </w:p>
        </w:tc>
        <w:tc>
          <w:tcPr>
            <w:tcW w:w="498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5959 Las Colinas Boulevard, Irving, Texas 75039-2298</w:t>
            </w:r>
          </w:p>
        </w:tc>
        <w:tc>
          <w:tcPr>
            <w:tcW w:w="280" w:type="dxa"/>
            <w:vAlign w:val="bottom"/>
          </w:tcPr>
          <w:p>
            <w:pPr>
              <w:spacing w:after="0"/>
              <w:rPr>
                <w:sz w:val="23"/>
                <w:szCs w:val="23"/>
                <w:color w:val="auto"/>
              </w:rPr>
            </w:pPr>
          </w:p>
        </w:tc>
        <w:tc>
          <w:tcPr>
            <w:tcW w:w="2880" w:type="dxa"/>
            <w:vAlign w:val="bottom"/>
          </w:tcPr>
          <w:p>
            <w:pPr>
              <w:spacing w:after="0"/>
              <w:rPr>
                <w:sz w:val="23"/>
                <w:szCs w:val="23"/>
                <w:color w:val="auto"/>
              </w:rPr>
            </w:pPr>
          </w:p>
        </w:tc>
      </w:tr>
      <w:tr>
        <w:trPr>
          <w:trHeight w:val="188"/>
        </w:trPr>
        <w:tc>
          <w:tcPr>
            <w:tcW w:w="3000" w:type="dxa"/>
            <w:vAlign w:val="bottom"/>
          </w:tcPr>
          <w:p>
            <w:pPr>
              <w:spacing w:after="0"/>
              <w:rPr>
                <w:sz w:val="16"/>
                <w:szCs w:val="16"/>
                <w:color w:val="auto"/>
              </w:rPr>
            </w:pPr>
          </w:p>
        </w:tc>
        <w:tc>
          <w:tcPr>
            <w:tcW w:w="4980" w:type="dxa"/>
            <w:vAlign w:val="bottom"/>
          </w:tcPr>
          <w:p>
            <w:pPr>
              <w:jc w:val="center"/>
              <w:ind w:left="176"/>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28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230"/>
        </w:trPr>
        <w:tc>
          <w:tcPr>
            <w:tcW w:w="3000" w:type="dxa"/>
            <w:vAlign w:val="bottom"/>
          </w:tcPr>
          <w:p>
            <w:pPr>
              <w:spacing w:after="0"/>
              <w:rPr>
                <w:sz w:val="20"/>
                <w:szCs w:val="20"/>
                <w:color w:val="auto"/>
              </w:rPr>
            </w:pPr>
          </w:p>
        </w:tc>
        <w:tc>
          <w:tcPr>
            <w:tcW w:w="4980" w:type="dxa"/>
            <w:vAlign w:val="bottom"/>
          </w:tcPr>
          <w:p>
            <w:pPr>
              <w:jc w:val="center"/>
              <w:ind w:left="176"/>
              <w:spacing w:after="0"/>
              <w:rPr>
                <w:sz w:val="20"/>
                <w:szCs w:val="20"/>
                <w:color w:val="auto"/>
              </w:rPr>
            </w:pPr>
            <w:r>
              <w:rPr>
                <w:rFonts w:ascii="Times New Roman" w:cs="Times New Roman" w:eastAsia="Times New Roman" w:hAnsi="Times New Roman"/>
                <w:sz w:val="18"/>
                <w:szCs w:val="18"/>
                <w:b w:val="1"/>
                <w:bCs w:val="1"/>
                <w:color w:val="auto"/>
                <w:w w:val="99"/>
              </w:rPr>
              <w:t>(972) 940-6000</w:t>
            </w: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188"/>
        </w:trPr>
        <w:tc>
          <w:tcPr>
            <w:tcW w:w="3000" w:type="dxa"/>
            <w:vAlign w:val="bottom"/>
          </w:tcPr>
          <w:p>
            <w:pPr>
              <w:spacing w:after="0"/>
              <w:rPr>
                <w:sz w:val="16"/>
                <w:szCs w:val="16"/>
                <w:color w:val="auto"/>
              </w:rPr>
            </w:pPr>
          </w:p>
        </w:tc>
        <w:tc>
          <w:tcPr>
            <w:tcW w:w="4980" w:type="dxa"/>
            <w:vAlign w:val="bottom"/>
          </w:tcPr>
          <w:p>
            <w:pPr>
              <w:jc w:val="center"/>
              <w:ind w:left="176"/>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8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77"/>
        </w:trPr>
        <w:tc>
          <w:tcPr>
            <w:tcW w:w="3000" w:type="dxa"/>
            <w:vAlign w:val="bottom"/>
          </w:tcPr>
          <w:p>
            <w:pPr>
              <w:spacing w:after="0"/>
              <w:rPr>
                <w:sz w:val="6"/>
                <w:szCs w:val="6"/>
                <w:color w:val="auto"/>
              </w:rPr>
            </w:pPr>
          </w:p>
        </w:tc>
        <w:tc>
          <w:tcPr>
            <w:tcW w:w="49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880" w:type="dxa"/>
            <w:vAlign w:val="bottom"/>
          </w:tcPr>
          <w:p>
            <w:pPr>
              <w:spacing w:after="0"/>
              <w:rPr>
                <w:sz w:val="6"/>
                <w:szCs w:val="6"/>
                <w:color w:val="auto"/>
              </w:rPr>
            </w:pPr>
          </w:p>
        </w:tc>
      </w:tr>
      <w:tr>
        <w:trPr>
          <w:trHeight w:val="304"/>
        </w:trPr>
        <w:tc>
          <w:tcPr>
            <w:tcW w:w="3000" w:type="dxa"/>
            <w:vAlign w:val="bottom"/>
          </w:tcPr>
          <w:p>
            <w:pPr>
              <w:spacing w:after="0"/>
              <w:rPr>
                <w:sz w:val="24"/>
                <w:szCs w:val="24"/>
                <w:color w:val="auto"/>
              </w:rPr>
            </w:pPr>
          </w:p>
        </w:tc>
        <w:tc>
          <w:tcPr>
            <w:tcW w:w="4980" w:type="dxa"/>
            <w:vAlign w:val="bottom"/>
          </w:tcPr>
          <w:p>
            <w:pPr>
              <w:jc w:val="center"/>
              <w:ind w:left="196"/>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92"/>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Title of Each Class</w:t>
            </w:r>
          </w:p>
        </w:tc>
        <w:tc>
          <w:tcPr>
            <w:tcW w:w="4980" w:type="dxa"/>
            <w:vAlign w:val="bottom"/>
            <w:tcBorders>
              <w:bottom w:val="single" w:sz="8" w:color="auto"/>
            </w:tcBorders>
          </w:tcPr>
          <w:p>
            <w:pPr>
              <w:jc w:val="center"/>
              <w:ind w:right="336"/>
              <w:spacing w:after="0"/>
              <w:rPr>
                <w:sz w:val="20"/>
                <w:szCs w:val="20"/>
                <w:color w:val="auto"/>
              </w:rPr>
            </w:pPr>
            <w:r>
              <w:rPr>
                <w:rFonts w:ascii="Times New Roman" w:cs="Times New Roman" w:eastAsia="Times New Roman" w:hAnsi="Times New Roman"/>
                <w:sz w:val="14"/>
                <w:szCs w:val="14"/>
                <w:color w:val="auto"/>
              </w:rPr>
              <w:t>Trading Symbol</w:t>
            </w:r>
          </w:p>
        </w:tc>
        <w:tc>
          <w:tcPr>
            <w:tcW w:w="2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6"/>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 without par value</w:t>
            </w:r>
          </w:p>
        </w:tc>
        <w:tc>
          <w:tcPr>
            <w:tcW w:w="4980" w:type="dxa"/>
            <w:vAlign w:val="bottom"/>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XOM</w:t>
            </w:r>
          </w:p>
        </w:tc>
        <w:tc>
          <w:tcPr>
            <w:tcW w:w="280" w:type="dxa"/>
            <w:vAlign w:val="bottom"/>
          </w:tcPr>
          <w:p>
            <w:pPr>
              <w:spacing w:after="0"/>
              <w:rPr>
                <w:sz w:val="15"/>
                <w:szCs w:val="15"/>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189"/>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0.142% Notes due 2024</w:t>
            </w:r>
          </w:p>
        </w:tc>
        <w:tc>
          <w:tcPr>
            <w:tcW w:w="4980" w:type="dxa"/>
            <w:vAlign w:val="bottom"/>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XOM24B</w:t>
            </w:r>
          </w:p>
        </w:tc>
        <w:tc>
          <w:tcPr>
            <w:tcW w:w="280" w:type="dxa"/>
            <w:vAlign w:val="bottom"/>
          </w:tcPr>
          <w:p>
            <w:pPr>
              <w:spacing w:after="0"/>
              <w:rPr>
                <w:sz w:val="16"/>
                <w:szCs w:val="16"/>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189"/>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0.524% Notes due 2028</w:t>
            </w:r>
          </w:p>
        </w:tc>
        <w:tc>
          <w:tcPr>
            <w:tcW w:w="4980" w:type="dxa"/>
            <w:vAlign w:val="bottom"/>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w w:val="99"/>
              </w:rPr>
              <w:t>XOM28</w:t>
            </w:r>
          </w:p>
        </w:tc>
        <w:tc>
          <w:tcPr>
            <w:tcW w:w="280" w:type="dxa"/>
            <w:vAlign w:val="bottom"/>
          </w:tcPr>
          <w:p>
            <w:pPr>
              <w:spacing w:after="0"/>
              <w:rPr>
                <w:sz w:val="16"/>
                <w:szCs w:val="16"/>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189"/>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0.835% Notes due 2032</w:t>
            </w:r>
          </w:p>
        </w:tc>
        <w:tc>
          <w:tcPr>
            <w:tcW w:w="4980" w:type="dxa"/>
            <w:vAlign w:val="bottom"/>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w w:val="99"/>
              </w:rPr>
              <w:t>XOM32</w:t>
            </w:r>
          </w:p>
        </w:tc>
        <w:tc>
          <w:tcPr>
            <w:tcW w:w="280" w:type="dxa"/>
            <w:vAlign w:val="bottom"/>
          </w:tcPr>
          <w:p>
            <w:pPr>
              <w:spacing w:after="0"/>
              <w:rPr>
                <w:sz w:val="16"/>
                <w:szCs w:val="16"/>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190"/>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1.408% Notes due 2039</w:t>
            </w:r>
          </w:p>
        </w:tc>
        <w:tc>
          <w:tcPr>
            <w:tcW w:w="4980" w:type="dxa"/>
            <w:vAlign w:val="bottom"/>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XOM39A</w:t>
            </w:r>
          </w:p>
        </w:tc>
        <w:tc>
          <w:tcPr>
            <w:tcW w:w="280" w:type="dxa"/>
            <w:vAlign w:val="bottom"/>
          </w:tcPr>
          <w:p>
            <w:pPr>
              <w:spacing w:after="0"/>
              <w:rPr>
                <w:sz w:val="16"/>
                <w:szCs w:val="16"/>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bl>
    <w:p>
      <w:pPr>
        <w:spacing w:after="0" w:line="72" w:lineRule="exact"/>
        <w:rPr>
          <w:sz w:val="24"/>
          <w:szCs w:val="24"/>
          <w:color w:val="auto"/>
        </w:rPr>
      </w:pPr>
    </w:p>
    <w:p>
      <w:pPr>
        <w:ind w:right="3560"/>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Arial" w:cs="Arial" w:eastAsia="Arial" w:hAnsi="Arial"/>
          <w:sz w:val="14"/>
          <w:szCs w:val="14"/>
          <w:color w:val="auto"/>
        </w:rPr>
        <w:t>R</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80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40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Accelerated filer</w:t>
            </w:r>
          </w:p>
        </w:tc>
        <w:tc>
          <w:tcPr>
            <w:tcW w:w="2120" w:type="dxa"/>
            <w:vAlign w:val="bottom"/>
          </w:tcPr>
          <w:p>
            <w:pPr>
              <w:ind w:left="19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80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rPr>
              <w:t>☐</w:t>
            </w:r>
          </w:p>
        </w:tc>
        <w:tc>
          <w:tcPr>
            <w:tcW w:w="40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120" w:type="dxa"/>
            <w:vAlign w:val="bottom"/>
          </w:tcPr>
          <w:p>
            <w:pPr>
              <w:ind w:left="19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0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Emerging growth company</w:t>
            </w:r>
          </w:p>
        </w:tc>
        <w:tc>
          <w:tcPr>
            <w:tcW w:w="2120" w:type="dxa"/>
            <w:vAlign w:val="bottom"/>
          </w:tcPr>
          <w:p>
            <w:pPr>
              <w:ind w:left="19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1" w:lineRule="exact"/>
        <w:rPr>
          <w:sz w:val="24"/>
          <w:szCs w:val="24"/>
          <w:color w:val="auto"/>
        </w:rPr>
      </w:pPr>
    </w:p>
    <w:p>
      <w:pPr>
        <w:spacing w:after="0" w:line="189"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5" w:lineRule="exact"/>
        <w:rPr>
          <w:sz w:val="24"/>
          <w:szCs w:val="24"/>
          <w:color w:val="auto"/>
        </w:rPr>
      </w:pPr>
    </w:p>
    <w:p>
      <w:pPr>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by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1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on June 30, 2020, the last business day of the registrant’s most recently completed second fiscal quarter, based on the closing price on that date of $44.72 on the New York Stock Exchange composite tape, was in excess of $189 billion.</w:t>
      </w:r>
    </w:p>
    <w:p>
      <w:pPr>
        <w:spacing w:after="0" w:line="79" w:lineRule="exact"/>
        <w:rPr>
          <w:sz w:val="24"/>
          <w:szCs w:val="24"/>
          <w:color w:val="auto"/>
        </w:rPr>
      </w:pPr>
    </w:p>
    <w:tbl>
      <w:tblPr>
        <w:tblLayout w:type="fixed"/>
        <w:tblInd w:w="340" w:type="dxa"/>
        <w:tblCellMar>
          <w:top w:w="0" w:type="dxa"/>
          <w:left w:w="0" w:type="dxa"/>
          <w:bottom w:w="0" w:type="dxa"/>
          <w:right w:w="0" w:type="dxa"/>
        </w:tblCellMar>
      </w:tblPr>
      <w:tr>
        <w:trPr>
          <w:trHeight w:val="195"/>
        </w:trPr>
        <w:tc>
          <w:tcPr>
            <w:tcW w:w="6860" w:type="dxa"/>
            <w:vAlign w:val="bottom"/>
            <w:gridSpan w:val="2"/>
          </w:tcPr>
          <w:p>
            <w:pPr>
              <w:jc w:val="center"/>
              <w:ind w:right="388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as of January 31, 2021</w:t>
            </w:r>
          </w:p>
        </w:tc>
      </w:tr>
      <w:tr>
        <w:trPr>
          <w:trHeight w:val="189"/>
        </w:trPr>
        <w:tc>
          <w:tcPr>
            <w:tcW w:w="2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without par value</w:t>
            </w:r>
          </w:p>
        </w:tc>
        <w:tc>
          <w:tcPr>
            <w:tcW w:w="3880" w:type="dxa"/>
            <w:vAlign w:val="bottom"/>
          </w:tcPr>
          <w:p>
            <w:pPr>
              <w:spacing w:after="0"/>
              <w:rPr>
                <w:sz w:val="16"/>
                <w:szCs w:val="16"/>
                <w:color w:val="auto"/>
              </w:rPr>
            </w:pPr>
          </w:p>
        </w:tc>
        <w:tc>
          <w:tcPr>
            <w:tcW w:w="3700" w:type="dxa"/>
            <w:vAlign w:val="bottom"/>
            <w:tcBorders>
              <w:top w:val="single" w:sz="8" w:color="auto"/>
            </w:tcBorders>
          </w:tcPr>
          <w:p>
            <w:pPr>
              <w:jc w:val="right"/>
              <w:ind w:right="1368"/>
              <w:spacing w:after="0"/>
              <w:rPr>
                <w:sz w:val="20"/>
                <w:szCs w:val="20"/>
                <w:color w:val="auto"/>
              </w:rPr>
            </w:pPr>
            <w:r>
              <w:rPr>
                <w:rFonts w:ascii="Times New Roman" w:cs="Times New Roman" w:eastAsia="Times New Roman" w:hAnsi="Times New Roman"/>
                <w:sz w:val="14"/>
                <w:szCs w:val="14"/>
                <w:b w:val="1"/>
                <w:bCs w:val="1"/>
                <w:color w:val="auto"/>
              </w:rPr>
              <w:t>4,233,483,160</w:t>
            </w:r>
          </w:p>
        </w:tc>
      </w:tr>
    </w:tbl>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 Proxy Statement for the 2021 Annual Meeting of Shareholders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920" w:type="dxa"/>
            <w:vAlign w:val="bottom"/>
          </w:tcPr>
          <w:p>
            <w:pPr>
              <w:spacing w:after="0"/>
              <w:rPr>
                <w:sz w:val="19"/>
                <w:szCs w:val="19"/>
                <w:color w:val="auto"/>
              </w:rPr>
            </w:pPr>
          </w:p>
        </w:tc>
        <w:tc>
          <w:tcPr>
            <w:tcW w:w="912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EXXON MOBIL CORPORATION</w:t>
            </w:r>
          </w:p>
        </w:tc>
        <w:tc>
          <w:tcPr>
            <w:tcW w:w="1200" w:type="dxa"/>
            <w:vAlign w:val="bottom"/>
          </w:tcPr>
          <w:p>
            <w:pPr>
              <w:spacing w:after="0"/>
              <w:rPr>
                <w:sz w:val="19"/>
                <w:szCs w:val="19"/>
                <w:color w:val="auto"/>
              </w:rPr>
            </w:pPr>
          </w:p>
        </w:tc>
      </w:tr>
      <w:tr>
        <w:trPr>
          <w:trHeight w:val="230"/>
        </w:trPr>
        <w:tc>
          <w:tcPr>
            <w:tcW w:w="920" w:type="dxa"/>
            <w:vAlign w:val="bottom"/>
          </w:tcPr>
          <w:p>
            <w:pPr>
              <w:spacing w:after="0"/>
              <w:rPr>
                <w:sz w:val="19"/>
                <w:szCs w:val="19"/>
                <w:color w:val="auto"/>
              </w:rPr>
            </w:pPr>
          </w:p>
        </w:tc>
        <w:tc>
          <w:tcPr>
            <w:tcW w:w="912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200" w:type="dxa"/>
            <w:vAlign w:val="bottom"/>
          </w:tcPr>
          <w:p>
            <w:pPr>
              <w:spacing w:after="0"/>
              <w:rPr>
                <w:sz w:val="19"/>
                <w:szCs w:val="19"/>
                <w:color w:val="auto"/>
              </w:rPr>
            </w:pPr>
          </w:p>
        </w:tc>
      </w:tr>
      <w:tr>
        <w:trPr>
          <w:trHeight w:val="238"/>
        </w:trPr>
        <w:tc>
          <w:tcPr>
            <w:tcW w:w="920" w:type="dxa"/>
            <w:vAlign w:val="bottom"/>
          </w:tcPr>
          <w:p>
            <w:pPr>
              <w:spacing w:after="0"/>
              <w:rPr>
                <w:sz w:val="20"/>
                <w:szCs w:val="20"/>
                <w:color w:val="auto"/>
              </w:rPr>
            </w:pPr>
          </w:p>
        </w:tc>
        <w:tc>
          <w:tcPr>
            <w:tcW w:w="912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2020</w:t>
            </w:r>
          </w:p>
        </w:tc>
        <w:tc>
          <w:tcPr>
            <w:tcW w:w="1200" w:type="dxa"/>
            <w:vAlign w:val="bottom"/>
          </w:tcPr>
          <w:p>
            <w:pPr>
              <w:spacing w:after="0"/>
              <w:rPr>
                <w:sz w:val="20"/>
                <w:szCs w:val="20"/>
                <w:color w:val="auto"/>
              </w:rPr>
            </w:pPr>
          </w:p>
        </w:tc>
      </w:tr>
      <w:tr>
        <w:trPr>
          <w:trHeight w:val="459"/>
        </w:trPr>
        <w:tc>
          <w:tcPr>
            <w:tcW w:w="920" w:type="dxa"/>
            <w:vAlign w:val="bottom"/>
          </w:tcPr>
          <w:p>
            <w:pPr>
              <w:spacing w:after="0"/>
              <w:rPr>
                <w:sz w:val="24"/>
                <w:szCs w:val="24"/>
                <w:color w:val="auto"/>
              </w:rPr>
            </w:pPr>
          </w:p>
        </w:tc>
        <w:tc>
          <w:tcPr>
            <w:tcW w:w="912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00" w:type="dxa"/>
            <w:vAlign w:val="bottom"/>
          </w:tcPr>
          <w:p>
            <w:pPr>
              <w:spacing w:after="0"/>
              <w:rPr>
                <w:sz w:val="24"/>
                <w:szCs w:val="24"/>
                <w:color w:val="auto"/>
              </w:rPr>
            </w:pPr>
          </w:p>
        </w:tc>
      </w:tr>
      <w:tr>
        <w:trPr>
          <w:trHeight w:val="459"/>
        </w:trPr>
        <w:tc>
          <w:tcPr>
            <w:tcW w:w="920" w:type="dxa"/>
            <w:vAlign w:val="bottom"/>
          </w:tcPr>
          <w:p>
            <w:pPr>
              <w:spacing w:after="0"/>
              <w:rPr>
                <w:sz w:val="24"/>
                <w:szCs w:val="24"/>
                <w:color w:val="auto"/>
              </w:rPr>
            </w:pPr>
          </w:p>
        </w:tc>
        <w:tc>
          <w:tcPr>
            <w:tcW w:w="912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200" w:type="dxa"/>
            <w:vAlign w:val="bottom"/>
          </w:tcPr>
          <w:p>
            <w:pPr>
              <w:spacing w:after="0"/>
              <w:rPr>
                <w:sz w:val="24"/>
                <w:szCs w:val="24"/>
                <w:color w:val="auto"/>
              </w:rPr>
            </w:pPr>
          </w:p>
        </w:tc>
      </w:tr>
      <w:tr>
        <w:trPr>
          <w:trHeight w:val="45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Factors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Mine Safety Disclosures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0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Information about our Executive Officers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99"/>
        </w:trPr>
        <w:tc>
          <w:tcPr>
            <w:tcW w:w="920" w:type="dxa"/>
            <w:vAlign w:val="bottom"/>
          </w:tcPr>
          <w:p>
            <w:pPr>
              <w:spacing w:after="0"/>
              <w:rPr>
                <w:sz w:val="24"/>
                <w:szCs w:val="24"/>
                <w:color w:val="auto"/>
              </w:rPr>
            </w:pPr>
          </w:p>
        </w:tc>
        <w:tc>
          <w:tcPr>
            <w:tcW w:w="912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200" w:type="dxa"/>
            <w:vAlign w:val="bottom"/>
          </w:tcPr>
          <w:p>
            <w:pPr>
              <w:spacing w:after="0"/>
              <w:rPr>
                <w:sz w:val="24"/>
                <w:szCs w:val="24"/>
                <w:color w:val="auto"/>
              </w:rPr>
            </w:pPr>
          </w:p>
        </w:tc>
      </w:tr>
      <w:tr>
        <w:trPr>
          <w:trHeight w:val="49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59"/>
        </w:trPr>
        <w:tc>
          <w:tcPr>
            <w:tcW w:w="920" w:type="dxa"/>
            <w:vAlign w:val="bottom"/>
          </w:tcPr>
          <w:p>
            <w:pPr>
              <w:spacing w:after="0"/>
              <w:rPr>
                <w:sz w:val="24"/>
                <w:szCs w:val="24"/>
                <w:color w:val="auto"/>
              </w:rPr>
            </w:pPr>
          </w:p>
        </w:tc>
        <w:tc>
          <w:tcPr>
            <w:tcW w:w="912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200" w:type="dxa"/>
            <w:vAlign w:val="bottom"/>
          </w:tcPr>
          <w:p>
            <w:pPr>
              <w:spacing w:after="0"/>
              <w:rPr>
                <w:sz w:val="24"/>
                <w:szCs w:val="24"/>
                <w:color w:val="auto"/>
              </w:rPr>
            </w:pPr>
          </w:p>
        </w:tc>
      </w:tr>
      <w:tr>
        <w:trPr>
          <w:trHeight w:val="49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Compensation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500"/>
        </w:trPr>
        <w:tc>
          <w:tcPr>
            <w:tcW w:w="920" w:type="dxa"/>
            <w:vAlign w:val="bottom"/>
          </w:tcPr>
          <w:p>
            <w:pPr>
              <w:spacing w:after="0"/>
              <w:rPr>
                <w:sz w:val="24"/>
                <w:szCs w:val="24"/>
                <w:color w:val="auto"/>
              </w:rPr>
            </w:pPr>
          </w:p>
        </w:tc>
        <w:tc>
          <w:tcPr>
            <w:tcW w:w="912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200" w:type="dxa"/>
            <w:vAlign w:val="bottom"/>
          </w:tcPr>
          <w:p>
            <w:pPr>
              <w:spacing w:after="0"/>
              <w:rPr>
                <w:sz w:val="24"/>
                <w:szCs w:val="24"/>
                <w:color w:val="auto"/>
              </w:rPr>
            </w:pPr>
          </w:p>
        </w:tc>
      </w:tr>
      <w:tr>
        <w:trPr>
          <w:trHeight w:val="495"/>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9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10-K Summary</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10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Section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10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Index to Exhibits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9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4"/>
        </w:trPr>
        <w:tc>
          <w:tcPr>
            <w:tcW w:w="10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Exhibits 31 and 32 — Certifications</w:t>
            </w:r>
          </w:p>
        </w:tc>
        <w:tc>
          <w:tcPr>
            <w:tcW w:w="1200" w:type="dxa"/>
            <w:vAlign w:val="bottom"/>
          </w:tcPr>
          <w:p>
            <w:pPr>
              <w:spacing w:after="0"/>
              <w:rPr>
                <w:sz w:val="20"/>
                <w:szCs w:val="20"/>
                <w:color w:val="auto"/>
              </w:rPr>
            </w:pPr>
          </w:p>
        </w:tc>
      </w:tr>
      <w:tr>
        <w:trPr>
          <w:trHeight w:val="1100"/>
        </w:trPr>
        <w:tc>
          <w:tcPr>
            <w:tcW w:w="920" w:type="dxa"/>
            <w:vAlign w:val="bottom"/>
            <w:tcBorders>
              <w:bottom w:val="single" w:sz="8" w:color="9A9A9A"/>
            </w:tcBorders>
          </w:tcPr>
          <w:p>
            <w:pPr>
              <w:spacing w:after="0"/>
              <w:rPr>
                <w:sz w:val="24"/>
                <w:szCs w:val="24"/>
                <w:color w:val="auto"/>
              </w:rPr>
            </w:pPr>
          </w:p>
        </w:tc>
        <w:tc>
          <w:tcPr>
            <w:tcW w:w="9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PART I</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Exxon Mobil Corporation was incorporated in the State of New Jersey in 1882. Divisions and affiliated companies of ExxonMobil operate or market products in the United States and most other countries of the world. Their principal business involves exploration for, and production of, crude oil and natural gas and manufacture, trade, transport and sale of crude oil, natural gas, petroleum products, petrochemicals and a wide variety of specialty products. Affiliates of ExxonMobil conduct extensive research programs in support of these businesses.</w:t>
      </w:r>
    </w:p>
    <w:p>
      <w:pPr>
        <w:spacing w:after="0" w:line="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Exxon Mobil Corporation has several divisions and hundreds of affiliates, many with names that include </w:t>
      </w:r>
      <w:r>
        <w:rPr>
          <w:rFonts w:ascii="Times New Roman" w:cs="Times New Roman" w:eastAsia="Times New Roman" w:hAnsi="Times New Roman"/>
          <w:sz w:val="18"/>
          <w:szCs w:val="18"/>
          <w:i w:val="1"/>
          <w:iCs w:val="1"/>
          <w:color w:val="auto"/>
        </w:rPr>
        <w:t>ExxonMobil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Exxon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Esso, Mobil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XTO</w:t>
      </w:r>
      <w:r>
        <w:rPr>
          <w:rFonts w:ascii="Times New Roman" w:cs="Times New Roman" w:eastAsia="Times New Roman" w:hAnsi="Times New Roman"/>
          <w:sz w:val="18"/>
          <w:szCs w:val="18"/>
          <w:color w:val="auto"/>
        </w:rPr>
        <w:t xml:space="preserve">. For convenience and simplicity, in this report the terms </w:t>
      </w:r>
      <w:r>
        <w:rPr>
          <w:rFonts w:ascii="Times New Roman" w:cs="Times New Roman" w:eastAsia="Times New Roman" w:hAnsi="Times New Roman"/>
          <w:sz w:val="18"/>
          <w:szCs w:val="18"/>
          <w:i w:val="1"/>
          <w:iCs w:val="1"/>
          <w:color w:val="auto"/>
        </w:rPr>
        <w:t>ExxonMobil, Exxon, Esso, Mobil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XTO</w:t>
      </w:r>
      <w:r>
        <w:rPr>
          <w:rFonts w:ascii="Times New Roman" w:cs="Times New Roman" w:eastAsia="Times New Roman" w:hAnsi="Times New Roman"/>
          <w:sz w:val="18"/>
          <w:szCs w:val="18"/>
          <w:color w:val="auto"/>
        </w:rPr>
        <w:t xml:space="preserve">, as well as terms like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its</w:t>
      </w:r>
      <w:r>
        <w:rPr>
          <w:rFonts w:ascii="Times New Roman" w:cs="Times New Roman" w:eastAsia="Times New Roman" w:hAnsi="Times New Roman"/>
          <w:sz w:val="18"/>
          <w:szCs w:val="18"/>
          <w:color w:val="auto"/>
        </w:rPr>
        <w:t>, are sometimes used as abbreviated references to specific affiliates or groups of affiliates. The precise meaning depends on the context in question.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energy and petrochemical industries are highly competitive, both within the industries and also with other industries in supplying the energy, fuel and chemical needs of industrial and individual consumers. The Corporation competes with other firms in the sale or purchase of needed goods and services in many national and international markets and employs all methods of competition which are lawful and appropriate for such purposes.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data and industry segment information for the Corporation are contained in the Financial Section of this report under the following: “Note 18: Disclosures about Segments and Related Information” and “Operating Information”. Information on oil and gas reserves is contained in the “Oil and Gas Reserves” part of the “Supplemental Information on Oil and Gas Exploration and Production Activities” portion of the Financial Section of this report.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ExxonMobil has a long-standing commitment to the development of proprietary technology. We have a wide array of research programs designed to meet the needs identified in each of our business segments. ExxonMobil held nearly 9 thousand active patents worldwide at the end of 2020. For technology licensed to third parties, revenues totaled approximately $130 million in 2020. Although technology is an important contributor to the overall operations and results of our Company, the profitability of each business segment is not dependent on any individual patent, trade secret, trademark, license, franchise or concession.</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ExxonMobil operates in a highly complex, competitive and changing global energy business environment where decisions and risks play out over time horizons that are often decades in length. This long-term orientation underpins the Corporation's philosophy on talent development.</w:t>
      </w:r>
    </w:p>
    <w:p>
      <w:pPr>
        <w:spacing w:after="0" w:line="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Talent development begins with recruiting exceptional candidates and continues with individually planned experiences and training designed to facilitate broad development and a deep understanding of our business across the business cycle. Our career-oriented approach to talent development results in strong retention and an average length of service of 30 years for our career employees. Compensation, benefits and workplace programs support the Corporation's talent management approach, and are designed to attract and retain employees for a career through compensation that is market competitive, long-term oriented, and highly differentiated by individual performance.</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Sixty percent of our global employee workforce is from outside the U.S., and over the past decade 39 percent of our global hires for management, professional and technical positions were female and 31 percent of our U.S. hires for management, professional and technical positions were minorities. With over 160 nationalities represented in the Company, we encourage and respect diversity of thought, ideas and perspective from our workforce. We consider and monitor diversity through all stages of employment, including recruitment, training and development of our employees. We also work closely with the communities where we operate to identify and invest in initiatives that help support local needs, including local talent and skill development.</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regular employees was 72 thousand, 75 thousand, and 71 thousand at years ended 2020, 2019, and 2018, respectively. Regular employees are defined as active executive, management, professional, technical and wage employees who work full time or part time for the Corporation and are covered by the Corporation’s benefit plans and programs.</w:t>
      </w:r>
    </w:p>
    <w:p>
      <w:pPr>
        <w:spacing w:after="0" w:line="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discussed in item 1A. Risk Factors in this report, compliance with existing and potential future government regulations, including taxes, environmental regulations, and other government regulations and policies that directly or indirectly affect the production and sale of our products, may have material effects on the capital expenditures, earnings, and competitive position of ExxonMobil. With respect to the environment, throughout ExxonMobil’s businesses, new and ongoing measures are taken to prevent and minimize the impact of our operations on air, water and ground, including, but not limited to, compliance with environmental regulations. These include a significant investment in refining infrastructure and technology to manufacture clean fuels, as well as projects to monitor and reduce nitrogen oxide, sulfur oxide and greenhouse gas emissions, and expenditures for asset retirement obligations. Using definitions and guidelines established by the American Petroleum Institute, ExxonMobil’s 2020 worldwide environmental expenditures for all such preventative and remediation steps, including ExxonMobil’s share of equity company expenditures, were $4.5 billion, of which $3.4 billion were included in expenses with the remainder in capital expenditures. The total cost for such activities is expected to increase to approximately $4.9 billion in 2021 and 2022. Capital expenditures are expected to account for approximately 25 percent of the total.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concerning the source and availability of raw materials used in the Corporation’s business, the extent of seasonality in the business, the possibility of renegotiation of profits or termination of contracts at the election of governments and risks attendant to foreign operations may be found in “Item 1A. Risk Factors” and “Item 2. Properties” in this report.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ExxonMobil maintains a website at exxonmobil.com. Our annual report on Form 10-K, quarterly reports on Form 10-Q, current reports on Form 8-K and any amendments to those reports filed or furnished pursuant to Section 13(a) of the Securities Exchange Act of 1934 are made available through our website as soon as reasonably practical after we electronically file or furnish the reports to the Securities and Exchange Commission (SEC). Also available on the Corporation’s website are the Company’s Corporate Governance Guidelines, Code of Ethics and Business Conduct, and additional policies as well as the charters of the audit, compensation, and other committees of the Board of Directors. Information on our website is not incorporated into this report.</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(http://www.sec.gov) that contains reports, proxy and information statements, and other information regarding issuers that file electronically with the SEC.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ExxonMobil’s financial and operating results are subject to a variety of risks inherent in the global oil, gas, and petrochemical businesses. Many of these risk factors are not within the Company’s control and could adversely affect our business, our financial and operating results, or our financial condition. These risk factors include: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and Demand</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oil, gas, and petrochemical businesses are fundamentally commodity businesses. This means ExxonMobil’s operations and earnings may be significantly affected by changes in oil, gas, and petrochemical prices and by changes in margins on refined products. Oil, gas, petrochemical, and product prices and margins in turn depend on local, regional, and global events or conditions that affect supply and demand for the relevant commodity. Any material decline in oil or natural gas prices could have a material adverse effect on certain of the Company’s operations, especially in the Upstream segment, financial condition, and proved reserves. On the other hand, a material increase in oil or natural gas prices could have a material adverse effect on certain of the Company’s operations, especially in the Downstream and Chemical segments.</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Economic conditions. </w:t>
      </w:r>
      <w:r>
        <w:rPr>
          <w:rFonts w:ascii="Times New Roman" w:cs="Times New Roman" w:eastAsia="Times New Roman" w:hAnsi="Times New Roman"/>
          <w:sz w:val="18"/>
          <w:szCs w:val="18"/>
          <w:color w:val="auto"/>
        </w:rPr>
        <w:t>The demand for energy and petrochemicals is generally linked closely with broad-based economic activities and levels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prosperity. The occurrence of recessions or other periods of low or negative economic growth will typically have a direct adverse impact on our results. Other factors that affect general economic conditions in the world or in a major region, such as changes in population growth rates, periods of civil unrest, government austerity programs, trade tariffs, security or public health issues and responses, or currency exchange rate fluctuations, can also impact the demand for energy and petrochemicals. Sovereign debt downgrades, defaults, inability to access debt markets due to credit or legal constraints, liquidity crises, the breakup or restructuring of fiscal, monetary, or political systems such as the European Union, and other events or conditions that impair the functioning of financial markets and institutions also pose risks to ExxonMobil, including risks to the safety of our financial assets and to the ability of our partners and customers to fulfill their commitments to ExxonMobil. Demand reduction due to the COVID-19 pandemic as well as accompanying conditions of oversupply have led to a significant decrease in commodity prices and margins. Future business results, including cash flows and financing needs, will be affected by the extent and duration of these conditions and the effectiveness of responsive actions that the Corporation and others take, including actions to reduce capital and operating expenses, and actions taken by governments and others to address the COVID-19 pandemic including the ongoing development and distribution of COVID-19 vaccines, and the impact of the pandemic on national and global economies and markets.</w:t>
      </w:r>
    </w:p>
    <w:p>
      <w:pPr>
        <w:spacing w:after="0" w:line="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demand-related factors. </w:t>
      </w:r>
      <w:r>
        <w:rPr>
          <w:rFonts w:ascii="Times New Roman" w:cs="Times New Roman" w:eastAsia="Times New Roman" w:hAnsi="Times New Roman"/>
          <w:sz w:val="18"/>
          <w:szCs w:val="18"/>
          <w:color w:val="auto"/>
        </w:rPr>
        <w:t>Other factors that may affect the demand for oil, gas, and petrochemicals, and therefore impact our results,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technological improvements in energy efficiency; seasonal weather patterns; increased competitiveness of, or government policy support for, alternative energy sources; changes in technology that alter fuel choices, such as technological advances in energy storage that make wind and solar more competitive for power generation; changes in consumer preferences for our products, including consumer demand for alternative fueled or electric transportation or alternatives to plastic products; and broad-based changes in personal income levels.</w:t>
      </w:r>
    </w:p>
    <w:p>
      <w:pPr>
        <w:spacing w:after="0" w:line="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Other supply-related factors. </w:t>
      </w:r>
      <w:r>
        <w:rPr>
          <w:rFonts w:ascii="Times New Roman" w:cs="Times New Roman" w:eastAsia="Times New Roman" w:hAnsi="Times New Roman"/>
          <w:sz w:val="18"/>
          <w:szCs w:val="18"/>
          <w:color w:val="auto"/>
        </w:rPr>
        <w:t>Commodity prices and margins also vary depending on a number of factors affecting supply. For example, increased supply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development of new oil and gas supply sources and technologies to enhance recovery from existing sources tend to reduce commodity prices to the extent such supply increases are not offset by commensurate growth in demand. Similarly, increases in industry refining or petrochemical manufacturing capacity relative to demand tend to reduce margins on the affected products. World oil, gas, and petrochemical supply levels can also be affected by factors that reduce available supplies, such as adherence by countries to OPEC production quotas and other agreements among sovereigns, government policies that restrict oil and gas production or increase associated costs, and the occurrence of wars, hostile actions, natural disasters, disruptions in competitors’ operations, logistics constraints or unexpected unavailability of distribution channels that may disrupt supplies. Technological change can also alter the relative costs for competitors to find, produce, and refine oil and gas and to manufacture petrochemicals.</w:t>
      </w:r>
    </w:p>
    <w:p>
      <w:pPr>
        <w:spacing w:after="0" w:line="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market factors. </w:t>
      </w:r>
      <w:r>
        <w:rPr>
          <w:rFonts w:ascii="Times New Roman" w:cs="Times New Roman" w:eastAsia="Times New Roman" w:hAnsi="Times New Roman"/>
          <w:sz w:val="18"/>
          <w:szCs w:val="18"/>
          <w:color w:val="auto"/>
        </w:rPr>
        <w:t>ExxonMobil’s business results are also exposed to potential negative impacts due to changes in interest rates, inflation,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rates, and other local or regional market conditions.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Government and Political Factors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ExxonMobil’s results can be adversely affected by political or regulatory developments affecting our operations.</w:t>
      </w:r>
    </w:p>
    <w:p>
      <w:pPr>
        <w:spacing w:after="0" w:line="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Access limitations. </w:t>
      </w:r>
      <w:r>
        <w:rPr>
          <w:rFonts w:ascii="Times New Roman" w:cs="Times New Roman" w:eastAsia="Times New Roman" w:hAnsi="Times New Roman"/>
          <w:sz w:val="18"/>
          <w:szCs w:val="18"/>
          <w:color w:val="auto"/>
        </w:rPr>
        <w:t>A number of countries limit access to their oil and gas resources, including by restricting leasing or permitting activities, or may place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resources off-limits from development altogether. Restrictions on production of oil and gas could increase to the extent governments view such measures as a viable approach for pursuing national and global energy and climate policies. Restrictions on foreign investment in the oil and gas sector tend to increase in times of high commodity prices, when national governments may have less need of outside sources of private capital. Many countries also restrict the import or export of certain products based on point of origin.</w:t>
      </w:r>
    </w:p>
    <w:p>
      <w:pPr>
        <w:spacing w:after="0" w:line="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Restrictions on doing business. </w:t>
      </w:r>
      <w:r>
        <w:rPr>
          <w:rFonts w:ascii="Times New Roman" w:cs="Times New Roman" w:eastAsia="Times New Roman" w:hAnsi="Times New Roman"/>
          <w:sz w:val="18"/>
          <w:szCs w:val="18"/>
          <w:color w:val="auto"/>
        </w:rPr>
        <w:t>ExxonMobil is subject to laws and sanctions imposed by the United States or by other jurisdictions where we do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may prohibit ExxonMobil or certain of its affiliates from doing business in certain countries, or restricting the kind of business that may be conducted. Such restrictions may provide a competitive advantage to competitors who may not be subject to comparable restrictions.</w:t>
      </w:r>
    </w:p>
    <w:p>
      <w:pPr>
        <w:spacing w:after="0" w:line="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Lack of legal certainty. </w:t>
      </w:r>
      <w:r>
        <w:rPr>
          <w:rFonts w:ascii="Times New Roman" w:cs="Times New Roman" w:eastAsia="Times New Roman" w:hAnsi="Times New Roman"/>
          <w:sz w:val="18"/>
          <w:szCs w:val="18"/>
          <w:color w:val="auto"/>
        </w:rPr>
        <w:t>Some countries in which we do business lack well-developed legal systems, or have not yet adopted, or may be unable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 clear regulatory frameworks for oil and gas development. Lack of legal certainty exposes our operations to increased risk of adverse or unpredictable actions by government officials, and also makes it more difficult for us to enforce our contracts. In some cases these risks can be partially offset by agreements to arbitrate disputes in an international forum, but the adequacy of this remedy may still depend on the local legal system to enforce an award.</w:t>
      </w:r>
    </w:p>
    <w:p>
      <w:pPr>
        <w:spacing w:after="0" w:line="4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Regulatory and litigation risks. </w:t>
      </w:r>
      <w:r>
        <w:rPr>
          <w:rFonts w:ascii="Times New Roman" w:cs="Times New Roman" w:eastAsia="Times New Roman" w:hAnsi="Times New Roman"/>
          <w:sz w:val="18"/>
          <w:szCs w:val="18"/>
          <w:color w:val="auto"/>
        </w:rPr>
        <w:t>Even in countries with well-developed legal systems where ExxonMobil does business, we remain exposed to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or interpretation of settled law (including changes that result from international treaties and accords) that could adversely affect our results, such as:</w:t>
      </w:r>
    </w:p>
    <w:p>
      <w:pPr>
        <w:spacing w:after="0" w:line="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taxes, duties, or government royalty rates (including retroactive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controls;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regulations or other laws that increase our cost of compliance or reduce or delay available business opportunities (including changes in laws affecting offshore drilling operations, water use, methane emissions, hydraulic fracturing or use of plastics);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regulators or other political actors to delay or deny necessary licenses and permits or restrict the transportation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regulations mandating efficiency standards, the use of alternative fuels or uncompetitive fuel components;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government payment transparency regulations that could require us to disclose competitively sensitive commercial information, or that could cause us to violate the non-disclosure laws of other countries; and</w:t>
      </w:r>
    </w:p>
    <w:p>
      <w:pPr>
        <w:ind w:left="660" w:right="20" w:hanging="328"/>
        <w:spacing w:after="0" w:line="26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actions to cancel contracts, re-denominate the official currency, renounce or default on obligations, renegotiate terms unilaterally, or expropriate assets.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remedies available to compensate us for expropriation or other takings may be inadequate.</w:t>
      </w:r>
    </w:p>
    <w:p>
      <w:pPr>
        <w:spacing w:after="0" w:line="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may be adversely affected by the outcome of litigation, especially in countries such as the United States in which very large and unpredictable punitive damage awards may occur; by government enforcement proceedings alleging non-compliance with applicable laws or regulations; or by state and local government actors as well as private plaintiffs acting in parallel that attempt to use the legal system to promote public policy agendas, gain political notoriety, or obtain monetary awards from the Company.</w:t>
      </w:r>
    </w:p>
    <w:p>
      <w:pPr>
        <w:spacing w:after="0" w:line="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Security concerns. </w:t>
      </w:r>
      <w:r>
        <w:rPr>
          <w:rFonts w:ascii="Times New Roman" w:cs="Times New Roman" w:eastAsia="Times New Roman" w:hAnsi="Times New Roman"/>
          <w:sz w:val="18"/>
          <w:szCs w:val="18"/>
          <w:color w:val="auto"/>
        </w:rPr>
        <w:t>Successful operation of particular facilities or projects may be disrupted by civil unrest, acts of sabotage or terrorism, cybersecurity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attacks, and other local security concerns. Such concerns may require us to incur greater costs for security or to shut down operations for a period of time.</w:t>
      </w:r>
    </w:p>
    <w:p>
      <w:pPr>
        <w:spacing w:after="0" w:line="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Climate change and greenhouse gas restrictions. </w:t>
      </w:r>
      <w:r>
        <w:rPr>
          <w:rFonts w:ascii="Times New Roman" w:cs="Times New Roman" w:eastAsia="Times New Roman" w:hAnsi="Times New Roman"/>
          <w:sz w:val="18"/>
          <w:szCs w:val="18"/>
          <w:color w:val="auto"/>
        </w:rPr>
        <w:t>Driven by concern over the risks of climate change, a number of countries have adopted, or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considering the adoption of, regulatory frameworks to reduce greenhouse gas emissions or production and use of oil and gas. These include adoption of cap and trade regimes, carbon taxes, trade tariffs, minimum renewable usage requirements, restrictive permitting, increased efficiency standards, and incentives or mandates for renewable energy. Political and other actors and their agents also increasingly seek to advance climate change objectives indirectly, such as by seeking to reduce the availability of or increase the cost for, financing and investment in the oil and gas sector and taking actions intended to promote changes in business strategy for oil and gas companies. Depending on how policies are formulated and applied, they could have the potential to negatively affect investment returns, make our products more expensive or less competitive, lengthen project implementation times, and reduce demand for hydrocarbons, as well as shift hydrocarbon demand toward relatively lower-carbon sources such as natural gas. Current and pending greenhouse gas regulations or policies may also increase our compliance costs, such as for monitoring or sequestering emissions.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Alternative energy. </w:t>
      </w:r>
      <w:r>
        <w:rPr>
          <w:rFonts w:ascii="Times New Roman" w:cs="Times New Roman" w:eastAsia="Times New Roman" w:hAnsi="Times New Roman"/>
          <w:sz w:val="18"/>
          <w:szCs w:val="18"/>
          <w:color w:val="auto"/>
        </w:rPr>
        <w:t>Many governments are providing tax advantages and other subsidies to support transitioning to alternative energy sources or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mandating the use of specific fuels or technologies. Governments and others are also promoting research into new technologies to reduce the cost and increase the scalability of alternative energy sources. We are conducting our own research both in-house and by working with more than 80 leading universities around the world, including the Massachusetts Institute of Technology, Princeton University, The University of Texas, and Stanford University in the U.S., and in Singapore with Nanyang Technological Institute and the National University. Our research projects focus on developing advanced biofuels and hydrogen, carbon capture and storage, breakthrough energy efficiency processes, advanced energy-saving materials, and other technologies in collaboration with our partners including Synthetic Genomics, FuelCell Energy and Global Thermostat. Our future results may depend in part on the success of our research efforts and on our ability to adapt and apply the strengths of our current business model to providing the energy products of the future in a cost-competitive manner. See “Operational and Other Factors” below.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and Other Factors</w:t>
      </w:r>
    </w:p>
    <w:p>
      <w:pPr>
        <w:spacing w:after="0" w:line="6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external economic and political factors, our future business results also depend on our ability to manage successfully those factors that are at least in part within our control. The extent to which we manage these factors will impact our performance relative to competition. For projects in which we are not the operator, we depend on the management effectiveness of one or more co-venturers whom we do not control.</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Exploration and development program. </w:t>
      </w:r>
      <w:r>
        <w:rPr>
          <w:rFonts w:ascii="Times New Roman" w:cs="Times New Roman" w:eastAsia="Times New Roman" w:hAnsi="Times New Roman"/>
          <w:sz w:val="18"/>
          <w:szCs w:val="18"/>
          <w:color w:val="auto"/>
        </w:rPr>
        <w:t>Our ability to maintain and grow our oil and gas production depends on the success of our exploration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efforts. Among other factors, we must continuously improve our ability to identify the most promising resource prospects and apply our project management expertise to bring discovered resources on line as scheduled and within budget.</w:t>
      </w:r>
    </w:p>
    <w:p>
      <w:pPr>
        <w:spacing w:after="0" w:line="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Project and portfolio management. </w:t>
      </w:r>
      <w:r>
        <w:rPr>
          <w:rFonts w:ascii="Times New Roman" w:cs="Times New Roman" w:eastAsia="Times New Roman" w:hAnsi="Times New Roman"/>
          <w:sz w:val="18"/>
          <w:szCs w:val="18"/>
          <w:color w:val="auto"/>
        </w:rPr>
        <w:t>The long-term success of ExxonMobil’s Upstream, Downstream, and Chemical businesses depends on complex,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long-term, capital intensive projects. These projects in turn require a high degree of project management expertise to maximize efficiency. Specific factors that can affect the performance of major projects include our ability to: negotiate successfully with joint venturers, partners, governments, suppliers, customers, or others; model and optimize reservoir performance; develop markets for project outputs, whether through long-term contracts or the development of effective spot markets; manage changes in operating conditions and costs, including costs of third party equipment or services such as drilling rigs and shipping; prevent, to the extent possible, and respond effectively to unforeseen technical difficulties that could delay project startup or cause unscheduled project downtime; and influence the performance of project operators where ExxonMobil does not perform that role. In addition to the effective management of individual projects, ExxonMobil’s success, including our ability to mitigate risk and provide attractive returns to shareholders, depends on our ability to successfully manage our overall portfolio, including diversification among types and locations of our projects and strategies to divest assets. We may not be able to divest assets at a price or on the timeline we contemplate in our strategies. Additionally, we may retain certain liabilities following a divestment and could be held liable for past use or for different liabilities than anticipated.</w:t>
      </w:r>
    </w:p>
    <w:p>
      <w:pPr>
        <w:spacing w:after="0" w:line="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“project” as used in this report can refer to a variety of different activities and does not necessarily have the same meaning as in any government payment transparency reports.</w:t>
      </w:r>
    </w:p>
    <w:p>
      <w:pPr>
        <w:spacing w:after="0" w:line="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Operational efficiency. </w:t>
      </w:r>
      <w:r>
        <w:rPr>
          <w:rFonts w:ascii="Times New Roman" w:cs="Times New Roman" w:eastAsia="Times New Roman" w:hAnsi="Times New Roman"/>
          <w:sz w:val="18"/>
          <w:szCs w:val="18"/>
          <w:color w:val="auto"/>
        </w:rPr>
        <w:t>An important component of ExxonMobil’s competitive performance, especially given the commodity-based nature of many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businesses, is our ability to operate efficiently, including our ability to manage expenses and improve production yields on an ongoing basis. This requires continuous management focus, including technology improvements, cost control, productivity enhancements, regular reappraisal of our asset portfolio, and the recruitment, development, and retention of high caliber employees.</w:t>
      </w:r>
    </w:p>
    <w:p>
      <w:pPr>
        <w:spacing w:after="0" w:line="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and technological change. </w:t>
      </w:r>
      <w:r>
        <w:rPr>
          <w:rFonts w:ascii="Times New Roman" w:cs="Times New Roman" w:eastAsia="Times New Roman" w:hAnsi="Times New Roman"/>
          <w:sz w:val="18"/>
          <w:szCs w:val="18"/>
          <w:color w:val="auto"/>
        </w:rPr>
        <w:t>To maintain our competitive position, especially in light of the technological nature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businesses and the need for continuous efficiency improvement, ExxonMobil’s research and development organizations must be successful and able to adapt to a changing market and policy environment, including developing technologies to help reduce greenhouse gas emissions. To remain competitive we must also continuously adapt and capture the benefits of new and emerging technologies, including successfully applying advances in the ability to process very large amounts of data to our businesses.</w:t>
      </w:r>
    </w:p>
    <w:p>
      <w:pPr>
        <w:spacing w:after="0" w:line="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Safety, business controls, and environmental risk management. </w:t>
      </w:r>
      <w:r>
        <w:rPr>
          <w:rFonts w:ascii="Times New Roman" w:cs="Times New Roman" w:eastAsia="Times New Roman" w:hAnsi="Times New Roman"/>
          <w:sz w:val="18"/>
          <w:szCs w:val="18"/>
          <w:color w:val="auto"/>
        </w:rPr>
        <w:t>Our results depend on management’s ability to minimize the inherent risks of oil, gas,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petrochemical operations, to control effectively our business activities, and to minimize the potential for human error. We apply rigorous management systems and continuous focus on workplace safety and avoiding spills or other adverse environmental events. For example, we work to minimize spills through a combined program of effective operations integrity management, ongoing upgrades, key equipment replacements, and comprehensive inspection and surveillance. Similarly, we are implementing cost-effective new technologies and adopting new operating practices to reduce air emissions, not only in response to government requirements but also to address community priorities. We also maintain a disciplined framework of internal controls and apply a controls management system for monitoring compliance with this framework. Substantial liabilities and other adverse impacts could result if our management systems and controls do not function as intended.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6" w:name="page7"/>
    <w:bookmarkEnd w:id="6"/>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Cybersecurity. </w:t>
      </w:r>
      <w:r>
        <w:rPr>
          <w:rFonts w:ascii="Times New Roman" w:cs="Times New Roman" w:eastAsia="Times New Roman" w:hAnsi="Times New Roman"/>
          <w:sz w:val="18"/>
          <w:szCs w:val="18"/>
          <w:color w:val="auto"/>
        </w:rPr>
        <w:t>ExxonMobil is regularly subject to attempted cybersecurity disruptions from a variety of threat actors including state-sponsored 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ExxonMobil’s defensive preparedness includes multi-layered technological capabilities for prevention and detection of cybersecurity disruptions; non-technological measures such as threat information sharing with governmental and industry groups; internal training and awareness campaigns including routine testing of employee awareness and an emphasis on resiliency including business response and recovery. If the measures we are taking to protect against cybersecurity disruptions prove to be insufficient or if our proprietary data is otherwise not protected, ExxonMobil as well as our customers, employees, or third parties could be adversely affected. Cybersecurity disruptions could cause physical harm to people or the environment; damage or destroy assets; compromise business systems; result in proprietary information being altered, lost, or stolen; result in employee, customer, or third-party information being compromised; or otherwise disrupt our business operations. We could incur significant costs to remedy the effects of a major cybersecurity disruption in addition to costs in connection with resulting regulatory actions, litigation or reputational harm.</w:t>
      </w:r>
    </w:p>
    <w:p>
      <w:pPr>
        <w:spacing w:after="0" w:line="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Preparedness. </w:t>
      </w:r>
      <w:r>
        <w:rPr>
          <w:rFonts w:ascii="Times New Roman" w:cs="Times New Roman" w:eastAsia="Times New Roman" w:hAnsi="Times New Roman"/>
          <w:sz w:val="18"/>
          <w:szCs w:val="18"/>
          <w:color w:val="auto"/>
        </w:rPr>
        <w:t>Our operations may be disrupted by severe weather events, natural disasters, human error, and similar events. For example, hurricanes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damage our offshore production facilities or coastal refining and petrochemical plants in vulnerable areas. Our facilities are designed, constructed, and operated to withstand a variety of extreme climatic and other conditions, with safety factors built in to cover a number of engineering uncertainties, including those associated with wave, wind, and current intensity, marine ice flow patterns, permafrost stability, storm surge magnitude, temperature extremes, extreme rainfall events, and earthquakes. Our consideration of changing weather conditions and inclusion of safety factors in design covers the engineering uncertainties that climate change and other events may potentially introduce. Our ability to mitigate the adverse impacts of these events depends in part upon the effectiveness of our robust facility engineering as well as our rigorous disaster preparedness and response, and business continuity planning.</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Insurance limitations. </w:t>
      </w:r>
      <w:r>
        <w:rPr>
          <w:rFonts w:ascii="Times New Roman" w:cs="Times New Roman" w:eastAsia="Times New Roman" w:hAnsi="Times New Roman"/>
          <w:sz w:val="18"/>
          <w:szCs w:val="18"/>
          <w:color w:val="auto"/>
        </w:rPr>
        <w:t>The ability of the Corporation to insure against many of the risks it faces as described in this Item 1A is limited by the capacity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applicable insurance markets, which may not be sufficient.</w:t>
      </w:r>
    </w:p>
    <w:p>
      <w:pPr>
        <w:spacing w:after="0" w:line="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As noted in Item 1 above, the energy and petrochemical industries are highly competitive. We face competition not only from other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firms, but also from state-owned companies that are increasingly competing for opportunities outside of their home countries and as partners with other private firms. In some cases, these state-owned companies may pursue opportunities in furtherance of strategic objectives of their government owners, with less focus on financial returns than companies owned by private shareholders, such as ExxonMobil. Technology and expertise provided by industry service companies may also enhance the competitiveness of firms that may not have the internal resources and capabilities of ExxonMobil or reduce the need for resource-owning countries to partner with private-sector oil and gas companies in order to monetize national resources.</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Reputation. </w:t>
      </w:r>
      <w:r>
        <w:rPr>
          <w:rFonts w:ascii="Times New Roman" w:cs="Times New Roman" w:eastAsia="Times New Roman" w:hAnsi="Times New Roman"/>
          <w:sz w:val="18"/>
          <w:szCs w:val="18"/>
          <w:color w:val="auto"/>
        </w:rPr>
        <w:t>Our reputation is an important corporate asset. An operating incident, significant cybersecurity disruption, change in consumer views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concerning our products, or other adverse event such as those described in this Item 1A may have a negative impact on our reputation, which in turn could make it more difficult for us to compete successfully for new opportunities, obtain necessary regulatory approvals, obtain financing, or could reduce consumer demand for our branded products. ExxonMobil’s reputation may also be harmed by events which negatively affect the image of our industry as a whole.</w:t>
      </w:r>
    </w:p>
    <w:p>
      <w:pPr>
        <w:spacing w:after="0" w:line="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Projections, estimates, and descriptions of ExxonMobil’s plans and objectives included or incorporated in Items 1, 1A, 2, 7 and 7A of this report are forward-looking statements. Actual future results, including project completion dates, production rates, capital expenditures, costs, and business plans could differ materially due to, among other things, the factors discussed above and elsewhere in this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with regard to oil and gas producing activities follows: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Disclosure of Reserves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Summary of Oil and Gas Reserves at Year-End 2020</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table below summarizes the oil-equivalent proved reserves in each geographic area and by product type for consolidated subsidiaries and equity companies. Natural gas is converted to an oil-equivalent basis at six billion cubic feet per one million barrels. The Corporation has reported proved reserves on the basis of the average of the first-day-of-the-month price for each month during the last 12-month period. Primarily as a result of very low prices during 2020 and the effects of reductions in capital expenditures, under the SEC definition of proved reserves, certain quantities of crude oil, bitumen, and natural gas that qualified as proved reserves in prior years did not qualify as proved reserves at year-end 2020. Otherwise, no major discovery or other favorable or adverse event has occurred since December 31, 2020, that would cause a significant change in the estimated proved reserves as of that date.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Oil-Equivalent</w:t>
            </w:r>
          </w:p>
        </w:tc>
      </w:tr>
      <w:tr>
        <w:trPr>
          <w:trHeight w:val="189"/>
        </w:trPr>
        <w:tc>
          <w:tcPr>
            <w:tcW w:w="3460" w:type="dxa"/>
            <w:vAlign w:val="bottom"/>
          </w:tcPr>
          <w:p>
            <w:pPr>
              <w:spacing w:after="0"/>
              <w:rPr>
                <w:sz w:val="16"/>
                <w:szCs w:val="16"/>
                <w:color w:val="auto"/>
              </w:rPr>
            </w:pPr>
          </w:p>
        </w:tc>
        <w:tc>
          <w:tcPr>
            <w:tcW w:w="13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Crude</w:t>
            </w:r>
          </w:p>
        </w:tc>
        <w:tc>
          <w:tcPr>
            <w:tcW w:w="12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Natural Gas</w:t>
            </w:r>
          </w:p>
        </w:tc>
        <w:tc>
          <w:tcPr>
            <w:tcW w:w="12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Synthetic</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Natural</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25"/>
        </w:trPr>
        <w:tc>
          <w:tcPr>
            <w:tcW w:w="3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Oil</w:t>
            </w:r>
          </w:p>
        </w:tc>
        <w:tc>
          <w:tcPr>
            <w:tcW w:w="12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Liquids</w:t>
            </w:r>
          </w:p>
        </w:tc>
        <w:tc>
          <w:tcPr>
            <w:tcW w:w="12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Bitumen</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Oil</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Gas</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All Products</w:t>
            </w:r>
          </w:p>
        </w:tc>
      </w:tr>
      <w:tr>
        <w:trPr>
          <w:trHeight w:val="212"/>
        </w:trPr>
        <w:tc>
          <w:tcPr>
            <w:tcW w:w="3460" w:type="dxa"/>
            <w:vAlign w:val="bottom"/>
          </w:tcPr>
          <w:p>
            <w:pPr>
              <w:spacing w:after="0"/>
              <w:rPr>
                <w:sz w:val="18"/>
                <w:szCs w:val="18"/>
                <w:color w:val="auto"/>
              </w:rPr>
            </w:pPr>
          </w:p>
        </w:tc>
        <w:tc>
          <w:tcPr>
            <w:tcW w:w="1300" w:type="dxa"/>
            <w:vAlign w:val="bottom"/>
          </w:tcPr>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(million bbls)</w:t>
            </w:r>
          </w:p>
        </w:tc>
        <w:tc>
          <w:tcPr>
            <w:tcW w:w="1280" w:type="dxa"/>
            <w:vAlign w:val="bottom"/>
          </w:tcPr>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(million bbls)</w:t>
            </w:r>
          </w:p>
        </w:tc>
        <w:tc>
          <w:tcPr>
            <w:tcW w:w="1280" w:type="dxa"/>
            <w:vAlign w:val="bottom"/>
          </w:tcPr>
          <w:p>
            <w:pPr>
              <w:jc w:val="right"/>
              <w:ind w:right="179"/>
              <w:spacing w:after="0"/>
              <w:rPr>
                <w:sz w:val="20"/>
                <w:szCs w:val="20"/>
                <w:color w:val="auto"/>
              </w:rPr>
            </w:pPr>
            <w:r>
              <w:rPr>
                <w:rFonts w:ascii="Times New Roman" w:cs="Times New Roman" w:eastAsia="Times New Roman" w:hAnsi="Times New Roman"/>
                <w:sz w:val="16"/>
                <w:szCs w:val="16"/>
                <w:i w:val="1"/>
                <w:iCs w:val="1"/>
                <w:color w:val="auto"/>
              </w:rPr>
              <w:t>(million bbls)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(million bbls)</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(billion cubic ft)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(million bbls)</w:t>
            </w:r>
          </w:p>
        </w:tc>
      </w:tr>
      <w:tr>
        <w:trPr>
          <w:trHeight w:val="214"/>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Proved Reserves</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4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Developed</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46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United States</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1,029</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444</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10,375</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3,202</w:t>
            </w:r>
          </w:p>
        </w:tc>
      </w:tr>
      <w:tr>
        <w:trPr>
          <w:trHeight w:val="216"/>
        </w:trPr>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 xml:space="preserve">Canada/Other Americas </w:t>
            </w:r>
            <w:r>
              <w:rPr>
                <w:rFonts w:ascii="Times New Roman" w:cs="Times New Roman" w:eastAsia="Times New Roman" w:hAnsi="Times New Roman"/>
                <w:sz w:val="16"/>
                <w:szCs w:val="16"/>
                <w:i w:val="1"/>
                <w:iCs w:val="1"/>
                <w:color w:val="auto"/>
              </w:rPr>
              <w:t>(1)</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288</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76</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311</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472</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w:t>
            </w:r>
          </w:p>
        </w:tc>
      </w:tr>
      <w:tr>
        <w:trPr>
          <w:trHeight w:val="216"/>
        </w:trPr>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Europe</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399</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6"/>
        </w:trPr>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Africa</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314</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318</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216"/>
        </w:trPr>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Asia</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2,215</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84</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3,323</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2,853</w:t>
            </w:r>
          </w:p>
        </w:tc>
      </w:tr>
      <w:tr>
        <w:trPr>
          <w:trHeight w:val="216"/>
        </w:trPr>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Australia/Oceania</w:t>
            </w: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44</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3,344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w:t>
            </w:r>
          </w:p>
        </w:tc>
      </w:tr>
      <w:tr>
        <w:trPr>
          <w:trHeight w:val="210"/>
        </w:trPr>
        <w:tc>
          <w:tcPr>
            <w:tcW w:w="346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Total Consolidated</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3,901</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589</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76</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311</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18,231</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7,915</w:t>
            </w:r>
          </w:p>
        </w:tc>
      </w:tr>
      <w:tr>
        <w:trPr>
          <w:trHeight w:val="324"/>
        </w:trPr>
        <w:tc>
          <w:tcPr>
            <w:tcW w:w="346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Equity Companies</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United States</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107</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6"/>
        </w:trPr>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Europe</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293</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6"/>
        </w:trPr>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Africa</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Asia</w:t>
            </w: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432</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214</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8,992</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2,144</w:t>
            </w:r>
          </w:p>
        </w:tc>
      </w:tr>
      <w:tr>
        <w:trPr>
          <w:trHeight w:val="210"/>
        </w:trPr>
        <w:tc>
          <w:tcPr>
            <w:tcW w:w="346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Total Equity Company</w:t>
            </w: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547</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218</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9,368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2,326</w:t>
            </w:r>
          </w:p>
        </w:tc>
      </w:tr>
      <w:tr>
        <w:trPr>
          <w:trHeight w:val="210"/>
        </w:trPr>
        <w:tc>
          <w:tcPr>
            <w:tcW w:w="346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Total Developed</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4,448</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807</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76</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311</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27,599</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10,241</w:t>
            </w:r>
          </w:p>
        </w:tc>
      </w:tr>
      <w:tr>
        <w:trPr>
          <w:trHeight w:val="324"/>
        </w:trPr>
        <w:tc>
          <w:tcPr>
            <w:tcW w:w="346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Undeveloped</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346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United States</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930</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412</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3,064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w:t>
            </w:r>
          </w:p>
        </w:tc>
      </w:tr>
      <w:tr>
        <w:trPr>
          <w:trHeight w:val="216"/>
        </w:trPr>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 xml:space="preserve">Canada/Other Americas </w:t>
            </w:r>
            <w:r>
              <w:rPr>
                <w:rFonts w:ascii="Times New Roman" w:cs="Times New Roman" w:eastAsia="Times New Roman" w:hAnsi="Times New Roman"/>
                <w:sz w:val="16"/>
                <w:szCs w:val="16"/>
                <w:i w:val="1"/>
                <w:iCs w:val="1"/>
                <w:color w:val="auto"/>
              </w:rPr>
              <w:t>(1)</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209</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133</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r>
      <w:tr>
        <w:trPr>
          <w:trHeight w:val="216"/>
        </w:trPr>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Europe</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6"/>
        </w:trPr>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Africa</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6"/>
        </w:trPr>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Asia</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935</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986</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w:t>
            </w:r>
          </w:p>
        </w:tc>
      </w:tr>
      <w:tr>
        <w:trPr>
          <w:trHeight w:val="216"/>
        </w:trPr>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Australia/Oceania</w:t>
            </w: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2,790</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w:t>
            </w:r>
          </w:p>
        </w:tc>
      </w:tr>
      <w:tr>
        <w:trPr>
          <w:trHeight w:val="210"/>
        </w:trPr>
        <w:tc>
          <w:tcPr>
            <w:tcW w:w="346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Total Consolidated</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2,157</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465</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133</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6,973</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3,922</w:t>
            </w:r>
          </w:p>
        </w:tc>
      </w:tr>
      <w:tr>
        <w:trPr>
          <w:trHeight w:val="324"/>
        </w:trPr>
        <w:tc>
          <w:tcPr>
            <w:tcW w:w="346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Equity Companies</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United States</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6"/>
        </w:trPr>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Europe</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6"/>
        </w:trPr>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Africa</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917</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16"/>
        </w:trPr>
        <w:tc>
          <w:tcPr>
            <w:tcW w:w="34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Asia</w:t>
            </w: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393</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59</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2,385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w:t>
            </w:r>
          </w:p>
        </w:tc>
      </w:tr>
      <w:tr>
        <w:trPr>
          <w:trHeight w:val="210"/>
        </w:trPr>
        <w:tc>
          <w:tcPr>
            <w:tcW w:w="346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Total Equity Company</w:t>
            </w: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424</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59</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3,388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w:t>
            </w:r>
          </w:p>
        </w:tc>
      </w:tr>
      <w:tr>
        <w:trPr>
          <w:trHeight w:val="209"/>
        </w:trPr>
        <w:tc>
          <w:tcPr>
            <w:tcW w:w="346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Total Undeveloped</w:t>
            </w: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2,581</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524</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133</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10,361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4,970</w:t>
            </w:r>
          </w:p>
        </w:tc>
      </w:tr>
      <w:tr>
        <w:trPr>
          <w:trHeight w:val="212"/>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Proved Reserves</w:t>
            </w:r>
          </w:p>
        </w:tc>
        <w:tc>
          <w:tcPr>
            <w:tcW w:w="13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7,029</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1,331</w:t>
            </w:r>
          </w:p>
        </w:tc>
        <w:tc>
          <w:tcPr>
            <w:tcW w:w="1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81</w:t>
            </w:r>
          </w:p>
        </w:tc>
        <w:tc>
          <w:tcPr>
            <w:tcW w:w="12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444</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37,960</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15,211</w:t>
            </w:r>
          </w:p>
        </w:tc>
      </w:tr>
    </w:tbl>
    <w:p>
      <w:pPr>
        <w:spacing w:after="0" w:line="398" w:lineRule="exact"/>
        <w:rPr>
          <w:sz w:val="20"/>
          <w:szCs w:val="20"/>
          <w:color w:val="auto"/>
        </w:rPr>
      </w:pPr>
    </w:p>
    <w:p>
      <w:pPr>
        <w:ind w:left="340" w:hanging="332"/>
        <w:spacing w:after="0" w:line="284" w:lineRule="auto"/>
        <w:tabs>
          <w:tab w:leader="none" w:pos="33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Americas includes proved developed reserves of 119 million barrels of crude oil and 138 billion cubic feet of natural gas, as well as proved undeveloped reserves of 179 million barrels of crude oil and 77 billion cubic feet of natural gas.</w:t>
      </w:r>
    </w:p>
    <w:p>
      <w:pPr>
        <w:sectPr>
          <w:pgSz w:w="11900" w:h="16838" w:orient="portrait"/>
          <w:cols w:equalWidth="0" w:num="1">
            <w:col w:w="11240"/>
          </w:cols>
          <w:pgMar w:left="320" w:top="909" w:right="3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type w:val="continuous"/>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In the preceding reserves information, consolidated subsidiary and equity company reserves are reported separately. However, the Corporation operates its business with the same view of equity company reserves as it has for reserves from consolidated subsidiaries.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Corporation anticipates several projects will come online over the next few years providing additional production capacity. However, actual volumes will vary from year to year due to the timing of individual project start-ups; operational outages; reservoir performance; performance of enhanced oil recovery projects; regulatory changes; the impact of fiscal and commercial terms; asset sales; weather events; price effects on production sharing contracts; changes in the amount and timing of capital investments that may vary depending on the oil and gas price environment; and other factors described in Item 1A. Risk Factors.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estimation of proved reserves, which is based on the requirement of reasonable certainty, is an ongoing process based on rigorous technical evaluations, commercial and market assessments and detailed analysis of well and reservoir information such as flow rates and reservoir pressures. Furthermore, the Corporation only records proved reserves for projects which have received significant funding commitments by management toward the development of the reserves. Although the Corporation is reasonably certain that proved reserves will be produced, the timing and amount recovered can be affected by a number of factors including completion of development projects, reservoir performance, regulatory approvals, government policies, consumer preferences, and significant changes in crude oil and natural gas price levels. In addition, proved reserves could be affected by an extended period of low prices which could reduce the level of the Corporation’s capital spending and also impact our partners’ capacity to fund their share of joint projects.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and second quarters of 2020, the balance of supply and demand for petroleum and petrochemical products experienced two significant disruptive effects. On the demand side, the COVID-19 pandemic spread rapidly through most areas of the world resulting in substantial reductions in consumer and business activity and significantly reduced demand for crude oil, natural gas, and petroleum products. This reduction in demand coincided with announcements of increased production in certain key oil-producing countries which led to increases in inventory levels and sharp declines in prices for crude oil, natural gas, and petroleum products. Market conditions continued to reflect considerable uncertainty throughout 2020.</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noted above, certain quantities of crude oil, bitumen, and natural gas that qualified as proved reserves in prior years did not qualify as proved reserves at year-end 2020. Amounts no longer qualifying as proved reserves include 3.1 billion barrels of bitumen at Kearl, 0.6 billion barrels of bitumen at Cold Lake, and 0.5 billion oil-equivalent barrels in the United States. The Corporation's near-term reduction in capital expenditures resulted in a net reduction to estimates of proved reserves of approximately 1.5 billion oil-equivalent barrels, mainly related to unconventional drilling in the United States. Among the factors that could result in portions of these amounts being recognized again as proved reserves at some point in the future are a recovery in the SEC price basis, cost reductions, operating efficiencies, and increases in planned capital spending.</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Technologies Used in Establishing Proved Reserves Additions in 2020</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Additions to ExxonMobil’s proved reserves in 2020 were based on estimates generated through the integration of available and appropriate geological, engineering and production data, utilizing well-established technologies that have been demonstrated in the field to yield repeatable and consistent results.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Data used in these integrated assessments included information obtained directly from the subsurface via wellbores, such as well logs, reservoir core samples, fluid samples, static and dynamic pressure information, production test data, and surveillance and performance information. The data utilized also included subsurface information obtained through indirect measurements including high-quality 3-D and 4-D seismic data, calibrated with available well control information. The tools used to interpret the data included proprietary seismic processing software, proprietary reservoir modeling and simulation software, and commercially available data analysis packages.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some circumstances, where appropriate analog reservoirs were available, reservoir parameters from these analogs were used to increase the quality of and confidence in the reserves estimates.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 Qualifications of Reserves Technical Oversight Group and Internal Controls over Proved Reserves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ExxonMobil has a dedicated Global Reserves and Resources group that provides technical oversight and is separate from the operating organization. Primary responsibilities of this group include oversight of the reserves estimation process for compliance with Securities and Exchange Commission (SEC) rules and regulations, review of annual changes in reserves estimates, and the reporting of ExxonMobil’s proved reserves. This group also maintains the official company reserves estimates for ExxonMobil’s proved reserves of crude oil, natural gas liquids, bitumen, synthetic oil, and natural gas. In addition, the group provides training to personnel involved in the reserves estimation and reporting process within ExxonMobil and its affiliates. The Manager of the Global Reserves and Resources group has more than 30 years of experience in reservoir engineering and reserves assessment, has a degree in Engineering and currently serves on the Oil and Gas Reserves Committee of the Society of Petroleum Engineers (SPE). The group is staffed with individuals that have an average of more than 15 years of technical experience in the petroleum industry, including expertise in the classification and categorization of reserves under SEC guidelines. This group includes individuals who hold degrees in either Engineering or Geology.</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Global Reserves and Resources group maintains a central database containing the official company reserves estimates. Appropriate controls, including limitations on database access and update capabilities, are in place to ensure data integrity within this central database. An annual review of the system’s controls is performed by internal audit. Key components of the reserves estimation process include technical evaluations, commercial and market assessments, analysis of well and field performance, and long-standing approval guidelines. No changes may be made to the reserves estimates in the central database, including additions of any new initial reserves estimates or subsequent revisions, unless these changes have been thoroughly reviewed and evaluated by duly authorized geoscience and engineering professionals within the operating organization. In addition, changes to reserves estimates that exceed certain thresholds require further review and approval by the appropriate level of management within the operating organization before the changes may be made in the central database. Endorsement by the Global Reserves and Resources group for all proved reserves changes is a mandatory component of this review process. After all changes are made, reviews are held with senior management for final endorsement.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Proved Undeveloped Reserves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year-end 2020, approximately 5.0 billion oil-equivalent barrels (GOEB) of ExxonMobil’s proved reserves were classified as proved undeveloped. This represents 33 percent of the 15.2 GOEB reported in proved reserves. This compares to the 7.7 GOEB of proved undeveloped reserves reported at the end of 2019. During the year, ExxonMobil conducted development activities that resulted in the transfer of approximately 0.9 GOEB from proved undeveloped to proved developed reserves by year end. The largest transfers were related to development activities in the United States, Qatar, the United Arab Emirates, and Guyana. During 2020, extensions, primarily in the United States and Canada, resulted in an addition of approximately 0.5 GOEB of proved undeveloped reserves. Also, as a result of very low prices during 2020 and the effects of reductions in capital expenditures, the Corporation reclassified approximately 2.3 GOEB of proved undeveloped reserves which no longer met the SEC definition of proved reserves, primarily in the United States and Canada.</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investments of $10.7 billion were made by the Corporation during 2020 to progress the development of reported proved undeveloped reserves, including $10.4 billion for oil and gas producing activities, along with additional investments for other non-oil and gas producing activities such as the construction of support infrastructure and other related facilities. These investments represented 74 percent of the $14.4 billion in total reported Upstream capital and exploration expenditures.</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One of ExxonMobil’s requirements for reporting proved reserves is that management has made significant funding commitments toward the development of the reserves. ExxonMobil has a disciplined investment strategy and many major fields require long lead-time in order to be developed. Development projects typically take several years from the time of recording proved undeveloped reserves to the start of production and can exceed five years for large and complex projects. Proved undeveloped reserves in Australia, Kazakhstan, the United States, and the United Arab Emirates have remained undeveloped for five years or more primarily due to constraints on the capacity of infrastructure, as well as the time required to complete development for very large projects. The Corporation is reasonably certain that these proved reserves will be produced; however, the timing and amount recovered can be affected by a number of factors including completion of development projects, reservoir performance, regulatory approvals, government policies, consumer preferences, the pace of co-venturer/government funding, changes in the amount and timing of capital investments, and significant changes in crude oil and natural gas price levels. Of the proved undeveloped reserves that have been reported for five or more years, over 80 percent are contained in the aforementioned countries. In Australia, proved undeveloped reserves are associated with future compression for the Gorgon Jansz LNG project. In Kazakhstan, the proved undeveloped reserves are related to the remainder of the Tengizchevroil joint venture development that includes a production license in the Tengiz - Korolev field complex. The Tengizchevroil joint venture is producing, and proved undeveloped reserves will continue to move to proved developed as approved development phases progress. In the United Arab Emirates, proved undeveloped reserves are associated with an approved development plan and continued drilling investment for the producing Upper Zakum field.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0" w:name="page11"/>
    <w:bookmarkEnd w:id="10"/>
    <w:p>
      <w:pPr>
        <w:ind w:right="6060" w:firstLine="8"/>
        <w:spacing w:after="0" w:line="354"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Oil and Gas Production, Production Prices and Production Costs A. Oil and Gas Production</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table below summarizes production by final product sold and by geographic area for the last three years.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64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60" w:type="dxa"/>
            <w:vAlign w:val="bottom"/>
          </w:tcPr>
          <w:p>
            <w:pPr>
              <w:spacing w:after="0"/>
              <w:rPr>
                <w:sz w:val="16"/>
                <w:szCs w:val="16"/>
                <w:color w:val="auto"/>
              </w:rPr>
            </w:pPr>
          </w:p>
        </w:tc>
      </w:tr>
      <w:tr>
        <w:trPr>
          <w:trHeight w:val="23"/>
        </w:trPr>
        <w:tc>
          <w:tcPr>
            <w:tcW w:w="5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06"/>
        </w:trPr>
        <w:tc>
          <w:tcPr>
            <w:tcW w:w="5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80" w:type="dxa"/>
            <w:vAlign w:val="bottom"/>
            <w:gridSpan w:val="4"/>
          </w:tcPr>
          <w:p>
            <w:pPr>
              <w:ind w:left="100"/>
              <w:spacing w:after="0"/>
              <w:rPr>
                <w:sz w:val="20"/>
                <w:szCs w:val="20"/>
                <w:color w:val="auto"/>
              </w:rPr>
            </w:pPr>
            <w:r>
              <w:rPr>
                <w:rFonts w:ascii="Times New Roman" w:cs="Times New Roman" w:eastAsia="Times New Roman" w:hAnsi="Times New Roman"/>
                <w:sz w:val="16"/>
                <w:szCs w:val="16"/>
                <w:i w:val="1"/>
                <w:iCs w:val="1"/>
                <w:color w:val="auto"/>
              </w:rPr>
              <w:t>(thousands of barrels daily)</w:t>
            </w: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4"/>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Crude oil and natural gas liquids production</w:t>
            </w:r>
          </w:p>
        </w:tc>
        <w:tc>
          <w:tcPr>
            <w:tcW w:w="110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Crude Oil</w:t>
            </w: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NGL</w:t>
            </w:r>
          </w:p>
        </w:tc>
        <w:tc>
          <w:tcPr>
            <w:tcW w:w="120" w:type="dxa"/>
            <w:vAlign w:val="bottom"/>
          </w:tcPr>
          <w:p>
            <w:pPr>
              <w:spacing w:after="0"/>
              <w:rPr>
                <w:sz w:val="18"/>
                <w:szCs w:val="18"/>
                <w:color w:val="auto"/>
              </w:rPr>
            </w:pPr>
          </w:p>
        </w:tc>
        <w:tc>
          <w:tcPr>
            <w:tcW w:w="110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Crude Oil</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NGL</w:t>
            </w:r>
          </w:p>
        </w:tc>
        <w:tc>
          <w:tcPr>
            <w:tcW w:w="11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Crude Oil</w:t>
            </w:r>
          </w:p>
        </w:tc>
        <w:tc>
          <w:tcPr>
            <w:tcW w:w="6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NGL</w:t>
            </w:r>
          </w:p>
        </w:tc>
      </w:tr>
      <w:tr>
        <w:trPr>
          <w:trHeight w:val="196"/>
        </w:trPr>
        <w:tc>
          <w:tcPr>
            <w:tcW w:w="574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1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30"/>
        </w:trPr>
        <w:tc>
          <w:tcPr>
            <w:tcW w:w="5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United States</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481</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461</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19"/>
                <w:szCs w:val="19"/>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395</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6"/>
        </w:trPr>
        <w:tc>
          <w:tcPr>
            <w:tcW w:w="5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 xml:space="preserve">Canada/Other Americas </w:t>
            </w:r>
            <w:r>
              <w:rPr>
                <w:rFonts w:ascii="Times New Roman" w:cs="Times New Roman" w:eastAsia="Times New Roman" w:hAnsi="Times New Roman"/>
                <w:sz w:val="16"/>
                <w:szCs w:val="16"/>
                <w:i w:val="1"/>
                <w:iCs w:val="1"/>
                <w:color w:val="auto"/>
              </w:rPr>
              <w:t>(1)</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121</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87</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6"/>
        </w:trPr>
        <w:tc>
          <w:tcPr>
            <w:tcW w:w="5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Europe</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22</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84</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101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6"/>
        </w:trPr>
        <w:tc>
          <w:tcPr>
            <w:tcW w:w="5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Africa</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301</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360</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377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6"/>
        </w:trPr>
        <w:tc>
          <w:tcPr>
            <w:tcW w:w="5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Asia</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449</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432</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398</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6"/>
        </w:trPr>
        <w:tc>
          <w:tcPr>
            <w:tcW w:w="5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Australia/Oceania</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29</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30</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0"/>
        </w:trPr>
        <w:tc>
          <w:tcPr>
            <w:tcW w:w="574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Total Consolidated Subsidiaries</w:t>
            </w:r>
          </w:p>
        </w:tc>
        <w:tc>
          <w:tcPr>
            <w:tcW w:w="110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1,403</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1,454</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1,364</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r>
      <w:tr>
        <w:trPr>
          <w:trHeight w:val="324"/>
        </w:trPr>
        <w:tc>
          <w:tcPr>
            <w:tcW w:w="574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Equity Companies</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5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United States</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49</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52</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54</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5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Europe</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3</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4</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5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Asia</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208</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232</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226</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10"/>
        </w:trPr>
        <w:tc>
          <w:tcPr>
            <w:tcW w:w="574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Total Equity Companies</w:t>
            </w:r>
          </w:p>
        </w:tc>
        <w:tc>
          <w:tcPr>
            <w:tcW w:w="11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260</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287</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284</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304"/>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crude oil and natural gas liquids production</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1,663</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1,741</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Pr>
          <w:p>
            <w:pPr>
              <w:spacing w:after="0"/>
              <w:rPr>
                <w:sz w:val="24"/>
                <w:szCs w:val="24"/>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1,648</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324"/>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Bitumen production</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574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Canada/Other Americas</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342</w:t>
            </w:r>
          </w:p>
        </w:tc>
        <w:tc>
          <w:tcPr>
            <w:tcW w:w="640" w:type="dxa"/>
            <w:vAlign w:val="bottom"/>
          </w:tcPr>
          <w:p>
            <w:pPr>
              <w:spacing w:after="0"/>
              <w:rPr>
                <w:sz w:val="18"/>
                <w:szCs w:val="18"/>
                <w:color w:val="auto"/>
              </w:rPr>
            </w:pP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311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310</w:t>
            </w:r>
          </w:p>
        </w:tc>
        <w:tc>
          <w:tcPr>
            <w:tcW w:w="660" w:type="dxa"/>
            <w:vAlign w:val="bottom"/>
          </w:tcPr>
          <w:p>
            <w:pPr>
              <w:spacing w:after="0"/>
              <w:rPr>
                <w:sz w:val="18"/>
                <w:szCs w:val="18"/>
                <w:color w:val="auto"/>
              </w:rPr>
            </w:pPr>
          </w:p>
        </w:tc>
      </w:tr>
      <w:tr>
        <w:trPr>
          <w:trHeight w:val="324"/>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Synthetic oil production</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574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Canada/Other Americas</w:t>
            </w: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68</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65</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60</w:t>
            </w:r>
          </w:p>
        </w:tc>
        <w:tc>
          <w:tcPr>
            <w:tcW w:w="660" w:type="dxa"/>
            <w:vAlign w:val="bottom"/>
            <w:tcBorders>
              <w:bottom w:val="single" w:sz="8" w:color="auto"/>
            </w:tcBorders>
          </w:tcPr>
          <w:p>
            <w:pPr>
              <w:spacing w:after="0"/>
              <w:rPr>
                <w:sz w:val="18"/>
                <w:szCs w:val="18"/>
                <w:color w:val="auto"/>
              </w:rPr>
            </w:pPr>
          </w:p>
        </w:tc>
      </w:tr>
      <w:tr>
        <w:trPr>
          <w:trHeight w:val="307"/>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liquids production</w:t>
            </w: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2,349</w:t>
            </w: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2,386</w:t>
            </w: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2,266</w:t>
            </w:r>
          </w:p>
        </w:tc>
        <w:tc>
          <w:tcPr>
            <w:tcW w:w="660" w:type="dxa"/>
            <w:vAlign w:val="bottom"/>
            <w:tcBorders>
              <w:bottom w:val="single" w:sz="8" w:color="auto"/>
            </w:tcBorders>
          </w:tcPr>
          <w:p>
            <w:pPr>
              <w:spacing w:after="0"/>
              <w:rPr>
                <w:sz w:val="24"/>
                <w:szCs w:val="24"/>
                <w:color w:val="auto"/>
              </w:rPr>
            </w:pPr>
          </w:p>
        </w:tc>
      </w:tr>
      <w:tr>
        <w:trPr>
          <w:trHeight w:val="301"/>
        </w:trPr>
        <w:tc>
          <w:tcPr>
            <w:tcW w:w="5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i w:val="1"/>
                <w:iCs w:val="1"/>
                <w:color w:val="auto"/>
              </w:rPr>
              <w:t>(millions of cubic feet daily)</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Natural gas production available for sale</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74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United States</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2,668</w:t>
            </w:r>
          </w:p>
        </w:tc>
        <w:tc>
          <w:tcPr>
            <w:tcW w:w="640" w:type="dxa"/>
            <w:vAlign w:val="bottom"/>
          </w:tcPr>
          <w:p>
            <w:pPr>
              <w:spacing w:after="0"/>
              <w:rPr>
                <w:sz w:val="18"/>
                <w:szCs w:val="18"/>
                <w:color w:val="auto"/>
              </w:rPr>
            </w:pP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2,756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2,550</w:t>
            </w:r>
          </w:p>
        </w:tc>
        <w:tc>
          <w:tcPr>
            <w:tcW w:w="660" w:type="dxa"/>
            <w:vAlign w:val="bottom"/>
          </w:tcPr>
          <w:p>
            <w:pPr>
              <w:spacing w:after="0"/>
              <w:rPr>
                <w:sz w:val="18"/>
                <w:szCs w:val="18"/>
                <w:color w:val="auto"/>
              </w:rPr>
            </w:pPr>
          </w:p>
        </w:tc>
      </w:tr>
      <w:tr>
        <w:trPr>
          <w:trHeight w:val="216"/>
        </w:trPr>
        <w:tc>
          <w:tcPr>
            <w:tcW w:w="5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 xml:space="preserve">Canada/Other Americas </w:t>
            </w:r>
            <w:r>
              <w:rPr>
                <w:rFonts w:ascii="Times New Roman" w:cs="Times New Roman" w:eastAsia="Times New Roman" w:hAnsi="Times New Roman"/>
                <w:sz w:val="16"/>
                <w:szCs w:val="16"/>
                <w:i w:val="1"/>
                <w:iCs w:val="1"/>
                <w:color w:val="auto"/>
              </w:rPr>
              <w:t>(1)</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277</w:t>
            </w:r>
          </w:p>
        </w:tc>
        <w:tc>
          <w:tcPr>
            <w:tcW w:w="640" w:type="dxa"/>
            <w:vAlign w:val="bottom"/>
          </w:tcPr>
          <w:p>
            <w:pPr>
              <w:spacing w:after="0"/>
              <w:rPr>
                <w:sz w:val="18"/>
                <w:szCs w:val="18"/>
                <w:color w:val="auto"/>
              </w:rPr>
            </w:pP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258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227</w:t>
            </w:r>
          </w:p>
        </w:tc>
        <w:tc>
          <w:tcPr>
            <w:tcW w:w="660" w:type="dxa"/>
            <w:vAlign w:val="bottom"/>
          </w:tcPr>
          <w:p>
            <w:pPr>
              <w:spacing w:after="0"/>
              <w:rPr>
                <w:sz w:val="18"/>
                <w:szCs w:val="18"/>
                <w:color w:val="auto"/>
              </w:rPr>
            </w:pPr>
          </w:p>
        </w:tc>
      </w:tr>
      <w:tr>
        <w:trPr>
          <w:trHeight w:val="216"/>
        </w:trPr>
        <w:tc>
          <w:tcPr>
            <w:tcW w:w="5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Europe</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447</w:t>
            </w:r>
          </w:p>
        </w:tc>
        <w:tc>
          <w:tcPr>
            <w:tcW w:w="640" w:type="dxa"/>
            <w:vAlign w:val="bottom"/>
          </w:tcPr>
          <w:p>
            <w:pPr>
              <w:spacing w:after="0"/>
              <w:rPr>
                <w:sz w:val="18"/>
                <w:szCs w:val="18"/>
                <w:color w:val="auto"/>
              </w:rPr>
            </w:pP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808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925</w:t>
            </w:r>
          </w:p>
        </w:tc>
        <w:tc>
          <w:tcPr>
            <w:tcW w:w="660" w:type="dxa"/>
            <w:vAlign w:val="bottom"/>
          </w:tcPr>
          <w:p>
            <w:pPr>
              <w:spacing w:after="0"/>
              <w:rPr>
                <w:sz w:val="18"/>
                <w:szCs w:val="18"/>
                <w:color w:val="auto"/>
              </w:rPr>
            </w:pPr>
          </w:p>
        </w:tc>
      </w:tr>
      <w:tr>
        <w:trPr>
          <w:trHeight w:val="216"/>
        </w:trPr>
        <w:tc>
          <w:tcPr>
            <w:tcW w:w="5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Africa</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9</w:t>
            </w:r>
          </w:p>
        </w:tc>
        <w:tc>
          <w:tcPr>
            <w:tcW w:w="640" w:type="dxa"/>
            <w:vAlign w:val="bottom"/>
          </w:tcPr>
          <w:p>
            <w:pPr>
              <w:spacing w:after="0"/>
              <w:rPr>
                <w:sz w:val="18"/>
                <w:szCs w:val="18"/>
                <w:color w:val="auto"/>
              </w:rPr>
            </w:pP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13</w:t>
            </w:r>
          </w:p>
        </w:tc>
        <w:tc>
          <w:tcPr>
            <w:tcW w:w="660" w:type="dxa"/>
            <w:vAlign w:val="bottom"/>
          </w:tcPr>
          <w:p>
            <w:pPr>
              <w:spacing w:after="0"/>
              <w:rPr>
                <w:sz w:val="18"/>
                <w:szCs w:val="18"/>
                <w:color w:val="auto"/>
              </w:rPr>
            </w:pPr>
          </w:p>
        </w:tc>
      </w:tr>
      <w:tr>
        <w:trPr>
          <w:trHeight w:val="216"/>
        </w:trPr>
        <w:tc>
          <w:tcPr>
            <w:tcW w:w="5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Asia</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872</w:t>
            </w:r>
          </w:p>
        </w:tc>
        <w:tc>
          <w:tcPr>
            <w:tcW w:w="640" w:type="dxa"/>
            <w:vAlign w:val="bottom"/>
          </w:tcPr>
          <w:p>
            <w:pPr>
              <w:spacing w:after="0"/>
              <w:rPr>
                <w:sz w:val="18"/>
                <w:szCs w:val="18"/>
                <w:color w:val="auto"/>
              </w:rPr>
            </w:pP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851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838</w:t>
            </w:r>
          </w:p>
        </w:tc>
        <w:tc>
          <w:tcPr>
            <w:tcW w:w="660" w:type="dxa"/>
            <w:vAlign w:val="bottom"/>
          </w:tcPr>
          <w:p>
            <w:pPr>
              <w:spacing w:after="0"/>
              <w:rPr>
                <w:sz w:val="18"/>
                <w:szCs w:val="18"/>
                <w:color w:val="auto"/>
              </w:rPr>
            </w:pPr>
          </w:p>
        </w:tc>
      </w:tr>
      <w:tr>
        <w:trPr>
          <w:trHeight w:val="216"/>
        </w:trPr>
        <w:tc>
          <w:tcPr>
            <w:tcW w:w="5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Australia/Oceania</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1,219</w:t>
            </w:r>
          </w:p>
        </w:tc>
        <w:tc>
          <w:tcPr>
            <w:tcW w:w="640" w:type="dxa"/>
            <w:vAlign w:val="bottom"/>
          </w:tcPr>
          <w:p>
            <w:pPr>
              <w:spacing w:after="0"/>
              <w:rPr>
                <w:sz w:val="18"/>
                <w:szCs w:val="18"/>
                <w:color w:val="auto"/>
              </w:rPr>
            </w:pP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1,319</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1,325</w:t>
            </w:r>
          </w:p>
        </w:tc>
        <w:tc>
          <w:tcPr>
            <w:tcW w:w="660" w:type="dxa"/>
            <w:vAlign w:val="bottom"/>
          </w:tcPr>
          <w:p>
            <w:pPr>
              <w:spacing w:after="0"/>
              <w:rPr>
                <w:sz w:val="18"/>
                <w:szCs w:val="18"/>
                <w:color w:val="auto"/>
              </w:rPr>
            </w:pPr>
          </w:p>
        </w:tc>
      </w:tr>
      <w:tr>
        <w:trPr>
          <w:trHeight w:val="210"/>
        </w:trPr>
        <w:tc>
          <w:tcPr>
            <w:tcW w:w="574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Total Consolidated Subsidiaries</w:t>
            </w:r>
          </w:p>
        </w:tc>
        <w:tc>
          <w:tcPr>
            <w:tcW w:w="110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5,492</w:t>
            </w: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5,999</w:t>
            </w: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5,878</w:t>
            </w:r>
          </w:p>
        </w:tc>
        <w:tc>
          <w:tcPr>
            <w:tcW w:w="660" w:type="dxa"/>
            <w:vAlign w:val="bottom"/>
            <w:tcBorders>
              <w:top w:val="single" w:sz="8" w:color="auto"/>
            </w:tcBorders>
          </w:tcPr>
          <w:p>
            <w:pPr>
              <w:spacing w:after="0"/>
              <w:rPr>
                <w:sz w:val="18"/>
                <w:szCs w:val="18"/>
                <w:color w:val="auto"/>
              </w:rPr>
            </w:pPr>
          </w:p>
        </w:tc>
      </w:tr>
      <w:tr>
        <w:trPr>
          <w:trHeight w:val="324"/>
        </w:trPr>
        <w:tc>
          <w:tcPr>
            <w:tcW w:w="574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Equity Companies</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5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United States</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23</w:t>
            </w:r>
          </w:p>
        </w:tc>
        <w:tc>
          <w:tcPr>
            <w:tcW w:w="640" w:type="dxa"/>
            <w:vAlign w:val="bottom"/>
          </w:tcPr>
          <w:p>
            <w:pPr>
              <w:spacing w:after="0"/>
              <w:rPr>
                <w:sz w:val="18"/>
                <w:szCs w:val="18"/>
                <w:color w:val="auto"/>
              </w:rPr>
            </w:pP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22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24</w:t>
            </w:r>
          </w:p>
        </w:tc>
        <w:tc>
          <w:tcPr>
            <w:tcW w:w="660" w:type="dxa"/>
            <w:vAlign w:val="bottom"/>
          </w:tcPr>
          <w:p>
            <w:pPr>
              <w:spacing w:after="0"/>
              <w:rPr>
                <w:sz w:val="18"/>
                <w:szCs w:val="18"/>
                <w:color w:val="auto"/>
              </w:rPr>
            </w:pPr>
          </w:p>
        </w:tc>
      </w:tr>
      <w:tr>
        <w:trPr>
          <w:trHeight w:val="216"/>
        </w:trPr>
        <w:tc>
          <w:tcPr>
            <w:tcW w:w="5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Europe</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342</w:t>
            </w:r>
          </w:p>
        </w:tc>
        <w:tc>
          <w:tcPr>
            <w:tcW w:w="640" w:type="dxa"/>
            <w:vAlign w:val="bottom"/>
          </w:tcPr>
          <w:p>
            <w:pPr>
              <w:spacing w:after="0"/>
              <w:rPr>
                <w:sz w:val="18"/>
                <w:szCs w:val="18"/>
                <w:color w:val="auto"/>
              </w:rPr>
            </w:pP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649</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728</w:t>
            </w:r>
          </w:p>
        </w:tc>
        <w:tc>
          <w:tcPr>
            <w:tcW w:w="660" w:type="dxa"/>
            <w:vAlign w:val="bottom"/>
          </w:tcPr>
          <w:p>
            <w:pPr>
              <w:spacing w:after="0"/>
              <w:rPr>
                <w:sz w:val="18"/>
                <w:szCs w:val="18"/>
                <w:color w:val="auto"/>
              </w:rPr>
            </w:pPr>
          </w:p>
        </w:tc>
      </w:tr>
      <w:tr>
        <w:trPr>
          <w:trHeight w:val="216"/>
        </w:trPr>
        <w:tc>
          <w:tcPr>
            <w:tcW w:w="5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Asia</w:t>
            </w: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2,614</w:t>
            </w:r>
          </w:p>
        </w:tc>
        <w:tc>
          <w:tcPr>
            <w:tcW w:w="640" w:type="dxa"/>
            <w:vAlign w:val="bottom"/>
          </w:tcPr>
          <w:p>
            <w:pPr>
              <w:spacing w:after="0"/>
              <w:rPr>
                <w:sz w:val="18"/>
                <w:szCs w:val="18"/>
                <w:color w:val="auto"/>
              </w:rPr>
            </w:pPr>
          </w:p>
        </w:tc>
        <w:tc>
          <w:tcPr>
            <w:tcW w:w="12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2,724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2,775</w:t>
            </w:r>
          </w:p>
        </w:tc>
        <w:tc>
          <w:tcPr>
            <w:tcW w:w="660" w:type="dxa"/>
            <w:vAlign w:val="bottom"/>
          </w:tcPr>
          <w:p>
            <w:pPr>
              <w:spacing w:after="0"/>
              <w:rPr>
                <w:sz w:val="18"/>
                <w:szCs w:val="18"/>
                <w:color w:val="auto"/>
              </w:rPr>
            </w:pPr>
          </w:p>
        </w:tc>
      </w:tr>
      <w:tr>
        <w:trPr>
          <w:trHeight w:val="210"/>
        </w:trPr>
        <w:tc>
          <w:tcPr>
            <w:tcW w:w="574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Total Equity Companies</w:t>
            </w:r>
          </w:p>
        </w:tc>
        <w:tc>
          <w:tcPr>
            <w:tcW w:w="11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2,979</w:t>
            </w:r>
          </w:p>
        </w:tc>
        <w:tc>
          <w:tcPr>
            <w:tcW w:w="6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3,395</w:t>
            </w:r>
          </w:p>
        </w:tc>
        <w:tc>
          <w:tcPr>
            <w:tcW w:w="6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3,527</w:t>
            </w:r>
          </w:p>
        </w:tc>
        <w:tc>
          <w:tcPr>
            <w:tcW w:w="660" w:type="dxa"/>
            <w:vAlign w:val="bottom"/>
            <w:tcBorders>
              <w:top w:val="single" w:sz="8" w:color="auto"/>
              <w:bottom w:val="single" w:sz="8" w:color="auto"/>
            </w:tcBorders>
          </w:tcPr>
          <w:p>
            <w:pPr>
              <w:spacing w:after="0"/>
              <w:rPr>
                <w:sz w:val="18"/>
                <w:szCs w:val="18"/>
                <w:color w:val="auto"/>
              </w:rPr>
            </w:pPr>
          </w:p>
        </w:tc>
      </w:tr>
      <w:tr>
        <w:trPr>
          <w:trHeight w:val="212"/>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natural gas production available for sale</w:t>
            </w: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8,471</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9,394</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9,405</w:t>
            </w:r>
          </w:p>
        </w:tc>
        <w:tc>
          <w:tcPr>
            <w:tcW w:w="660" w:type="dxa"/>
            <w:vAlign w:val="bottom"/>
            <w:tcBorders>
              <w:bottom w:val="single" w:sz="8" w:color="auto"/>
            </w:tcBorders>
          </w:tcPr>
          <w:p>
            <w:pPr>
              <w:spacing w:after="0"/>
              <w:rPr>
                <w:sz w:val="18"/>
                <w:szCs w:val="18"/>
                <w:color w:val="auto"/>
              </w:rPr>
            </w:pPr>
          </w:p>
        </w:tc>
      </w:tr>
      <w:tr>
        <w:trPr>
          <w:trHeight w:val="301"/>
        </w:trPr>
        <w:tc>
          <w:tcPr>
            <w:tcW w:w="5740" w:type="dxa"/>
            <w:vAlign w:val="bottom"/>
          </w:tcPr>
          <w:p>
            <w:pPr>
              <w:spacing w:after="0"/>
              <w:rPr>
                <w:sz w:val="24"/>
                <w:szCs w:val="24"/>
                <w:color w:val="auto"/>
              </w:rPr>
            </w:pPr>
          </w:p>
        </w:tc>
        <w:tc>
          <w:tcPr>
            <w:tcW w:w="3720" w:type="dxa"/>
            <w:vAlign w:val="bottom"/>
            <w:gridSpan w:val="6"/>
          </w:tcPr>
          <w:p>
            <w:pPr>
              <w:jc w:val="center"/>
              <w:ind w:left="739"/>
              <w:spacing w:after="0"/>
              <w:rPr>
                <w:sz w:val="20"/>
                <w:szCs w:val="20"/>
                <w:color w:val="auto"/>
              </w:rPr>
            </w:pPr>
            <w:r>
              <w:rPr>
                <w:rFonts w:ascii="Times New Roman" w:cs="Times New Roman" w:eastAsia="Times New Roman" w:hAnsi="Times New Roman"/>
                <w:sz w:val="16"/>
                <w:szCs w:val="16"/>
                <w:i w:val="1"/>
                <w:iCs w:val="1"/>
                <w:color w:val="auto"/>
              </w:rPr>
              <w:t>(thousands of oil-equivalent barrels daily)</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9"/>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Oil-equivalent production</w:t>
            </w: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3,761</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3,952</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3,833</w:t>
            </w:r>
          </w:p>
        </w:tc>
        <w:tc>
          <w:tcPr>
            <w:tcW w:w="660" w:type="dxa"/>
            <w:vAlign w:val="bottom"/>
            <w:tcBorders>
              <w:bottom w:val="single" w:sz="8" w:color="auto"/>
            </w:tcBorders>
          </w:tcPr>
          <w:p>
            <w:pPr>
              <w:spacing w:after="0"/>
              <w:rPr>
                <w:sz w:val="19"/>
                <w:szCs w:val="19"/>
                <w:color w:val="auto"/>
              </w:rPr>
            </w:pPr>
          </w:p>
        </w:tc>
      </w:tr>
    </w:tbl>
    <w:p>
      <w:pPr>
        <w:spacing w:after="0" w:line="385" w:lineRule="exact"/>
        <w:rPr>
          <w:sz w:val="20"/>
          <w:szCs w:val="20"/>
          <w:color w:val="auto"/>
        </w:rPr>
      </w:pPr>
    </w:p>
    <w:p>
      <w:pPr>
        <w:ind w:left="340" w:right="20" w:hanging="332"/>
        <w:spacing w:after="0" w:line="284" w:lineRule="auto"/>
        <w:tabs>
          <w:tab w:leader="none" w:pos="334"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Americas includes crude oil production for 2020, 2019 and 2018 of 29 thousand, 2 thousand, and 2 thousand barrels daily, respectively; and natural gas production available for sale for 2020, 2019 and 2018 of 45 million, 36 million, and 28 million cubic feet daily, respectively.</w:t>
      </w:r>
    </w:p>
    <w:p>
      <w:pPr>
        <w:sectPr>
          <w:pgSz w:w="11900" w:h="16838" w:orient="portrait"/>
          <w:cols w:equalWidth="0" w:num="1">
            <w:col w:w="11240"/>
          </w:cols>
          <w:pgMar w:left="320" w:top="1076" w:right="3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 Production Prices and Production Costs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average production prices and average production costs by geographic area and by product type for the last three years.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Canada/</w:t>
            </w:r>
          </w:p>
        </w:tc>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4520" w:type="dxa"/>
            <w:vAlign w:val="bottom"/>
          </w:tcPr>
          <w:p>
            <w:pPr>
              <w:spacing w:after="0"/>
              <w:rPr>
                <w:sz w:val="16"/>
                <w:szCs w:val="16"/>
                <w:color w:val="auto"/>
              </w:rPr>
            </w:pPr>
          </w:p>
        </w:tc>
        <w:tc>
          <w:tcPr>
            <w:tcW w:w="11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United</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Australia/</w:t>
            </w:r>
          </w:p>
        </w:tc>
        <w:tc>
          <w:tcPr>
            <w:tcW w:w="800" w:type="dxa"/>
            <w:vAlign w:val="bottom"/>
          </w:tcPr>
          <w:p>
            <w:pPr>
              <w:spacing w:after="0"/>
              <w:rPr>
                <w:sz w:val="16"/>
                <w:szCs w:val="16"/>
                <w:color w:val="auto"/>
              </w:rPr>
            </w:pPr>
          </w:p>
        </w:tc>
      </w:tr>
      <w:tr>
        <w:trPr>
          <w:trHeight w:val="225"/>
        </w:trPr>
        <w:tc>
          <w:tcPr>
            <w:tcW w:w="4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States</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Asia</w:t>
            </w:r>
          </w:p>
        </w:tc>
        <w:tc>
          <w:tcPr>
            <w:tcW w:w="10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Oceania</w:t>
            </w:r>
          </w:p>
        </w:tc>
        <w:tc>
          <w:tcPr>
            <w:tcW w:w="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During 2020</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per unit)</w:t>
            </w: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4"/>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Average production prices</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Crude oil, per barrel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34.97</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37.26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42.27</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39.39</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36.67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w:t>
            </w: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NGL, per barrel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13.83</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10.34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21.32</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21.37</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27.92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w:t>
            </w: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Natural gas, per thousand cubic feet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0.98</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1.24</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1.49</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4.34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Bitumen, per barrel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17.71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Synthetic oil, per barrel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37.32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37.32</w:t>
            </w: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Average production costs, per oil-equivalent barrel - total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9.82</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18.40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16.67</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6.50</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5.35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w:t>
            </w: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Average production costs, per barrel - bitumen</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19.22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Average production costs, per barrel - synthetic oil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33.61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w:t>
            </w:r>
          </w:p>
        </w:tc>
      </w:tr>
      <w:tr>
        <w:trPr>
          <w:trHeight w:val="270"/>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Equity Companies</w:t>
            </w: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Average production prices</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Crude oil, per barrel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39.10</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38.95</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35.18</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w:t>
            </w: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NGL, per barrel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11.05</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30.02</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29.58</w:t>
            </w: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Natural gas, per thousand cubic feet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3.14</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Average production costs, per oil-equivalent barrel - total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27.39</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1.63</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r>
      <w:tr>
        <w:trPr>
          <w:trHeight w:val="270"/>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Average production prices</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Crude oil, per barrel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35.35</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37.26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41.11</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42.27</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38.07</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36.67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37.95</w:t>
            </w: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NGL, per barrel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13.80</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10.34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21.32</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27.65</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27.92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w:t>
            </w: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Natural gas, per thousand cubic feet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0.98</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1.24</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2.72</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4.34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Bitumen, per barrel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17.71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Synthetic oil, per barrel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37.32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37.32</w:t>
            </w: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Average production costs, per oil-equivalent barrel - total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10.66</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18.40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24.76</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16.73</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3.91</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5.35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Average production costs, per barrel - bitumen</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19.22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w:t>
            </w: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Average production costs, per barrel - synthetic oil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33.61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w:t>
            </w:r>
          </w:p>
        </w:tc>
      </w:tr>
      <w:tr>
        <w:trPr>
          <w:trHeight w:val="378"/>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During 2019</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Average production prices</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Crude oil, per barrel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54.41</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59.39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63.59</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65.64</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64.14</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61.08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61.04</w:t>
            </w: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NGL, per barrel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18.94</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16.59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41.41</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24.64</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30.55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w:t>
            </w: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Natural gas, per thousand cubic feet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1.49</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2.07</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6.26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Bitumen, per barrel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36.25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36.25</w:t>
            </w: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Synthetic oil, per barrel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56.18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56.18</w:t>
            </w: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Average production costs, per oil-equivalent barrel - total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12.25</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23.41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17.51</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7.34</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6.60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w:t>
            </w: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Average production costs, per barrel - bitumen</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24.18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w:t>
            </w: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Average production costs, per barrel - synthetic oil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40.38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40.38</w:t>
            </w:r>
          </w:p>
        </w:tc>
      </w:tr>
      <w:tr>
        <w:trPr>
          <w:trHeight w:val="270"/>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Equity Companies</w:t>
            </w: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Average production prices</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Crude oil, per barrel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60.95</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58.72</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58.74</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59.15</w:t>
            </w: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NGL, per barrel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15.63</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36.28</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w:t>
            </w: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Natural gas, per thousand cubic feet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1.75</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5.24</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Average production costs, per oil-equivalent barrel - total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28.17</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2.03</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70"/>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Average production prices</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Crude oil, per barrel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55.08</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59.39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63.41</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65.64</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62.27</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61.08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60.73</w:t>
            </w: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NGL, per barrel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18.90</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16.59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30.56</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41.41</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33.23</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30.55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w:t>
            </w: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Natural gas, per thousand cubic feet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1.49</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4.49</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6.26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Bitumen, per barrel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36.25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36.25</w:t>
            </w:r>
          </w:p>
        </w:tc>
      </w:tr>
      <w:tr>
        <w:trPr>
          <w:trHeight w:val="216"/>
        </w:trPr>
        <w:tc>
          <w:tcPr>
            <w:tcW w:w="45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Synthetic oil, per barrel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56.18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56.18</w:t>
            </w: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Average production costs, per oil-equivalent barrel - total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13.08</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23.41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17.56</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4.39</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6.60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Average production costs, per barrel - bitumen</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24.18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w:t>
            </w:r>
          </w:p>
        </w:tc>
      </w:tr>
      <w:tr>
        <w:trPr>
          <w:trHeight w:val="216"/>
        </w:trPr>
        <w:tc>
          <w:tcPr>
            <w:tcW w:w="45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Average production costs, per barrel - synthetic oil</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40.38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40.38</w:t>
            </w:r>
          </w:p>
        </w:tc>
      </w:tr>
    </w:tbl>
    <w:p>
      <w:pPr>
        <w:spacing w:after="0" w:line="200" w:lineRule="exact"/>
        <w:rPr>
          <w:sz w:val="20"/>
          <w:szCs w:val="20"/>
          <w:color w:val="auto"/>
        </w:rPr>
      </w:pPr>
    </w:p>
    <w:p>
      <w:pPr>
        <w:sectPr>
          <w:pgSz w:w="11900" w:h="16838" w:orient="portrait"/>
          <w:cols w:equalWidth="0" w:num="1">
            <w:col w:w="11240"/>
          </w:cols>
          <w:pgMar w:left="320" w:top="1022" w:right="339" w:bottom="1440" w:gutter="0" w:footer="0" w:header="0"/>
        </w:sect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11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United</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Canada/</w:t>
            </w:r>
          </w:p>
        </w:tc>
        <w:tc>
          <w:tcPr>
            <w:tcW w:w="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Australia/</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7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122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Africa</w:t>
            </w:r>
          </w:p>
        </w:tc>
        <w:tc>
          <w:tcPr>
            <w:tcW w:w="72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Asia</w:t>
            </w:r>
          </w:p>
        </w:tc>
        <w:tc>
          <w:tcPr>
            <w:tcW w:w="1060" w:type="dxa"/>
            <w:vAlign w:val="bottom"/>
            <w:vMerge w:val="continue"/>
          </w:tcPr>
          <w:p>
            <w:pPr>
              <w:spacing w:after="0"/>
              <w:rPr>
                <w:sz w:val="14"/>
                <w:szCs w:val="14"/>
                <w:color w:val="auto"/>
              </w:rPr>
            </w:pPr>
          </w:p>
        </w:tc>
        <w:tc>
          <w:tcPr>
            <w:tcW w:w="80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States</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76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Oceania</w:t>
            </w: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During 2018</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(dollars per unit)</w:t>
            </w: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Average production prices</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Crude oil, per barrel</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59.84</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64.53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69.80</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70.84</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69.86</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66.89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66.91</w:t>
            </w:r>
          </w:p>
        </w:tc>
        <w:tc>
          <w:tcPr>
            <w:tcW w:w="0" w:type="dxa"/>
            <w:vAlign w:val="bottom"/>
          </w:tcPr>
          <w:p>
            <w:pPr>
              <w:spacing w:after="0"/>
              <w:rPr>
                <w:sz w:val="1"/>
                <w:szCs w:val="1"/>
                <w:color w:val="auto"/>
              </w:rPr>
            </w:pPr>
          </w:p>
        </w:tc>
      </w:tr>
      <w:tr>
        <w:trPr>
          <w:trHeight w:val="216"/>
        </w:trPr>
        <w:tc>
          <w:tcPr>
            <w:tcW w:w="45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NGL, per barrel</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30.78</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37.27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47.10</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26.30</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36.34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32.88</w:t>
            </w:r>
          </w:p>
        </w:tc>
        <w:tc>
          <w:tcPr>
            <w:tcW w:w="0" w:type="dxa"/>
            <w:vAlign w:val="bottom"/>
          </w:tcPr>
          <w:p>
            <w:pPr>
              <w:spacing w:after="0"/>
              <w:rPr>
                <w:sz w:val="1"/>
                <w:szCs w:val="1"/>
                <w:color w:val="auto"/>
              </w:rPr>
            </w:pPr>
          </w:p>
        </w:tc>
      </w:tr>
      <w:tr>
        <w:trPr>
          <w:trHeight w:val="216"/>
        </w:trPr>
        <w:tc>
          <w:tcPr>
            <w:tcW w:w="45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Natural gas, per thousand cubic feet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2.14</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1.96</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2.33</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6.39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16"/>
        </w:trPr>
        <w:tc>
          <w:tcPr>
            <w:tcW w:w="45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Bitumen, per barrel</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28.66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0" w:type="dxa"/>
            <w:vAlign w:val="bottom"/>
          </w:tcPr>
          <w:p>
            <w:pPr>
              <w:spacing w:after="0"/>
              <w:rPr>
                <w:sz w:val="1"/>
                <w:szCs w:val="1"/>
                <w:color w:val="auto"/>
              </w:rPr>
            </w:pPr>
          </w:p>
        </w:tc>
      </w:tr>
      <w:tr>
        <w:trPr>
          <w:trHeight w:val="216"/>
        </w:trPr>
        <w:tc>
          <w:tcPr>
            <w:tcW w:w="45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Synthetic oil, per barrel</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54.85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54.85</w:t>
            </w:r>
          </w:p>
        </w:tc>
        <w:tc>
          <w:tcPr>
            <w:tcW w:w="0" w:type="dxa"/>
            <w:vAlign w:val="bottom"/>
          </w:tcPr>
          <w:p>
            <w:pPr>
              <w:spacing w:after="0"/>
              <w:rPr>
                <w:sz w:val="1"/>
                <w:szCs w:val="1"/>
                <w:color w:val="auto"/>
              </w:rPr>
            </w:pPr>
          </w:p>
        </w:tc>
      </w:tr>
      <w:tr>
        <w:trPr>
          <w:trHeight w:val="216"/>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Average production costs, per oil-equivalent barrel - total</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11.64</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24.32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17.28</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7.31</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6.94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0" w:type="dxa"/>
            <w:vAlign w:val="bottom"/>
          </w:tcPr>
          <w:p>
            <w:pPr>
              <w:spacing w:after="0"/>
              <w:rPr>
                <w:sz w:val="1"/>
                <w:szCs w:val="1"/>
                <w:color w:val="auto"/>
              </w:rPr>
            </w:pPr>
          </w:p>
        </w:tc>
      </w:tr>
      <w:tr>
        <w:trPr>
          <w:trHeight w:val="216"/>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Average production costs, per barrel - bitumen</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22.93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0" w:type="dxa"/>
            <w:vAlign w:val="bottom"/>
          </w:tcPr>
          <w:p>
            <w:pPr>
              <w:spacing w:after="0"/>
              <w:rPr>
                <w:sz w:val="1"/>
                <w:szCs w:val="1"/>
                <w:color w:val="auto"/>
              </w:rPr>
            </w:pPr>
          </w:p>
        </w:tc>
      </w:tr>
      <w:tr>
        <w:trPr>
          <w:trHeight w:val="216"/>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Average production costs, per barrel - synthetic oil</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45.33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0" w:type="dxa"/>
            <w:vAlign w:val="bottom"/>
          </w:tcPr>
          <w:p>
            <w:pPr>
              <w:spacing w:after="0"/>
              <w:rPr>
                <w:sz w:val="1"/>
                <w:szCs w:val="1"/>
                <w:color w:val="auto"/>
              </w:rPr>
            </w:pPr>
          </w:p>
        </w:tc>
      </w:tr>
      <w:tr>
        <w:trPr>
          <w:trHeight w:val="473"/>
        </w:trPr>
        <w:tc>
          <w:tcPr>
            <w:tcW w:w="45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Equity Companies</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Average production prices</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Crude oil, per barrel</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66.30</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67.31</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67.07</w:t>
            </w:r>
          </w:p>
        </w:tc>
        <w:tc>
          <w:tcPr>
            <w:tcW w:w="0" w:type="dxa"/>
            <w:vAlign w:val="bottom"/>
          </w:tcPr>
          <w:p>
            <w:pPr>
              <w:spacing w:after="0"/>
              <w:rPr>
                <w:sz w:val="1"/>
                <w:szCs w:val="1"/>
                <w:color w:val="auto"/>
              </w:rPr>
            </w:pPr>
          </w:p>
        </w:tc>
      </w:tr>
      <w:tr>
        <w:trPr>
          <w:trHeight w:val="216"/>
        </w:trPr>
        <w:tc>
          <w:tcPr>
            <w:tcW w:w="45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NGL, per barrel</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27.16</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45.10</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44.64</w:t>
            </w:r>
          </w:p>
        </w:tc>
        <w:tc>
          <w:tcPr>
            <w:tcW w:w="0" w:type="dxa"/>
            <w:vAlign w:val="bottom"/>
          </w:tcPr>
          <w:p>
            <w:pPr>
              <w:spacing w:after="0"/>
              <w:rPr>
                <w:sz w:val="1"/>
                <w:szCs w:val="1"/>
                <w:color w:val="auto"/>
              </w:rPr>
            </w:pPr>
          </w:p>
        </w:tc>
      </w:tr>
      <w:tr>
        <w:trPr>
          <w:trHeight w:val="216"/>
        </w:trPr>
        <w:tc>
          <w:tcPr>
            <w:tcW w:w="45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Natural gas, per thousand cubic feet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6.31</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0" w:type="dxa"/>
            <w:vAlign w:val="bottom"/>
          </w:tcPr>
          <w:p>
            <w:pPr>
              <w:spacing w:after="0"/>
              <w:rPr>
                <w:sz w:val="1"/>
                <w:szCs w:val="1"/>
                <w:color w:val="auto"/>
              </w:rPr>
            </w:pPr>
          </w:p>
        </w:tc>
      </w:tr>
      <w:tr>
        <w:trPr>
          <w:trHeight w:val="216"/>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Average production costs, per oil-equivalent barrel - total</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24.71</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1.49</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473"/>
        </w:trPr>
        <w:tc>
          <w:tcPr>
            <w:tcW w:w="45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Average production prices</w:t>
            </w: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Crude oil, per barrel</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60.61</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64.53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69.57</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70.84</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68.92</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66.89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66.93</w:t>
            </w:r>
          </w:p>
        </w:tc>
        <w:tc>
          <w:tcPr>
            <w:tcW w:w="0" w:type="dxa"/>
            <w:vAlign w:val="bottom"/>
          </w:tcPr>
          <w:p>
            <w:pPr>
              <w:spacing w:after="0"/>
              <w:rPr>
                <w:sz w:val="1"/>
                <w:szCs w:val="1"/>
                <w:color w:val="auto"/>
              </w:rPr>
            </w:pPr>
          </w:p>
        </w:tc>
      </w:tr>
      <w:tr>
        <w:trPr>
          <w:trHeight w:val="216"/>
        </w:trPr>
        <w:tc>
          <w:tcPr>
            <w:tcW w:w="45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NGL, per barrel</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30.72</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37.27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47.10</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39.69</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36.34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0" w:type="dxa"/>
            <w:vAlign w:val="bottom"/>
          </w:tcPr>
          <w:p>
            <w:pPr>
              <w:spacing w:after="0"/>
              <w:rPr>
                <w:sz w:val="1"/>
                <w:szCs w:val="1"/>
                <w:color w:val="auto"/>
              </w:rPr>
            </w:pPr>
          </w:p>
        </w:tc>
      </w:tr>
      <w:tr>
        <w:trPr>
          <w:trHeight w:val="216"/>
        </w:trPr>
        <w:tc>
          <w:tcPr>
            <w:tcW w:w="45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Natural gas, per thousand cubic feet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2.14</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1.96</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5.38</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6.39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0" w:type="dxa"/>
            <w:vAlign w:val="bottom"/>
          </w:tcPr>
          <w:p>
            <w:pPr>
              <w:spacing w:after="0"/>
              <w:rPr>
                <w:sz w:val="1"/>
                <w:szCs w:val="1"/>
                <w:color w:val="auto"/>
              </w:rPr>
            </w:pPr>
          </w:p>
        </w:tc>
      </w:tr>
      <w:tr>
        <w:trPr>
          <w:trHeight w:val="216"/>
        </w:trPr>
        <w:tc>
          <w:tcPr>
            <w:tcW w:w="45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Bitumen, per barrel</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28.66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0" w:type="dxa"/>
            <w:vAlign w:val="bottom"/>
          </w:tcPr>
          <w:p>
            <w:pPr>
              <w:spacing w:after="0"/>
              <w:rPr>
                <w:sz w:val="1"/>
                <w:szCs w:val="1"/>
                <w:color w:val="auto"/>
              </w:rPr>
            </w:pPr>
          </w:p>
        </w:tc>
      </w:tr>
      <w:tr>
        <w:trPr>
          <w:trHeight w:val="216"/>
        </w:trPr>
        <w:tc>
          <w:tcPr>
            <w:tcW w:w="45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Synthetic oil, per barrel</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54.85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54.85</w:t>
            </w:r>
          </w:p>
        </w:tc>
        <w:tc>
          <w:tcPr>
            <w:tcW w:w="0" w:type="dxa"/>
            <w:vAlign w:val="bottom"/>
          </w:tcPr>
          <w:p>
            <w:pPr>
              <w:spacing w:after="0"/>
              <w:rPr>
                <w:sz w:val="1"/>
                <w:szCs w:val="1"/>
                <w:color w:val="auto"/>
              </w:rPr>
            </w:pPr>
          </w:p>
        </w:tc>
      </w:tr>
      <w:tr>
        <w:trPr>
          <w:trHeight w:val="216"/>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Average production costs, per oil-equivalent barrel - total</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12.43</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24.32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17.31</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3.98</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6.94</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0" w:type="dxa"/>
            <w:vAlign w:val="bottom"/>
          </w:tcPr>
          <w:p>
            <w:pPr>
              <w:spacing w:after="0"/>
              <w:rPr>
                <w:sz w:val="1"/>
                <w:szCs w:val="1"/>
                <w:color w:val="auto"/>
              </w:rPr>
            </w:pPr>
          </w:p>
        </w:tc>
      </w:tr>
      <w:tr>
        <w:trPr>
          <w:trHeight w:val="216"/>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Average production costs, per barrel - bitumen</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22.93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0" w:type="dxa"/>
            <w:vAlign w:val="bottom"/>
          </w:tcPr>
          <w:p>
            <w:pPr>
              <w:spacing w:after="0"/>
              <w:rPr>
                <w:sz w:val="1"/>
                <w:szCs w:val="1"/>
                <w:color w:val="auto"/>
              </w:rPr>
            </w:pPr>
          </w:p>
        </w:tc>
      </w:tr>
      <w:tr>
        <w:trPr>
          <w:trHeight w:val="216"/>
        </w:trPr>
        <w:tc>
          <w:tcPr>
            <w:tcW w:w="4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Average production costs, per barrel - synthetic oil</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45.33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Average production prices have been calculated by using sales quantities from the Corporation’s own production as the divisor. Average production costs have been computed by using net production quantities for the divisor. The volumes of crude oil and natural gas liquids (NGL) production used for this computation are shown in the oil and gas production table in section 3.A. The volumes of natural gas used in the calculation are the production volumes of natural gas available for sale and are also shown in section 3.A. The natural gas available for sale volumes are different from those shown in the reserves table in the “Oil and Gas Reserves” part of the “Supplemental Information on Oil and Gas Exploration and Production Activities” portion of the Financial Section of this report due to volumes consumed or flared. Natural gas is converted to an oil-equivalent basis at six million cubic feet per one thousand barrels.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3" w:name="page14"/>
    <w:bookmarkEnd w:id="13"/>
    <w:p>
      <w:pPr>
        <w:ind w:right="6480" w:firstLine="8"/>
        <w:spacing w:after="0" w:line="380"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Drilling and Other Exploratory and Development Activities A. Number of Net Productive and Dry Wells Drilled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60" w:type="dxa"/>
            <w:vAlign w:val="bottom"/>
            <w:tcBorders>
              <w:bottom w:val="single" w:sz="8" w:color="auto"/>
            </w:tcBorders>
          </w:tcPr>
          <w:p>
            <w:pPr>
              <w:spacing w:after="0"/>
              <w:rPr>
                <w:sz w:val="16"/>
                <w:szCs w:val="16"/>
                <w:color w:val="auto"/>
              </w:rPr>
            </w:pPr>
          </w:p>
        </w:tc>
        <w:tc>
          <w:tcPr>
            <w:tcW w:w="442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Productive Exploratory Wells Drilled</w:t>
            </w:r>
          </w:p>
        </w:tc>
        <w:tc>
          <w:tcPr>
            <w:tcW w:w="24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3"/>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2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States</w:t>
            </w:r>
          </w:p>
        </w:tc>
        <w:tc>
          <w:tcPr>
            <w:tcW w:w="442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4</w:t>
            </w: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Canada/Other Americas</w:t>
            </w:r>
          </w:p>
        </w:tc>
        <w:tc>
          <w:tcPr>
            <w:tcW w:w="442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Europe</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Africa</w:t>
            </w:r>
          </w:p>
        </w:tc>
        <w:tc>
          <w:tcPr>
            <w:tcW w:w="442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1</w:t>
            </w: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Asia</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Australia/Oceania</w:t>
            </w:r>
          </w:p>
        </w:tc>
        <w:tc>
          <w:tcPr>
            <w:tcW w:w="2480" w:type="dxa"/>
            <w:vAlign w:val="bottom"/>
          </w:tcPr>
          <w:p>
            <w:pPr>
              <w:spacing w:after="0"/>
              <w:rPr>
                <w:sz w:val="20"/>
                <w:szCs w:val="20"/>
                <w:color w:val="auto"/>
              </w:rPr>
            </w:pPr>
          </w:p>
        </w:tc>
        <w:tc>
          <w:tcPr>
            <w:tcW w:w="19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8"/>
        </w:trPr>
        <w:tc>
          <w:tcPr>
            <w:tcW w:w="4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Consolidated Subsidiaries</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7</w:t>
            </w: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7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2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States</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Europe</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Africa</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Asia</w:t>
            </w:r>
          </w:p>
        </w:tc>
        <w:tc>
          <w:tcPr>
            <w:tcW w:w="2480" w:type="dxa"/>
            <w:vAlign w:val="bottom"/>
          </w:tcPr>
          <w:p>
            <w:pPr>
              <w:spacing w:after="0"/>
              <w:rPr>
                <w:sz w:val="20"/>
                <w:szCs w:val="20"/>
                <w:color w:val="auto"/>
              </w:rPr>
            </w:pPr>
          </w:p>
        </w:tc>
        <w:tc>
          <w:tcPr>
            <w:tcW w:w="19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Equity Companies</w:t>
            </w:r>
          </w:p>
        </w:tc>
        <w:tc>
          <w:tcPr>
            <w:tcW w:w="2480" w:type="dxa"/>
            <w:vAlign w:val="bottom"/>
          </w:tcPr>
          <w:p>
            <w:pPr>
              <w:spacing w:after="0"/>
              <w:rPr>
                <w:sz w:val="19"/>
                <w:szCs w:val="19"/>
                <w:color w:val="auto"/>
              </w:rPr>
            </w:pPr>
          </w:p>
        </w:tc>
        <w:tc>
          <w:tcPr>
            <w:tcW w:w="19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productive exploratory wells drilled</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7</w:t>
            </w: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72"/>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Dry Exploratory Wells Drilled</w:t>
            </w:r>
          </w:p>
        </w:tc>
        <w:tc>
          <w:tcPr>
            <w:tcW w:w="2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3"/>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2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States</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Canada/Other Americas</w:t>
            </w:r>
          </w:p>
        </w:tc>
        <w:tc>
          <w:tcPr>
            <w:tcW w:w="442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1</w:t>
            </w: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Europe</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Africa</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Asia</w:t>
            </w:r>
          </w:p>
        </w:tc>
        <w:tc>
          <w:tcPr>
            <w:tcW w:w="442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1</w:t>
            </w: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Australia/Oceania</w:t>
            </w:r>
          </w:p>
        </w:tc>
        <w:tc>
          <w:tcPr>
            <w:tcW w:w="2480" w:type="dxa"/>
            <w:vAlign w:val="bottom"/>
          </w:tcPr>
          <w:p>
            <w:pPr>
              <w:spacing w:after="0"/>
              <w:rPr>
                <w:sz w:val="20"/>
                <w:szCs w:val="20"/>
                <w:color w:val="auto"/>
              </w:rPr>
            </w:pPr>
          </w:p>
        </w:tc>
        <w:tc>
          <w:tcPr>
            <w:tcW w:w="19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4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Consolidated Subsidiaries</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7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24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States</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Europe</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Africa</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Asia</w:t>
            </w:r>
          </w:p>
        </w:tc>
        <w:tc>
          <w:tcPr>
            <w:tcW w:w="2480" w:type="dxa"/>
            <w:vAlign w:val="bottom"/>
          </w:tcPr>
          <w:p>
            <w:pPr>
              <w:spacing w:after="0"/>
              <w:rPr>
                <w:sz w:val="20"/>
                <w:szCs w:val="20"/>
                <w:color w:val="auto"/>
              </w:rPr>
            </w:pPr>
          </w:p>
        </w:tc>
        <w:tc>
          <w:tcPr>
            <w:tcW w:w="19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Equity Companies</w:t>
            </w:r>
          </w:p>
        </w:tc>
        <w:tc>
          <w:tcPr>
            <w:tcW w:w="2480" w:type="dxa"/>
            <w:vAlign w:val="bottom"/>
          </w:tcPr>
          <w:p>
            <w:pPr>
              <w:spacing w:after="0"/>
              <w:rPr>
                <w:sz w:val="19"/>
                <w:szCs w:val="19"/>
                <w:color w:val="auto"/>
              </w:rPr>
            </w:pPr>
          </w:p>
        </w:tc>
        <w:tc>
          <w:tcPr>
            <w:tcW w:w="19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dry exploratory wells drilled</w:t>
            </w:r>
          </w:p>
        </w:tc>
        <w:tc>
          <w:tcPr>
            <w:tcW w:w="2480" w:type="dxa"/>
            <w:vAlign w:val="bottom"/>
          </w:tcPr>
          <w:p>
            <w:pPr>
              <w:spacing w:after="0"/>
              <w:rPr>
                <w:sz w:val="19"/>
                <w:szCs w:val="19"/>
                <w:color w:val="auto"/>
              </w:rPr>
            </w:pPr>
          </w:p>
        </w:tc>
        <w:tc>
          <w:tcPr>
            <w:tcW w:w="19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751"/>
        </w:trPr>
        <w:tc>
          <w:tcPr>
            <w:tcW w:w="4460" w:type="dxa"/>
            <w:vAlign w:val="bottom"/>
          </w:tcPr>
          <w:p>
            <w:pPr>
              <w:spacing w:after="0"/>
              <w:rPr>
                <w:sz w:val="24"/>
                <w:szCs w:val="24"/>
                <w:color w:val="auto"/>
              </w:rPr>
            </w:pPr>
          </w:p>
        </w:tc>
        <w:tc>
          <w:tcPr>
            <w:tcW w:w="2480" w:type="dxa"/>
            <w:vAlign w:val="bottom"/>
          </w:tcPr>
          <w:p>
            <w:pPr>
              <w:jc w:val="right"/>
              <w:ind w:right="1133"/>
              <w:spacing w:after="0"/>
              <w:rPr>
                <w:sz w:val="20"/>
                <w:szCs w:val="20"/>
                <w:color w:val="auto"/>
              </w:rPr>
            </w:pPr>
            <w:r>
              <w:rPr>
                <w:rFonts w:ascii="Times New Roman" w:cs="Times New Roman" w:eastAsia="Times New Roman" w:hAnsi="Times New Roman"/>
                <w:sz w:val="18"/>
                <w:szCs w:val="18"/>
                <w:color w:val="auto"/>
              </w:rPr>
              <w:t>12</w:t>
            </w:r>
          </w:p>
        </w:tc>
        <w:tc>
          <w:tcPr>
            <w:tcW w:w="1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1"/>
        </w:trPr>
        <w:tc>
          <w:tcPr>
            <w:tcW w:w="4460" w:type="dxa"/>
            <w:vAlign w:val="bottom"/>
            <w:tcBorders>
              <w:bottom w:val="single" w:sz="8" w:color="9A9A9A"/>
            </w:tcBorders>
          </w:tcPr>
          <w:p>
            <w:pPr>
              <w:spacing w:after="0"/>
              <w:rPr>
                <w:sz w:val="8"/>
                <w:szCs w:val="8"/>
                <w:color w:val="auto"/>
              </w:rPr>
            </w:pPr>
          </w:p>
        </w:tc>
        <w:tc>
          <w:tcPr>
            <w:tcW w:w="248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5"/>
        </w:trPr>
        <w:tc>
          <w:tcPr>
            <w:tcW w:w="446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Productive Development Wells Drilled</w:t>
            </w:r>
          </w:p>
        </w:tc>
        <w:tc>
          <w:tcPr>
            <w:tcW w:w="24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3"/>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2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States</w:t>
            </w:r>
          </w:p>
        </w:tc>
        <w:tc>
          <w:tcPr>
            <w:tcW w:w="44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412</w:t>
            </w:r>
          </w:p>
        </w:tc>
        <w:tc>
          <w:tcPr>
            <w:tcW w:w="14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618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29"/>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Canada/Other Americas</w:t>
            </w:r>
          </w:p>
        </w:tc>
        <w:tc>
          <w:tcPr>
            <w:tcW w:w="44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36</w:t>
            </w:r>
          </w:p>
        </w:tc>
        <w:tc>
          <w:tcPr>
            <w:tcW w:w="14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49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Europe</w:t>
            </w:r>
          </w:p>
        </w:tc>
        <w:tc>
          <w:tcPr>
            <w:tcW w:w="44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Africa</w:t>
            </w:r>
          </w:p>
        </w:tc>
        <w:tc>
          <w:tcPr>
            <w:tcW w:w="44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Asia</w:t>
            </w:r>
          </w:p>
        </w:tc>
        <w:tc>
          <w:tcPr>
            <w:tcW w:w="44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15</w:t>
            </w:r>
          </w:p>
        </w:tc>
        <w:tc>
          <w:tcPr>
            <w:tcW w:w="14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Australia/Oceania</w:t>
            </w:r>
          </w:p>
        </w:tc>
        <w:tc>
          <w:tcPr>
            <w:tcW w:w="44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4</w:t>
            </w:r>
          </w:p>
        </w:tc>
        <w:tc>
          <w:tcPr>
            <w:tcW w:w="14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Consolidated Subsidiaries</w:t>
            </w:r>
          </w:p>
        </w:tc>
        <w:tc>
          <w:tcPr>
            <w:tcW w:w="2480" w:type="dxa"/>
            <w:vAlign w:val="bottom"/>
          </w:tcPr>
          <w:p>
            <w:pPr>
              <w:spacing w:after="0"/>
              <w:rPr>
                <w:sz w:val="19"/>
                <w:szCs w:val="19"/>
                <w:color w:val="auto"/>
              </w:rPr>
            </w:pPr>
          </w:p>
        </w:tc>
        <w:tc>
          <w:tcPr>
            <w:tcW w:w="192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471</w:t>
            </w:r>
          </w:p>
        </w:tc>
        <w:tc>
          <w:tcPr>
            <w:tcW w:w="1460" w:type="dxa"/>
            <w:vAlign w:val="bottom"/>
            <w:tcBorders>
              <w:top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686</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47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2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States</w:t>
            </w:r>
          </w:p>
        </w:tc>
        <w:tc>
          <w:tcPr>
            <w:tcW w:w="44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60</w:t>
            </w:r>
          </w:p>
        </w:tc>
        <w:tc>
          <w:tcPr>
            <w:tcW w:w="14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199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Europe</w:t>
            </w:r>
          </w:p>
        </w:tc>
        <w:tc>
          <w:tcPr>
            <w:tcW w:w="44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1</w:t>
            </w:r>
          </w:p>
        </w:tc>
        <w:tc>
          <w:tcPr>
            <w:tcW w:w="14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Africa</w:t>
            </w:r>
          </w:p>
        </w:tc>
        <w:tc>
          <w:tcPr>
            <w:tcW w:w="248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Asia</w:t>
            </w:r>
          </w:p>
        </w:tc>
        <w:tc>
          <w:tcPr>
            <w:tcW w:w="44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5</w:t>
            </w:r>
          </w:p>
        </w:tc>
        <w:tc>
          <w:tcPr>
            <w:tcW w:w="14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Equity Companies</w:t>
            </w:r>
          </w:p>
        </w:tc>
        <w:tc>
          <w:tcPr>
            <w:tcW w:w="248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66</w:t>
            </w:r>
          </w:p>
        </w:tc>
        <w:tc>
          <w:tcPr>
            <w:tcW w:w="146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208</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productive development wells drilled</w:t>
            </w:r>
          </w:p>
        </w:tc>
        <w:tc>
          <w:tcPr>
            <w:tcW w:w="248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537</w:t>
            </w:r>
          </w:p>
        </w:tc>
        <w:tc>
          <w:tcPr>
            <w:tcW w:w="14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894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472"/>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Dry Development Wells Drilled</w:t>
            </w:r>
          </w:p>
        </w:tc>
        <w:tc>
          <w:tcPr>
            <w:tcW w:w="2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2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9"/>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States</w:t>
            </w:r>
          </w:p>
        </w:tc>
        <w:tc>
          <w:tcPr>
            <w:tcW w:w="44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6</w:t>
            </w:r>
          </w:p>
        </w:tc>
        <w:tc>
          <w:tcPr>
            <w:tcW w:w="14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Canada/Other Americas</w:t>
            </w:r>
          </w:p>
        </w:tc>
        <w:tc>
          <w:tcPr>
            <w:tcW w:w="248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Europe</w:t>
            </w:r>
          </w:p>
        </w:tc>
        <w:tc>
          <w:tcPr>
            <w:tcW w:w="248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Africa</w:t>
            </w:r>
          </w:p>
        </w:tc>
        <w:tc>
          <w:tcPr>
            <w:tcW w:w="248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Asia</w:t>
            </w:r>
          </w:p>
        </w:tc>
        <w:tc>
          <w:tcPr>
            <w:tcW w:w="248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Australia/Oceania</w:t>
            </w:r>
          </w:p>
        </w:tc>
        <w:tc>
          <w:tcPr>
            <w:tcW w:w="44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1</w:t>
            </w:r>
          </w:p>
        </w:tc>
        <w:tc>
          <w:tcPr>
            <w:tcW w:w="14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Consolidated Subsidiaries</w:t>
            </w:r>
          </w:p>
        </w:tc>
        <w:tc>
          <w:tcPr>
            <w:tcW w:w="2480" w:type="dxa"/>
            <w:vAlign w:val="bottom"/>
          </w:tcPr>
          <w:p>
            <w:pPr>
              <w:spacing w:after="0"/>
              <w:rPr>
                <w:sz w:val="19"/>
                <w:szCs w:val="19"/>
                <w:color w:val="auto"/>
              </w:rPr>
            </w:pPr>
          </w:p>
        </w:tc>
        <w:tc>
          <w:tcPr>
            <w:tcW w:w="192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7</w:t>
            </w:r>
          </w:p>
        </w:tc>
        <w:tc>
          <w:tcPr>
            <w:tcW w:w="1460" w:type="dxa"/>
            <w:vAlign w:val="bottom"/>
            <w:tcBorders>
              <w:top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9</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7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24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States</w:t>
            </w:r>
          </w:p>
        </w:tc>
        <w:tc>
          <w:tcPr>
            <w:tcW w:w="248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Europe</w:t>
            </w:r>
          </w:p>
        </w:tc>
        <w:tc>
          <w:tcPr>
            <w:tcW w:w="248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Africa</w:t>
            </w:r>
          </w:p>
        </w:tc>
        <w:tc>
          <w:tcPr>
            <w:tcW w:w="2480" w:type="dxa"/>
            <w:vAlign w:val="bottom"/>
          </w:tcPr>
          <w:p>
            <w:pPr>
              <w:spacing w:after="0"/>
              <w:rPr>
                <w:sz w:val="19"/>
                <w:szCs w:val="19"/>
                <w:color w:val="auto"/>
              </w:rPr>
            </w:pPr>
          </w:p>
        </w:tc>
        <w:tc>
          <w:tcPr>
            <w:tcW w:w="19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Asia</w:t>
            </w:r>
          </w:p>
        </w:tc>
        <w:tc>
          <w:tcPr>
            <w:tcW w:w="2480" w:type="dxa"/>
            <w:vAlign w:val="bottom"/>
          </w:tcPr>
          <w:p>
            <w:pPr>
              <w:spacing w:after="0"/>
              <w:rPr>
                <w:sz w:val="20"/>
                <w:szCs w:val="20"/>
                <w:color w:val="auto"/>
              </w:rPr>
            </w:pPr>
          </w:p>
        </w:tc>
        <w:tc>
          <w:tcPr>
            <w:tcW w:w="19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Equity Companies</w:t>
            </w:r>
          </w:p>
        </w:tc>
        <w:tc>
          <w:tcPr>
            <w:tcW w:w="2480" w:type="dxa"/>
            <w:vAlign w:val="bottom"/>
          </w:tcPr>
          <w:p>
            <w:pPr>
              <w:spacing w:after="0"/>
              <w:rPr>
                <w:sz w:val="19"/>
                <w:szCs w:val="19"/>
                <w:color w:val="auto"/>
              </w:rPr>
            </w:pPr>
          </w:p>
        </w:tc>
        <w:tc>
          <w:tcPr>
            <w:tcW w:w="19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dry development wells drilled</w:t>
            </w:r>
          </w:p>
        </w:tc>
        <w:tc>
          <w:tcPr>
            <w:tcW w:w="2480" w:type="dxa"/>
            <w:vAlign w:val="bottom"/>
          </w:tcPr>
          <w:p>
            <w:pPr>
              <w:spacing w:after="0"/>
              <w:rPr>
                <w:sz w:val="19"/>
                <w:szCs w:val="19"/>
                <w:color w:val="auto"/>
              </w:rPr>
            </w:pPr>
          </w:p>
        </w:tc>
        <w:tc>
          <w:tcPr>
            <w:tcW w:w="19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7</w:t>
            </w:r>
          </w:p>
        </w:tc>
        <w:tc>
          <w:tcPr>
            <w:tcW w:w="14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6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number of net wells drilled</w:t>
            </w:r>
          </w:p>
        </w:tc>
        <w:tc>
          <w:tcPr>
            <w:tcW w:w="440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553</w:t>
            </w:r>
          </w:p>
        </w:tc>
        <w:tc>
          <w:tcPr>
            <w:tcW w:w="146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rPr>
              <w:t>917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750"/>
        </w:trPr>
        <w:tc>
          <w:tcPr>
            <w:tcW w:w="4460" w:type="dxa"/>
            <w:vAlign w:val="bottom"/>
          </w:tcPr>
          <w:p>
            <w:pPr>
              <w:spacing w:after="0"/>
              <w:rPr>
                <w:sz w:val="24"/>
                <w:szCs w:val="24"/>
                <w:color w:val="auto"/>
              </w:rPr>
            </w:pPr>
          </w:p>
        </w:tc>
        <w:tc>
          <w:tcPr>
            <w:tcW w:w="2480" w:type="dxa"/>
            <w:vAlign w:val="bottom"/>
          </w:tcPr>
          <w:p>
            <w:pPr>
              <w:jc w:val="right"/>
              <w:ind w:right="1131"/>
              <w:spacing w:after="0"/>
              <w:rPr>
                <w:sz w:val="20"/>
                <w:szCs w:val="20"/>
                <w:color w:val="auto"/>
              </w:rPr>
            </w:pPr>
            <w:r>
              <w:rPr>
                <w:rFonts w:ascii="Times New Roman" w:cs="Times New Roman" w:eastAsia="Times New Roman" w:hAnsi="Times New Roman"/>
                <w:sz w:val="18"/>
                <w:szCs w:val="18"/>
                <w:color w:val="auto"/>
              </w:rPr>
              <w:t>13</w:t>
            </w:r>
          </w:p>
        </w:tc>
        <w:tc>
          <w:tcPr>
            <w:tcW w:w="19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102"/>
        </w:trPr>
        <w:tc>
          <w:tcPr>
            <w:tcW w:w="4460" w:type="dxa"/>
            <w:vAlign w:val="bottom"/>
            <w:tcBorders>
              <w:bottom w:val="single" w:sz="8" w:color="9A9A9A"/>
            </w:tcBorders>
          </w:tcPr>
          <w:p>
            <w:pPr>
              <w:spacing w:after="0"/>
              <w:rPr>
                <w:sz w:val="8"/>
                <w:szCs w:val="8"/>
                <w:color w:val="auto"/>
              </w:rPr>
            </w:pPr>
          </w:p>
        </w:tc>
        <w:tc>
          <w:tcPr>
            <w:tcW w:w="2480" w:type="dxa"/>
            <w:vAlign w:val="bottom"/>
            <w:tcBorders>
              <w:bottom w:val="single" w:sz="8" w:color="9A9A9A"/>
            </w:tcBorders>
          </w:tcPr>
          <w:p>
            <w:pPr>
              <w:spacing w:after="0"/>
              <w:rPr>
                <w:sz w:val="8"/>
                <w:szCs w:val="8"/>
                <w:color w:val="auto"/>
              </w:rPr>
            </w:pPr>
          </w:p>
        </w:tc>
        <w:tc>
          <w:tcPr>
            <w:tcW w:w="192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B. Exploratory and Development Activities Regarding Oil and Gas Resources Extracted by Mining Technologies</w:t>
      </w:r>
    </w:p>
    <w:p>
      <w:pPr>
        <w:spacing w:after="0" w:line="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Syncrude Operations. </w:t>
      </w:r>
      <w:r>
        <w:rPr>
          <w:rFonts w:ascii="Times New Roman" w:cs="Times New Roman" w:eastAsia="Times New Roman" w:hAnsi="Times New Roman"/>
          <w:sz w:val="18"/>
          <w:szCs w:val="18"/>
          <w:color w:val="auto"/>
        </w:rPr>
        <w:t>Syncrude is a joint venture established to recover shallow deposits of oil sands using open-pit mining methods to extract the crude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bitumen, and then upgrade it to produce a high-quality, light (32 degrees API), sweet, synthetic crude oil. Imperial Oil Limited is the owner of a 25 percent interest in the joint venture. Exxon Mobil Corporation has a 69.6 percent interest in Imperial Oil Limited. In 2020, the company’s share of net production of synthetic crude oil was about 68 thousand barrels per day and share of net acreage was about 55 thousand acres in the Athabasca oil sands deposit.</w:t>
      </w:r>
    </w:p>
    <w:p>
      <w:pPr>
        <w:spacing w:after="0" w:line="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Kearl Operations. </w:t>
      </w:r>
      <w:r>
        <w:rPr>
          <w:rFonts w:ascii="Times New Roman" w:cs="Times New Roman" w:eastAsia="Times New Roman" w:hAnsi="Times New Roman"/>
          <w:sz w:val="18"/>
          <w:szCs w:val="18"/>
          <w:color w:val="auto"/>
        </w:rPr>
        <w:t>Kearl is a joint venture established to recover shallow deposits of oil sands using open-pit mining methods to extract the crude bitumen.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Imperial Oil Limited holds a 70.96 percent interest in the joint venture and ExxonMobil Canada Properties holds the other 29.04 percent. Exxon Mobil Corporation has a 69.6 percent interest in Imperial Oil Limited and a 100 percent interest in ExxonMobil Canada Properties. Kearl is comprised of six oil sands leases covering about 49 thousand acres in the Athabasca oil sands deposit.</w:t>
      </w:r>
    </w:p>
    <w:p>
      <w:pPr>
        <w:spacing w:after="0" w:line="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Kearl is located approximately 40 miles north of Fort McMurray, Alberta, Canada. Bitumen is extracted from oil sands and processed through bitumen extraction and froth treatment trains. The product, a blend of bitumen and diluent, is shipped to our refineries and to other third parties. Diluent is natural gas condensate or other light hydrocarbons added to the crude bitumen to facilitate transportation by pipeline and rail. During 2020, average net production at Kearl was about 219 thousand barrels per day.</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Primarily as a result of very low prices during 2020, under the SEC definition of proved reserves, the entire 3.1 billion barrels of bitumen at Kearl did not qualify as proved reserves at year-end 2020. Among the factors that could result in portions of these amounts being recognized again as proved reserves at some point in the future are a recovery in the SEC price basis, cost reductions, and/or operating efficiencies.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Present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Wells Drilling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Year-End 2020</w:t>
            </w:r>
          </w:p>
        </w:tc>
        <w:tc>
          <w:tcPr>
            <w:tcW w:w="9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Year-End 2019</w:t>
            </w:r>
          </w:p>
        </w:tc>
        <w:tc>
          <w:tcPr>
            <w:tcW w:w="720" w:type="dxa"/>
            <w:vAlign w:val="bottom"/>
          </w:tcPr>
          <w:p>
            <w:pPr>
              <w:spacing w:after="0"/>
              <w:rPr>
                <w:sz w:val="16"/>
                <w:szCs w:val="16"/>
                <w:color w:val="auto"/>
              </w:rPr>
            </w:pPr>
          </w:p>
        </w:tc>
      </w:tr>
      <w:tr>
        <w:trPr>
          <w:trHeight w:val="37"/>
        </w:trPr>
        <w:tc>
          <w:tcPr>
            <w:tcW w:w="446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86"/>
        </w:trPr>
        <w:tc>
          <w:tcPr>
            <w:tcW w:w="44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60" w:type="dxa"/>
            <w:vAlign w:val="bottom"/>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2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Net</w:t>
            </w:r>
          </w:p>
        </w:tc>
        <w:tc>
          <w:tcPr>
            <w:tcW w:w="1580" w:type="dxa"/>
            <w:vAlign w:val="bottom"/>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3"/>
        </w:trPr>
        <w:tc>
          <w:tcPr>
            <w:tcW w:w="44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4"/>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Wells Drilling</w:t>
            </w:r>
          </w:p>
        </w:tc>
        <w:tc>
          <w:tcPr>
            <w:tcW w:w="1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1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States</w:t>
            </w:r>
          </w:p>
        </w:tc>
        <w:tc>
          <w:tcPr>
            <w:tcW w:w="3560" w:type="dxa"/>
            <w:vAlign w:val="bottom"/>
            <w:gridSpan w:val="2"/>
          </w:tcPr>
          <w:p>
            <w:pPr>
              <w:jc w:val="right"/>
              <w:ind w:right="516"/>
              <w:spacing w:after="0"/>
              <w:rPr>
                <w:sz w:val="20"/>
                <w:szCs w:val="20"/>
                <w:color w:val="auto"/>
              </w:rPr>
            </w:pPr>
            <w:r>
              <w:rPr>
                <w:rFonts w:ascii="Times New Roman" w:cs="Times New Roman" w:eastAsia="Times New Roman" w:hAnsi="Times New Roman"/>
                <w:sz w:val="18"/>
                <w:szCs w:val="18"/>
                <w:color w:val="auto"/>
              </w:rPr>
              <w:t>1,206</w:t>
            </w: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741</w:t>
            </w:r>
          </w:p>
        </w:tc>
        <w:tc>
          <w:tcPr>
            <w:tcW w:w="15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1,133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Canada/Other Americas</w:t>
            </w:r>
          </w:p>
        </w:tc>
        <w:tc>
          <w:tcPr>
            <w:tcW w:w="3560" w:type="dxa"/>
            <w:vAlign w:val="bottom"/>
            <w:gridSpan w:val="2"/>
          </w:tcPr>
          <w:p>
            <w:pPr>
              <w:jc w:val="right"/>
              <w:ind w:right="516"/>
              <w:spacing w:after="0"/>
              <w:rPr>
                <w:sz w:val="20"/>
                <w:szCs w:val="20"/>
                <w:color w:val="auto"/>
              </w:rPr>
            </w:pPr>
            <w:r>
              <w:rPr>
                <w:rFonts w:ascii="Times New Roman" w:cs="Times New Roman" w:eastAsia="Times New Roman" w:hAnsi="Times New Roman"/>
                <w:sz w:val="18"/>
                <w:szCs w:val="18"/>
                <w:color w:val="auto"/>
              </w:rPr>
              <w:t>38</w:t>
            </w: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29</w:t>
            </w:r>
          </w:p>
        </w:tc>
        <w:tc>
          <w:tcPr>
            <w:tcW w:w="15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27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Europe</w:t>
            </w:r>
          </w:p>
        </w:tc>
        <w:tc>
          <w:tcPr>
            <w:tcW w:w="3560" w:type="dxa"/>
            <w:vAlign w:val="bottom"/>
            <w:gridSpan w:val="2"/>
          </w:tcPr>
          <w:p>
            <w:pPr>
              <w:jc w:val="right"/>
              <w:ind w:right="516"/>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16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Africa</w:t>
            </w:r>
          </w:p>
        </w:tc>
        <w:tc>
          <w:tcPr>
            <w:tcW w:w="3560" w:type="dxa"/>
            <w:vAlign w:val="bottom"/>
            <w:gridSpan w:val="2"/>
          </w:tcPr>
          <w:p>
            <w:pPr>
              <w:jc w:val="right"/>
              <w:ind w:right="516"/>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Asia</w:t>
            </w:r>
          </w:p>
        </w:tc>
        <w:tc>
          <w:tcPr>
            <w:tcW w:w="3560" w:type="dxa"/>
            <w:vAlign w:val="bottom"/>
            <w:gridSpan w:val="2"/>
          </w:tcPr>
          <w:p>
            <w:pPr>
              <w:jc w:val="right"/>
              <w:ind w:right="516"/>
              <w:spacing w:after="0"/>
              <w:rPr>
                <w:sz w:val="20"/>
                <w:szCs w:val="20"/>
                <w:color w:val="auto"/>
              </w:rPr>
            </w:pPr>
            <w:r>
              <w:rPr>
                <w:rFonts w:ascii="Times New Roman" w:cs="Times New Roman" w:eastAsia="Times New Roman" w:hAnsi="Times New Roman"/>
                <w:sz w:val="18"/>
                <w:szCs w:val="18"/>
                <w:color w:val="auto"/>
              </w:rPr>
              <w:t>14</w:t>
            </w: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46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Australia/Oceania</w:t>
            </w:r>
          </w:p>
        </w:tc>
        <w:tc>
          <w:tcPr>
            <w:tcW w:w="1900" w:type="dxa"/>
            <w:vAlign w:val="bottom"/>
          </w:tcPr>
          <w:p>
            <w:pPr>
              <w:spacing w:after="0"/>
              <w:rPr>
                <w:sz w:val="20"/>
                <w:szCs w:val="20"/>
                <w:color w:val="auto"/>
              </w:rPr>
            </w:pPr>
          </w:p>
        </w:tc>
        <w:tc>
          <w:tcPr>
            <w:tcW w:w="16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14</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8"/>
        </w:trPr>
        <w:tc>
          <w:tcPr>
            <w:tcW w:w="4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Consolidated Subsidiaries</w:t>
            </w:r>
          </w:p>
        </w:tc>
        <w:tc>
          <w:tcPr>
            <w:tcW w:w="1900" w:type="dxa"/>
            <w:vAlign w:val="bottom"/>
          </w:tcPr>
          <w:p>
            <w:pPr>
              <w:spacing w:after="0"/>
              <w:rPr>
                <w:sz w:val="19"/>
                <w:szCs w:val="19"/>
                <w:color w:val="auto"/>
              </w:rPr>
            </w:pPr>
          </w:p>
        </w:tc>
        <w:tc>
          <w:tcPr>
            <w:tcW w:w="166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1,285</w:t>
            </w: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783</w:t>
            </w:r>
          </w:p>
        </w:tc>
        <w:tc>
          <w:tcPr>
            <w:tcW w:w="15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1,240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49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19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States</w:t>
            </w:r>
          </w:p>
        </w:tc>
        <w:tc>
          <w:tcPr>
            <w:tcW w:w="3560" w:type="dxa"/>
            <w:vAlign w:val="bottom"/>
            <w:gridSpan w:val="2"/>
          </w:tcPr>
          <w:p>
            <w:pPr>
              <w:jc w:val="right"/>
              <w:ind w:right="516"/>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Europe</w:t>
            </w:r>
          </w:p>
        </w:tc>
        <w:tc>
          <w:tcPr>
            <w:tcW w:w="3560" w:type="dxa"/>
            <w:vAlign w:val="bottom"/>
            <w:gridSpan w:val="2"/>
          </w:tcPr>
          <w:p>
            <w:pPr>
              <w:jc w:val="right"/>
              <w:ind w:right="516"/>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Africa</w:t>
            </w:r>
          </w:p>
        </w:tc>
        <w:tc>
          <w:tcPr>
            <w:tcW w:w="3560" w:type="dxa"/>
            <w:vAlign w:val="bottom"/>
            <w:gridSpan w:val="2"/>
          </w:tcPr>
          <w:p>
            <w:pPr>
              <w:jc w:val="right"/>
              <w:ind w:right="516"/>
              <w:spacing w:after="0"/>
              <w:rPr>
                <w:sz w:val="20"/>
                <w:szCs w:val="20"/>
                <w:color w:val="auto"/>
              </w:rPr>
            </w:pPr>
            <w:r>
              <w:rPr>
                <w:rFonts w:ascii="Times New Roman" w:cs="Times New Roman" w:eastAsia="Times New Roman" w:hAnsi="Times New Roman"/>
                <w:sz w:val="18"/>
                <w:szCs w:val="18"/>
                <w:color w:val="auto"/>
              </w:rPr>
              <w:t>6</w:t>
            </w: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Asia</w:t>
            </w:r>
          </w:p>
        </w:tc>
        <w:tc>
          <w:tcPr>
            <w:tcW w:w="3560" w:type="dxa"/>
            <w:vAlign w:val="bottom"/>
            <w:gridSpan w:val="2"/>
          </w:tcPr>
          <w:p>
            <w:pPr>
              <w:jc w:val="right"/>
              <w:ind w:right="516"/>
              <w:spacing w:after="0"/>
              <w:rPr>
                <w:sz w:val="20"/>
                <w:szCs w:val="20"/>
                <w:color w:val="auto"/>
              </w:rPr>
            </w:pPr>
            <w:r>
              <w:rPr>
                <w:rFonts w:ascii="Times New Roman" w:cs="Times New Roman" w:eastAsia="Times New Roman" w:hAnsi="Times New Roman"/>
                <w:sz w:val="18"/>
                <w:szCs w:val="18"/>
                <w:color w:val="auto"/>
              </w:rPr>
              <w:t>2</w:t>
            </w: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11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Equity Companies</w:t>
            </w:r>
          </w:p>
        </w:tc>
        <w:tc>
          <w:tcPr>
            <w:tcW w:w="1900" w:type="dxa"/>
            <w:vAlign w:val="bottom"/>
          </w:tcPr>
          <w:p>
            <w:pPr>
              <w:spacing w:after="0"/>
              <w:rPr>
                <w:sz w:val="19"/>
                <w:szCs w:val="19"/>
                <w:color w:val="auto"/>
              </w:rPr>
            </w:pPr>
          </w:p>
        </w:tc>
        <w:tc>
          <w:tcPr>
            <w:tcW w:w="166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12</w:t>
            </w:r>
          </w:p>
        </w:tc>
        <w:tc>
          <w:tcPr>
            <w:tcW w:w="92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and net wells drilling</w:t>
            </w:r>
          </w:p>
        </w:tc>
        <w:tc>
          <w:tcPr>
            <w:tcW w:w="1900" w:type="dxa"/>
            <w:vAlign w:val="bottom"/>
          </w:tcPr>
          <w:p>
            <w:pPr>
              <w:spacing w:after="0"/>
              <w:rPr>
                <w:sz w:val="19"/>
                <w:szCs w:val="19"/>
                <w:color w:val="auto"/>
              </w:rPr>
            </w:pPr>
          </w:p>
        </w:tc>
        <w:tc>
          <w:tcPr>
            <w:tcW w:w="16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8"/>
                <w:szCs w:val="18"/>
                <w:color w:val="auto"/>
              </w:rPr>
              <w:t>1,297</w:t>
            </w:r>
          </w:p>
        </w:tc>
        <w:tc>
          <w:tcPr>
            <w:tcW w:w="9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787</w:t>
            </w:r>
          </w:p>
        </w:tc>
        <w:tc>
          <w:tcPr>
            <w:tcW w:w="15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1,260</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736"/>
        </w:trPr>
        <w:tc>
          <w:tcPr>
            <w:tcW w:w="4460" w:type="dxa"/>
            <w:vAlign w:val="bottom"/>
          </w:tcPr>
          <w:p>
            <w:pPr>
              <w:spacing w:after="0"/>
              <w:rPr>
                <w:sz w:val="24"/>
                <w:szCs w:val="24"/>
                <w:color w:val="auto"/>
              </w:rPr>
            </w:pPr>
          </w:p>
        </w:tc>
        <w:tc>
          <w:tcPr>
            <w:tcW w:w="1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14</w:t>
            </w: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02"/>
        </w:trPr>
        <w:tc>
          <w:tcPr>
            <w:tcW w:w="446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B. Review of Principal Ongoing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ExxonMobil’s year-end 2020 acreage holdings totaled 11.2 million net acres, of which 0.4 million net acres were offshore. ExxonMobil was active in areas onshore and offshore in the lower 48 states and in Alaska. Development activities continued on the Golden Pass liquefied natural gas export project.</w:t>
      </w:r>
    </w:p>
    <w:p>
      <w:pPr>
        <w:spacing w:after="0" w:line="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478.9 net exploration and development wells were completed in the inland lower 48 states. Development activities focused on liquids-rich opportunities in the onshore U.S., primarily in the Permian Basin of West Texas and New Mexico.</w:t>
      </w:r>
    </w:p>
    <w:p>
      <w:pPr>
        <w:spacing w:after="0" w:line="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ExxonMobil’s net acreage in the Gulf of Mexico at year-end 2020 was 0.3 million acres. A total of 0.9 net development wells were completed during the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Participation in Alaska production and development continued with a total of 2.7 net development wells completed.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 / OTHER AMERICAS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0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Oil and Gas Operations: </w:t>
      </w:r>
      <w:r>
        <w:rPr>
          <w:rFonts w:ascii="Times New Roman" w:cs="Times New Roman" w:eastAsia="Times New Roman" w:hAnsi="Times New Roman"/>
          <w:sz w:val="18"/>
          <w:szCs w:val="18"/>
          <w:color w:val="auto"/>
        </w:rPr>
        <w:t>ExxonMobil’s year-end 2020 acreage holdings totaled 7.4 million net acres, of which 4.6 million net acres were offshore. A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6.1 net exploration and development wells were completed during the year.</w:t>
      </w:r>
    </w:p>
    <w:p>
      <w:pPr>
        <w:spacing w:after="0" w:line="1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 Situ Bitumen Operations: </w:t>
      </w:r>
      <w:r>
        <w:rPr>
          <w:rFonts w:ascii="Times New Roman" w:cs="Times New Roman" w:eastAsia="Times New Roman" w:hAnsi="Times New Roman"/>
          <w:sz w:val="18"/>
          <w:szCs w:val="18"/>
          <w:color w:val="auto"/>
        </w:rPr>
        <w:t>ExxonMobil’s year-end 2020 in situ bitumen acreage holdings totaled 0.6 million net onshore acres. A total of 28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wells at Cold Lake were completed during the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Argentina</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ExxonMobil’s net acreage totaled 2.9 million acres, of which 2.6 million net acres were offshore at year-end 2020. During the year, a total of 1.8 net development wells were completed.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Guyana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ExxonMobil’s net acreage totaled 4.6 million offshore acres at year-end 2020. During the year, 2.4 net exploration and development wells were completed.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activities continued on the Liza Phase 2 project, and the Payara project was funded in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Germany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ExxonMobil’s net acreage totaled 1.7 million onshore acres at year-end 2020. During the year, 0.8 net exploration and development wells were completed.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Netherlands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ExxonMobil’s net interest in licenses totaled approximately 1.4 million acres, of which 1.0 million acres were onshore at year-end 2020. During the year, a total of 1.3 net exploration and development wells were completed. In 2020, the Dutch Government further reduced Groningen gas extraction and maintained its plan to terminate Groningen production in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ExxonMobil’s net interest in licenses totaled approximately 0.3 million offshore acres at year-end 2020. During the year, a total of 1.9 net development wells were completed. Development activities continued on the Penguins Redevelopment project.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AFRICA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Angola</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ExxonMobil’s net acreage totaled approximately 3.0 million acres, of which 2.9 million net acres were offshore at year-end 2020. During the year, a total of 0.3 net development wells were completed. In 2020, ExxonMobil acquired approximately 2.7 million net acres in three offshore blocks located in the Namibe basin.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ExxonMobil’s net acreage holdings totaled 46 thousand onshore acres at year-end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Equatorial Guinea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ExxonMobil’s net acreage totaled 0.5 million offshore acres at year-end 2020. During the year, a total of 0.8 net development well was completed.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Mozambique</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ExxonMobil’s net acreage totaled approximately 1.8 million offshore acres at year-end 2020. Development activities continued on the Coral South Floating LNG project during the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Nigeria</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ExxonMobil’s net acreage totaled 0.9 million offshore acres at year-end 2020. During the year, a total of 1.8 net exploration and development wells were completed.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ASIA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Azerbaijan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ExxonMobil's net acreage totaled 7 thousand offshore acres at year-end 2020. During the year, a total of 0.7 net development wells were completed.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Indonesia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ExxonMobil’s net acreage totaled 0.1 million onshore acres at year-end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Iraq</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ExxonMobil’s net acreage totaled 0.1 million onshore acres at year-end 2020. During the year, a total of 8.2 net development wells were completed at the West Qurna Phase I oil field. Oil field rehabilitation activities continued during 2020 and across the life of this project will include drilling of new wells, working over of existing wells, and optimization, debottlenecking and expansion of facilities. In the Kurdistan Region of Iraq, ExxonMobil has continued exploration activities.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Kazakhstan</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ExxonMobil’s net acreage totaled 0.3 million acres, of which 0.2 million net acres were offshore at year-end 2020. During the year, a total of 4.5 net development wells were completed. Development activities continued on the Tengiz Expansion project.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Malaysia</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ExxonMobil’s interests in production sharing contracts covered 0.2 million net acres offshore at year-end 2020. During the year, a total of 2.0 net development wells were completed. In 2020, ExxonMobil relinquished approximately 2.3 million net acres in three Sabah offshore blocks.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Qatar</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joint ventures with Qatar Petroleum, ExxonMobil’s net acreage totaled 65 thousand acres offshore at year-end 2020. ExxonMobil participated in 62.2 million tonnes per year gross liquefied natural gas capacity and 3.4 billion cubic feet per day of flowing gas capacity at year-end. During the year, a total of 0.3 net development well was completed. The Barzan project started up in 2020.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Russia</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ExxonMobil’s net acreage holdings in Sakhalin totaled 85 thousand offshore acres at year-end 2020. During the year, a total of 2.7 net exploration and development wells were completed.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Thailand</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ExxonMobil’s net onshore acreage in Thailand concessions totaled 16 thousand acres at year-end 2020. During the year, a total of 0.5 net exploration and development wells were completed.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Arab Emirates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ExxonMobil’s net acreage in the Abu Dhabi offshore Upper Zakum oil concession was 81 thousand acres at year-end 2020. During the year, a total of 1.7 net development wells were completed. The Upper Zakum 750 project started up in 2020 while commissioning continued on the final systems. Development activities continued on the Upper Zakum 1 MBD project.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 / OCEANIA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ExxonMobil’s net acreage totaled 1.8 million acres offshore and 10 thousand acres onshore at year-end 2020. During the year, a total of 3.8 net development wells were completed. Development activities continued on the West Barracouta project during the year.</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co-venturer-operated Gorgon Jansz liquefied natural gas (LNG) development consists of a subsea infrastructure for offshore production and transportation of the gas, a 15.6 million tonnes per year LNG facility and a 280 million cubic feet per day domestic gas plant located on Barrow Island, Western Australia. Development activities continued on the Gorgon Stage 2 project during the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Papua New Guinea</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ExxonMobil’s net acreage totaled 5.5 million acres, of which 3.3 million net acres were offshore at year-end 2020. During the year, a total of 0.8 net exploration and development wells were completed. In 2020, ExxonMobil relinquished approximately 1.4 million net onshore acres. The Papua New Guinea (PNG) liquefied natural gas integrated development includes gas production and processing facilities in the southern PNG Highlands, onshore and offshore pipelines, and a 6.9 million tonnes per year liquefied natural gas facility near Port Moresby.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WORLDWIDE EXPLORATION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year-end 2020, exploration activities were under way in several areas in which ExxonMobil has no established production operations and thus are not included above. A total of 29.8 million net acres were held at year-end 2020 and 0.7 net exploration wells were completed during the year in these countries.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Delivery Commitments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ExxonMobil sells crude oil and natural gas from its producing operations under a variety of contractual obligations, some of which may specify the delivery of a fixed and determinable quantity for periods longer than one year. ExxonMobil also enters into natural gas sales contracts where the source of the natural gas used to fulfill the contract can be a combination of our own production and the spot market. Worldwide, we are contractually committed to deliver approximately 31 million barrels of oil and 2,600 billion cubic feet of natural gas for the period from 2021 through 2023. We expect to fulfill the majority of these delivery commitments with production from our proved developed reserves. Any remaining commitments will be fulfilled with production from our proved undeveloped reserves and purchases on the open market as necessary.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19" w:name="page20"/>
    <w:bookmarkEnd w:id="19"/>
    <w:p>
      <w:pPr>
        <w:ind w:right="6820" w:firstLine="8"/>
        <w:spacing w:after="0" w:line="389"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Oil and Gas Properties, Wells, Operations and Acreage A. Gross and Net Productive Wells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40" w:type="dxa"/>
            <w:vAlign w:val="bottom"/>
            <w:gridSpan w:val="2"/>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Year-End 2020</w:t>
            </w: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60" w:type="dxa"/>
            <w:vAlign w:val="bottom"/>
            <w:gridSpan w:val="2"/>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Year-End 2019</w:t>
            </w:r>
          </w:p>
        </w:tc>
        <w:tc>
          <w:tcPr>
            <w:tcW w:w="1000" w:type="dxa"/>
            <w:vAlign w:val="bottom"/>
          </w:tcPr>
          <w:p>
            <w:pPr>
              <w:spacing w:after="0"/>
              <w:rPr>
                <w:sz w:val="16"/>
                <w:szCs w:val="16"/>
                <w:color w:val="auto"/>
              </w:rPr>
            </w:pPr>
          </w:p>
        </w:tc>
      </w:tr>
      <w:tr>
        <w:trPr>
          <w:trHeight w:val="37"/>
        </w:trPr>
        <w:tc>
          <w:tcPr>
            <w:tcW w:w="390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3900" w:type="dxa"/>
            <w:vAlign w:val="bottom"/>
          </w:tcPr>
          <w:p>
            <w:pPr>
              <w:spacing w:after="0"/>
              <w:rPr>
                <w:sz w:val="16"/>
                <w:szCs w:val="16"/>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Oil</w:t>
            </w: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20" w:type="dxa"/>
            <w:vAlign w:val="bottom"/>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w w:val="94"/>
              </w:rPr>
              <w:t>Gas</w:t>
            </w:r>
          </w:p>
        </w:tc>
        <w:tc>
          <w:tcPr>
            <w:tcW w:w="740" w:type="dxa"/>
            <w:vAlign w:val="bottom"/>
          </w:tcPr>
          <w:p>
            <w:pPr>
              <w:spacing w:after="0"/>
              <w:rPr>
                <w:sz w:val="16"/>
                <w:szCs w:val="16"/>
                <w:color w:val="auto"/>
              </w:rPr>
            </w:pPr>
          </w:p>
        </w:tc>
        <w:tc>
          <w:tcPr>
            <w:tcW w:w="1140" w:type="dxa"/>
            <w:vAlign w:val="bottom"/>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Oil</w:t>
            </w:r>
          </w:p>
        </w:tc>
        <w:tc>
          <w:tcPr>
            <w:tcW w:w="720" w:type="dxa"/>
            <w:vAlign w:val="bottom"/>
          </w:tcPr>
          <w:p>
            <w:pPr>
              <w:spacing w:after="0"/>
              <w:rPr>
                <w:sz w:val="16"/>
                <w:szCs w:val="16"/>
                <w:color w:val="auto"/>
              </w:rPr>
            </w:pPr>
          </w:p>
        </w:tc>
        <w:tc>
          <w:tcPr>
            <w:tcW w:w="1000" w:type="dxa"/>
            <w:vAlign w:val="bottom"/>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w w:val="94"/>
              </w:rPr>
              <w:t>Gas</w:t>
            </w:r>
          </w:p>
        </w:tc>
      </w:tr>
      <w:tr>
        <w:trPr>
          <w:trHeight w:val="23"/>
        </w:trPr>
        <w:tc>
          <w:tcPr>
            <w:tcW w:w="3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3900" w:type="dxa"/>
            <w:vAlign w:val="bottom"/>
          </w:tcPr>
          <w:p>
            <w:pPr>
              <w:spacing w:after="0"/>
              <w:rPr>
                <w:sz w:val="16"/>
                <w:szCs w:val="16"/>
                <w:color w:val="auto"/>
              </w:rPr>
            </w:pPr>
          </w:p>
        </w:tc>
        <w:tc>
          <w:tcPr>
            <w:tcW w:w="10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Net</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Net</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1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Net</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3"/>
        </w:trPr>
        <w:tc>
          <w:tcPr>
            <w:tcW w:w="3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4"/>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and Net Productive Wells</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3"/>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0"/>
        </w:trPr>
        <w:tc>
          <w:tcPr>
            <w:tcW w:w="3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19,631</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7,878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20,480</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12,195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20,559</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8,502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13,182</w:t>
            </w:r>
          </w:p>
        </w:tc>
      </w:tr>
      <w:tr>
        <w:trPr>
          <w:trHeight w:val="229"/>
        </w:trPr>
        <w:tc>
          <w:tcPr>
            <w:tcW w:w="3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Canada/Other Americas</w:t>
            </w:r>
          </w:p>
        </w:tc>
        <w:tc>
          <w:tcPr>
            <w:tcW w:w="108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4,754</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4,644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1,275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4,724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30"/>
        </w:trPr>
        <w:tc>
          <w:tcPr>
            <w:tcW w:w="3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Europe</w:t>
            </w:r>
          </w:p>
        </w:tc>
        <w:tc>
          <w:tcPr>
            <w:tcW w:w="108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559</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126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221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207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3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Africa</w:t>
            </w:r>
          </w:p>
        </w:tc>
        <w:tc>
          <w:tcPr>
            <w:tcW w:w="108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1,141</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432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456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3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Asia</w:t>
            </w:r>
          </w:p>
        </w:tc>
        <w:tc>
          <w:tcPr>
            <w:tcW w:w="108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974</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310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301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3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Australia/Oceania</w:t>
            </w:r>
          </w:p>
        </w:tc>
        <w:tc>
          <w:tcPr>
            <w:tcW w:w="10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540</w:t>
            </w:r>
          </w:p>
        </w:tc>
        <w:tc>
          <w:tcPr>
            <w:tcW w:w="8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102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1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38</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120</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8"/>
        </w:trPr>
        <w:tc>
          <w:tcPr>
            <w:tcW w:w="39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Consolidated Subsidiaries</w:t>
            </w:r>
          </w:p>
        </w:tc>
        <w:tc>
          <w:tcPr>
            <w:tcW w:w="108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27,599</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13,492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24,491</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13,817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28,921</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14,310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r>
      <w:tr>
        <w:trPr>
          <w:trHeight w:val="476"/>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3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12,368</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4,851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417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12,947</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5,328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29"/>
        </w:trPr>
        <w:tc>
          <w:tcPr>
            <w:tcW w:w="3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Europe</w:t>
            </w:r>
          </w:p>
        </w:tc>
        <w:tc>
          <w:tcPr>
            <w:tcW w:w="108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57</w:t>
            </w: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172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4"/>
        </w:trPr>
        <w:tc>
          <w:tcPr>
            <w:tcW w:w="39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Asia</w:t>
            </w:r>
          </w:p>
        </w:tc>
        <w:tc>
          <w:tcPr>
            <w:tcW w:w="10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217</w:t>
            </w:r>
          </w:p>
        </w:tc>
        <w:tc>
          <w:tcPr>
            <w:tcW w:w="8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54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1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32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49</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39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Equity Companies</w:t>
            </w:r>
          </w:p>
        </w:tc>
        <w:tc>
          <w:tcPr>
            <w:tcW w:w="10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12,642</w:t>
            </w:r>
          </w:p>
        </w:tc>
        <w:tc>
          <w:tcPr>
            <w:tcW w:w="8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4,925</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11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621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13,198</w:t>
            </w: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5,397</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and net productive wells</w:t>
            </w:r>
          </w:p>
        </w:tc>
        <w:tc>
          <w:tcPr>
            <w:tcW w:w="10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40,241</w:t>
            </w:r>
          </w:p>
        </w:tc>
        <w:tc>
          <w:tcPr>
            <w:tcW w:w="8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18,417</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29,423</w:t>
            </w:r>
          </w:p>
        </w:tc>
        <w:tc>
          <w:tcPr>
            <w:tcW w:w="11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14,438</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42,119</w:t>
            </w: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19,707</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31,271</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15,667</w:t>
            </w:r>
          </w:p>
        </w:tc>
      </w:tr>
    </w:tbl>
    <w:p>
      <w:pPr>
        <w:spacing w:after="0" w:line="200" w:lineRule="exact"/>
        <w:rPr>
          <w:sz w:val="20"/>
          <w:szCs w:val="20"/>
          <w:color w:val="auto"/>
        </w:rPr>
      </w:pPr>
    </w:p>
    <w:p>
      <w:pPr>
        <w:spacing w:after="0" w:line="3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25,595 gross and 22,239 net operated wells at year-end 2020 and 27,532 gross and 23,857 net operated wells at year-end 2019. The number of wells with multiple completions was 1,067 gross in 2020 and 1,023 gross in 2019.</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B. Gross and Net Developed Acreage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Year-End 2020</w:t>
            </w:r>
          </w:p>
        </w:tc>
        <w:tc>
          <w:tcPr>
            <w:tcW w:w="9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Year-End 2019</w:t>
            </w:r>
          </w:p>
        </w:tc>
        <w:tc>
          <w:tcPr>
            <w:tcW w:w="720" w:type="dxa"/>
            <w:vAlign w:val="bottom"/>
          </w:tcPr>
          <w:p>
            <w:pPr>
              <w:spacing w:after="0"/>
              <w:rPr>
                <w:sz w:val="16"/>
                <w:szCs w:val="16"/>
                <w:color w:val="auto"/>
              </w:rPr>
            </w:pPr>
          </w:p>
        </w:tc>
      </w:tr>
      <w:tr>
        <w:trPr>
          <w:trHeight w:val="37"/>
        </w:trPr>
        <w:tc>
          <w:tcPr>
            <w:tcW w:w="634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86"/>
        </w:trPr>
        <w:tc>
          <w:tcPr>
            <w:tcW w:w="6340" w:type="dxa"/>
            <w:vAlign w:val="bottom"/>
          </w:tcPr>
          <w:p>
            <w:pPr>
              <w:spacing w:after="0"/>
              <w:rPr>
                <w:sz w:val="16"/>
                <w:szCs w:val="16"/>
                <w:color w:val="auto"/>
              </w:rPr>
            </w:pPr>
          </w:p>
        </w:tc>
        <w:tc>
          <w:tcPr>
            <w:tcW w:w="1680" w:type="dxa"/>
            <w:vAlign w:val="bottom"/>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2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Net</w:t>
            </w:r>
          </w:p>
        </w:tc>
        <w:tc>
          <w:tcPr>
            <w:tcW w:w="1580" w:type="dxa"/>
            <w:vAlign w:val="bottom"/>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3"/>
        </w:trPr>
        <w:tc>
          <w:tcPr>
            <w:tcW w:w="6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6"/>
        </w:trPr>
        <w:tc>
          <w:tcPr>
            <w:tcW w:w="63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500" w:type="dxa"/>
            <w:vAlign w:val="bottom"/>
            <w:gridSpan w:val="2"/>
          </w:tcPr>
          <w:p>
            <w:pPr>
              <w:jc w:val="right"/>
              <w:ind w:right="993"/>
              <w:spacing w:after="0"/>
              <w:rPr>
                <w:sz w:val="20"/>
                <w:szCs w:val="20"/>
                <w:color w:val="auto"/>
              </w:rPr>
            </w:pPr>
            <w:r>
              <w:rPr>
                <w:rFonts w:ascii="Times New Roman" w:cs="Times New Roman" w:eastAsia="Times New Roman" w:hAnsi="Times New Roman"/>
                <w:sz w:val="16"/>
                <w:szCs w:val="16"/>
                <w:i w:val="1"/>
                <w:iCs w:val="1"/>
                <w:color w:val="auto"/>
              </w:rPr>
              <w:t>(thousands of acres)</w:t>
            </w:r>
          </w:p>
        </w:tc>
        <w:tc>
          <w:tcPr>
            <w:tcW w:w="720" w:type="dxa"/>
            <w:vAlign w:val="bottom"/>
          </w:tcPr>
          <w:p>
            <w:pPr>
              <w:spacing w:after="0"/>
              <w:rPr>
                <w:sz w:val="17"/>
                <w:szCs w:val="17"/>
                <w:color w:val="auto"/>
              </w:rPr>
            </w:pPr>
          </w:p>
        </w:tc>
      </w:tr>
      <w:tr>
        <w:trPr>
          <w:trHeight w:val="23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and Net Developed Acreage</w:t>
            </w: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4"/>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1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8"/>
        </w:trPr>
        <w:tc>
          <w:tcPr>
            <w:tcW w:w="6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States</w:t>
            </w:r>
          </w:p>
        </w:tc>
        <w:tc>
          <w:tcPr>
            <w:tcW w:w="168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12,834</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7,971</w:t>
            </w: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13,283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w:t>
            </w:r>
          </w:p>
        </w:tc>
      </w:tr>
      <w:tr>
        <w:trPr>
          <w:trHeight w:val="232"/>
        </w:trPr>
        <w:tc>
          <w:tcPr>
            <w:tcW w:w="6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xml:space="preserve">Canada/Other Americas </w:t>
            </w:r>
            <w:r>
              <w:rPr>
                <w:rFonts w:ascii="Times New Roman" w:cs="Times New Roman" w:eastAsia="Times New Roman" w:hAnsi="Times New Roman"/>
                <w:sz w:val="18"/>
                <w:szCs w:val="18"/>
                <w:i w:val="1"/>
                <w:iCs w:val="1"/>
                <w:color w:val="auto"/>
              </w:rPr>
              <w:t>(1)</w:t>
            </w:r>
          </w:p>
        </w:tc>
        <w:tc>
          <w:tcPr>
            <w:tcW w:w="168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2,944</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2,071</w:t>
            </w: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3,020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29"/>
        </w:trPr>
        <w:tc>
          <w:tcPr>
            <w:tcW w:w="6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Europe</w:t>
            </w:r>
          </w:p>
        </w:tc>
        <w:tc>
          <w:tcPr>
            <w:tcW w:w="168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2,231</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1,189</w:t>
            </w: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2,229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r>
      <w:tr>
        <w:trPr>
          <w:trHeight w:val="229"/>
        </w:trPr>
        <w:tc>
          <w:tcPr>
            <w:tcW w:w="6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Africa</w:t>
            </w:r>
          </w:p>
        </w:tc>
        <w:tc>
          <w:tcPr>
            <w:tcW w:w="168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2,409</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818</w:t>
            </w: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2,409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30"/>
        </w:trPr>
        <w:tc>
          <w:tcPr>
            <w:tcW w:w="6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Asia</w:t>
            </w:r>
          </w:p>
        </w:tc>
        <w:tc>
          <w:tcPr>
            <w:tcW w:w="168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1,938</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561</w:t>
            </w: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1,938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34"/>
        </w:trPr>
        <w:tc>
          <w:tcPr>
            <w:tcW w:w="6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Australia/Oceania</w:t>
            </w:r>
          </w:p>
        </w:tc>
        <w:tc>
          <w:tcPr>
            <w:tcW w:w="16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rPr>
              <w:t>3,262</w:t>
            </w:r>
          </w:p>
        </w:tc>
        <w:tc>
          <w:tcPr>
            <w:tcW w:w="9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1,068</w:t>
            </w:r>
          </w:p>
        </w:tc>
        <w:tc>
          <w:tcPr>
            <w:tcW w:w="15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rPr>
              <w:t>3,262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28"/>
        </w:trPr>
        <w:tc>
          <w:tcPr>
            <w:tcW w:w="6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Consolidated Subsidiaries</w:t>
            </w:r>
          </w:p>
        </w:tc>
        <w:tc>
          <w:tcPr>
            <w:tcW w:w="168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25,618</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13,678</w:t>
            </w: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26,141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13,840</w:t>
            </w:r>
          </w:p>
        </w:tc>
      </w:tr>
      <w:tr>
        <w:trPr>
          <w:trHeight w:val="476"/>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9"/>
        </w:trPr>
        <w:tc>
          <w:tcPr>
            <w:tcW w:w="6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States</w:t>
            </w:r>
          </w:p>
        </w:tc>
        <w:tc>
          <w:tcPr>
            <w:tcW w:w="168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928</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208</w:t>
            </w: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926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6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Europe</w:t>
            </w:r>
          </w:p>
        </w:tc>
        <w:tc>
          <w:tcPr>
            <w:tcW w:w="1680" w:type="dxa"/>
            <w:vAlign w:val="bottom"/>
          </w:tcPr>
          <w:p>
            <w:pPr>
              <w:jc w:val="right"/>
              <w:ind w:right="533"/>
              <w:spacing w:after="0"/>
              <w:rPr>
                <w:sz w:val="20"/>
                <w:szCs w:val="20"/>
                <w:color w:val="auto"/>
              </w:rPr>
            </w:pPr>
            <w:r>
              <w:rPr>
                <w:rFonts w:ascii="Times New Roman" w:cs="Times New Roman" w:eastAsia="Times New Roman" w:hAnsi="Times New Roman"/>
                <w:sz w:val="18"/>
                <w:szCs w:val="18"/>
                <w:color w:val="auto"/>
              </w:rPr>
              <w:t>3,667</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1,118</w:t>
            </w:r>
          </w:p>
        </w:tc>
        <w:tc>
          <w:tcPr>
            <w:tcW w:w="158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4,069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34"/>
        </w:trPr>
        <w:tc>
          <w:tcPr>
            <w:tcW w:w="63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Asia</w:t>
            </w:r>
          </w:p>
        </w:tc>
        <w:tc>
          <w:tcPr>
            <w:tcW w:w="16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rPr>
              <w:t>701</w:t>
            </w:r>
          </w:p>
        </w:tc>
        <w:tc>
          <w:tcPr>
            <w:tcW w:w="9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160</w:t>
            </w:r>
          </w:p>
        </w:tc>
        <w:tc>
          <w:tcPr>
            <w:tcW w:w="15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rPr>
              <w:t>628</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63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Equity Companies</w:t>
            </w:r>
          </w:p>
        </w:tc>
        <w:tc>
          <w:tcPr>
            <w:tcW w:w="16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rPr>
              <w:t>5,296</w:t>
            </w:r>
          </w:p>
        </w:tc>
        <w:tc>
          <w:tcPr>
            <w:tcW w:w="9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1,486</w:t>
            </w:r>
          </w:p>
        </w:tc>
        <w:tc>
          <w:tcPr>
            <w:tcW w:w="15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rPr>
              <w:t>5,623</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w:t>
            </w: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and net developed acreage</w:t>
            </w:r>
          </w:p>
        </w:tc>
        <w:tc>
          <w:tcPr>
            <w:tcW w:w="16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rPr>
              <w:t>30,914</w:t>
            </w:r>
          </w:p>
        </w:tc>
        <w:tc>
          <w:tcPr>
            <w:tcW w:w="9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15,164</w:t>
            </w:r>
          </w:p>
        </w:tc>
        <w:tc>
          <w:tcPr>
            <w:tcW w:w="15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rPr>
              <w:t>31,764</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15,482</w:t>
            </w:r>
          </w:p>
        </w:tc>
      </w:tr>
    </w:tbl>
    <w:p>
      <w:pPr>
        <w:spacing w:after="0" w:line="331" w:lineRule="exact"/>
        <w:rPr>
          <w:sz w:val="20"/>
          <w:szCs w:val="20"/>
          <w:color w:val="auto"/>
        </w:rPr>
      </w:pPr>
    </w:p>
    <w:p>
      <w:pPr>
        <w:ind w:left="340" w:hanging="332"/>
        <w:spacing w:after="0" w:line="284" w:lineRule="auto"/>
        <w:tabs>
          <w:tab w:leader="none" w:pos="334"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developed acreage in Other Americas of 490 gross and 311 net thousands of acres for 2020 and 472 gross and 295 net thousands of acres for 2019.</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Separate acreage data for oil and gas are not maintained because, in many instances, both are produced from the same acreage.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Gross and Net Undeveloped Acreage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Year-End 2020</w:t>
            </w:r>
          </w:p>
        </w:tc>
        <w:tc>
          <w:tcPr>
            <w:tcW w:w="9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Year-End 2019</w:t>
            </w:r>
          </w:p>
        </w:tc>
        <w:tc>
          <w:tcPr>
            <w:tcW w:w="720" w:type="dxa"/>
            <w:vAlign w:val="bottom"/>
          </w:tcPr>
          <w:p>
            <w:pPr>
              <w:spacing w:after="0"/>
              <w:rPr>
                <w:sz w:val="16"/>
                <w:szCs w:val="16"/>
                <w:color w:val="auto"/>
              </w:rPr>
            </w:pPr>
          </w:p>
        </w:tc>
      </w:tr>
      <w:tr>
        <w:trPr>
          <w:trHeight w:val="37"/>
        </w:trPr>
        <w:tc>
          <w:tcPr>
            <w:tcW w:w="632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86"/>
        </w:trPr>
        <w:tc>
          <w:tcPr>
            <w:tcW w:w="6320" w:type="dxa"/>
            <w:vAlign w:val="bottom"/>
          </w:tcPr>
          <w:p>
            <w:pPr>
              <w:spacing w:after="0"/>
              <w:rPr>
                <w:sz w:val="16"/>
                <w:szCs w:val="16"/>
                <w:color w:val="auto"/>
              </w:rPr>
            </w:pPr>
          </w:p>
        </w:tc>
        <w:tc>
          <w:tcPr>
            <w:tcW w:w="1700" w:type="dxa"/>
            <w:vAlign w:val="bottom"/>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2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Net</w:t>
            </w:r>
          </w:p>
        </w:tc>
        <w:tc>
          <w:tcPr>
            <w:tcW w:w="1580" w:type="dxa"/>
            <w:vAlign w:val="bottom"/>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3"/>
        </w:trPr>
        <w:tc>
          <w:tcPr>
            <w:tcW w:w="6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6"/>
        </w:trPr>
        <w:tc>
          <w:tcPr>
            <w:tcW w:w="6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500" w:type="dxa"/>
            <w:vAlign w:val="bottom"/>
            <w:gridSpan w:val="2"/>
          </w:tcPr>
          <w:p>
            <w:pPr>
              <w:jc w:val="right"/>
              <w:ind w:right="992"/>
              <w:spacing w:after="0"/>
              <w:rPr>
                <w:sz w:val="20"/>
                <w:szCs w:val="20"/>
                <w:color w:val="auto"/>
              </w:rPr>
            </w:pPr>
            <w:r>
              <w:rPr>
                <w:rFonts w:ascii="Times New Roman" w:cs="Times New Roman" w:eastAsia="Times New Roman" w:hAnsi="Times New Roman"/>
                <w:sz w:val="16"/>
                <w:szCs w:val="16"/>
                <w:i w:val="1"/>
                <w:iCs w:val="1"/>
                <w:color w:val="auto"/>
              </w:rPr>
              <w:t>(thousands of acres)</w:t>
            </w:r>
          </w:p>
        </w:tc>
        <w:tc>
          <w:tcPr>
            <w:tcW w:w="720" w:type="dxa"/>
            <w:vAlign w:val="bottom"/>
          </w:tcPr>
          <w:p>
            <w:pPr>
              <w:spacing w:after="0"/>
              <w:rPr>
                <w:sz w:val="17"/>
                <w:szCs w:val="17"/>
                <w:color w:val="auto"/>
              </w:rPr>
            </w:pPr>
          </w:p>
        </w:tc>
      </w:tr>
      <w:tr>
        <w:trPr>
          <w:trHeight w:val="23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and Net Undeveloped Acreage</w:t>
            </w:r>
          </w:p>
        </w:tc>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4"/>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8"/>
        </w:trPr>
        <w:tc>
          <w:tcPr>
            <w:tcW w:w="6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States</w:t>
            </w:r>
          </w:p>
        </w:tc>
        <w:tc>
          <w:tcPr>
            <w:tcW w:w="17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6,969</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2,967</w:t>
            </w:r>
          </w:p>
        </w:tc>
        <w:tc>
          <w:tcPr>
            <w:tcW w:w="15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7,123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w:t>
            </w:r>
          </w:p>
        </w:tc>
      </w:tr>
      <w:tr>
        <w:trPr>
          <w:trHeight w:val="232"/>
        </w:trPr>
        <w:tc>
          <w:tcPr>
            <w:tcW w:w="6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xml:space="preserve">Canada/Other Americas </w:t>
            </w:r>
            <w:r>
              <w:rPr>
                <w:rFonts w:ascii="Times New Roman" w:cs="Times New Roman" w:eastAsia="Times New Roman" w:hAnsi="Times New Roman"/>
                <w:sz w:val="18"/>
                <w:szCs w:val="18"/>
                <w:i w:val="1"/>
                <w:iCs w:val="1"/>
                <w:color w:val="auto"/>
              </w:rPr>
              <w:t>(1)</w:t>
            </w:r>
          </w:p>
        </w:tc>
        <w:tc>
          <w:tcPr>
            <w:tcW w:w="17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37,833</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18,985</w:t>
            </w:r>
          </w:p>
        </w:tc>
        <w:tc>
          <w:tcPr>
            <w:tcW w:w="15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36,509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17,950</w:t>
            </w:r>
          </w:p>
        </w:tc>
      </w:tr>
      <w:tr>
        <w:trPr>
          <w:trHeight w:val="230"/>
        </w:trPr>
        <w:tc>
          <w:tcPr>
            <w:tcW w:w="6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Europe</w:t>
            </w:r>
          </w:p>
        </w:tc>
        <w:tc>
          <w:tcPr>
            <w:tcW w:w="17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14,802</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6,018</w:t>
            </w:r>
          </w:p>
        </w:tc>
        <w:tc>
          <w:tcPr>
            <w:tcW w:w="15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18,212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w:t>
            </w:r>
          </w:p>
        </w:tc>
      </w:tr>
      <w:tr>
        <w:trPr>
          <w:trHeight w:val="229"/>
        </w:trPr>
        <w:tc>
          <w:tcPr>
            <w:tcW w:w="6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Africa</w:t>
            </w:r>
          </w:p>
        </w:tc>
        <w:tc>
          <w:tcPr>
            <w:tcW w:w="17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35,956</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24,558</w:t>
            </w:r>
          </w:p>
        </w:tc>
        <w:tc>
          <w:tcPr>
            <w:tcW w:w="15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56,049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32,449</w:t>
            </w:r>
          </w:p>
        </w:tc>
      </w:tr>
      <w:tr>
        <w:trPr>
          <w:trHeight w:val="230"/>
        </w:trPr>
        <w:tc>
          <w:tcPr>
            <w:tcW w:w="6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Asia</w:t>
            </w:r>
          </w:p>
        </w:tc>
        <w:tc>
          <w:tcPr>
            <w:tcW w:w="17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888</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280</w:t>
            </w:r>
          </w:p>
        </w:tc>
        <w:tc>
          <w:tcPr>
            <w:tcW w:w="15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6,880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w:t>
            </w:r>
          </w:p>
        </w:tc>
      </w:tr>
      <w:tr>
        <w:trPr>
          <w:trHeight w:val="234"/>
        </w:trPr>
        <w:tc>
          <w:tcPr>
            <w:tcW w:w="6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Australia/Oceania</w:t>
            </w:r>
          </w:p>
        </w:tc>
        <w:tc>
          <w:tcPr>
            <w:tcW w:w="17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12,971</w:t>
            </w:r>
          </w:p>
        </w:tc>
        <w:tc>
          <w:tcPr>
            <w:tcW w:w="9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6,265</w:t>
            </w:r>
          </w:p>
        </w:tc>
        <w:tc>
          <w:tcPr>
            <w:tcW w:w="15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14,773</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7,689</w:t>
            </w:r>
          </w:p>
        </w:tc>
      </w:tr>
      <w:tr>
        <w:trPr>
          <w:trHeight w:val="228"/>
        </w:trPr>
        <w:tc>
          <w:tcPr>
            <w:tcW w:w="6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Consolidated Subsidiaries</w:t>
            </w:r>
          </w:p>
        </w:tc>
        <w:tc>
          <w:tcPr>
            <w:tcW w:w="17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109,419</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59,073</w:t>
            </w:r>
          </w:p>
        </w:tc>
        <w:tc>
          <w:tcPr>
            <w:tcW w:w="15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139,546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71,764</w:t>
            </w:r>
          </w:p>
        </w:tc>
      </w:tr>
      <w:tr>
        <w:trPr>
          <w:trHeight w:val="476"/>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6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States</w:t>
            </w:r>
          </w:p>
        </w:tc>
        <w:tc>
          <w:tcPr>
            <w:tcW w:w="17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160</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64</w:t>
            </w:r>
          </w:p>
        </w:tc>
        <w:tc>
          <w:tcPr>
            <w:tcW w:w="15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189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6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Europe</w:t>
            </w:r>
          </w:p>
        </w:tc>
        <w:tc>
          <w:tcPr>
            <w:tcW w:w="17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765</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214</w:t>
            </w:r>
          </w:p>
        </w:tc>
        <w:tc>
          <w:tcPr>
            <w:tcW w:w="15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366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6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Africa</w:t>
            </w:r>
          </w:p>
        </w:tc>
        <w:tc>
          <w:tcPr>
            <w:tcW w:w="170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596</w:t>
            </w:r>
          </w:p>
        </w:tc>
        <w:tc>
          <w:tcPr>
            <w:tcW w:w="9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149</w:t>
            </w:r>
          </w:p>
        </w:tc>
        <w:tc>
          <w:tcPr>
            <w:tcW w:w="15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596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4"/>
        </w:trPr>
        <w:tc>
          <w:tcPr>
            <w:tcW w:w="63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Asia</w:t>
            </w:r>
          </w:p>
        </w:tc>
        <w:tc>
          <w:tcPr>
            <w:tcW w:w="17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73</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3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Equity Companies</w:t>
            </w:r>
          </w:p>
        </w:tc>
        <w:tc>
          <w:tcPr>
            <w:tcW w:w="17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1,521</w:t>
            </w:r>
          </w:p>
        </w:tc>
        <w:tc>
          <w:tcPr>
            <w:tcW w:w="9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427</w:t>
            </w:r>
          </w:p>
        </w:tc>
        <w:tc>
          <w:tcPr>
            <w:tcW w:w="15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1,224</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and net undeveloped acreage</w:t>
            </w:r>
          </w:p>
        </w:tc>
        <w:tc>
          <w:tcPr>
            <w:tcW w:w="17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color w:val="auto"/>
              </w:rPr>
              <w:t>110,940</w:t>
            </w:r>
          </w:p>
        </w:tc>
        <w:tc>
          <w:tcPr>
            <w:tcW w:w="9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59,500</w:t>
            </w:r>
          </w:p>
        </w:tc>
        <w:tc>
          <w:tcPr>
            <w:tcW w:w="15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140,770</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72,096</w:t>
            </w:r>
          </w:p>
        </w:tc>
      </w:tr>
    </w:tbl>
    <w:p>
      <w:pPr>
        <w:spacing w:after="0" w:line="371" w:lineRule="exact"/>
        <w:rPr>
          <w:sz w:val="20"/>
          <w:szCs w:val="20"/>
          <w:color w:val="auto"/>
        </w:rPr>
      </w:pPr>
    </w:p>
    <w:p>
      <w:pPr>
        <w:ind w:left="340" w:hanging="332"/>
        <w:spacing w:after="0" w:line="284" w:lineRule="auto"/>
        <w:tabs>
          <w:tab w:leader="none" w:pos="334"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undeveloped acreage in Other Americas of 26,084 gross and 12,471 net thousands of acres for 2020 and 25,327 gross and 12,065 net thousands of acres for 2019.</w:t>
      </w:r>
    </w:p>
    <w:p>
      <w:pPr>
        <w:sectPr>
          <w:pgSz w:w="11900" w:h="16838" w:orient="portrait"/>
          <w:cols w:equalWidth="0" w:num="1">
            <w:col w:w="11240"/>
          </w:cols>
          <w:pgMar w:left="320" w:top="1076"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type w:val="continuous"/>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18"/>
          <w:szCs w:val="18"/>
          <w:color w:val="auto"/>
        </w:rPr>
        <w:t>ExxonMobil’s investment in developed and undeveloped acreage is comprised of numerous concessions, blocks, and leases. The terms and conditions under which the Corporation maintains exploration and/or production rights to the acreage are property-specific, contractually defined, and vary significantly from property to property. Work programs are designed to ensure that the exploration potential of any property is fully evaluated before expiration. In some instances, the Corporation may elect to relinquish acreage in advance of the contractual expiration date if the evaluation process is complete and there is not a business basis for extension. In cases where additional time may be required to fully evaluate acreage, the Corporation has generally been successful in obtaining extensions. The scheduled expiration of leases and concessions for undeveloped acreage over the next three years is not expected to have a material adverse impact on the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Summary of Acreage Terms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Oil and gas exploration and production rights are acquired from mineral interest owners through a lease. Mineral interest owners include the Federal and State governments, as well as private mineral interest owners. Leases typically have an exploration period ranging from one to ten years, and a production period that normally remains in effect until production ceases. Under certain circumstances, a lease may be held beyond its exploration term even if production has not commenced. In some instances regarding private property, a “fee interest” is acquired where the underlying mineral interests are owned outright.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CANADA / OTHER AMERICAS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Exploration licenses or leases in onshore areas are acquired for varying periods of time with renewals or extensions possible. These licenses or leases entitle the holder to continue existing licenses or leases upon completing specified work. In general, these license and lease agreements are held as long as there is proven production capability on the licenses and leases. Exploration licenses in offshore eastern Canada and the Beaufort Sea are held by work commitments of various amounts and rentals. They are valid for a term of nine years. Offshore production licenses are valid for 25 years, with rights of extension for continued production. Significant discovery licenses in the offshore, relating to currently undeveloped discoveries, do not have a definite term.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Argentina</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Federal Hydrocarbon Law was amended in 2014. Pursuant to the amended law, the production term for an onshore unconventional concession is 35 years, and 25 years for a conventional concession, with unlimited 10-year extensions possible, once a field has been developed. In 2019, the government granted three offshore exploration licenses, with terms of eight years, divided into two exploration periods of four years, with an optional extension of five years for each license. Two onshore exploration concessions were initially granted prior to the amendment and are governed under Provincial Law with expiration terms through 2024.</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Guyana</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Petroleum (Exploration and Production) Act authorizes the government of Guyana to grant petroleum prospecting and production licenses and to enter into petroleum agreements for the exploration and production of hydrocarbons. Petroleum agreements provide for an exploration period of up to 10 years and a production period of 20 years, with a 10-year extension.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Germany</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Exploration concessions are granted for an initial maximum period of five years, with an unlimited number of extensions up to three years each. Extensions are subject to specific minimum work commitments. Production licenses are normally granted for 20 to 25 years with multiple possible extensions subject to production on the license.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Netherlands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Mining Law, effective January 1, 2003, exploration and production licenses for both onshore and offshore areas are issued for a period as explicitly defined in the license. The term is based on the period of time necessary to perform the activities for which the license is issued. License conditions are stipulated in the license and are based on the Mining Law.</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Production rights granted prior to January 1, 2003, remain subject to their existing terms, and differ slightly for onshore and offshore areas. Onshore production licenses issued prior to 1988 were indefinite; from 1988 they were issued for a period as explicitly defined in the license, ranging from 35 to 45 years. Offshore production licenses issued before 1976 were issued for a fixed period of 40 years; from 1976 they were again issued for a period as explicitly defined in the license, ranging from 15 to 40 years.</w:t>
      </w:r>
    </w:p>
    <w:p>
      <w:pPr>
        <w:sectPr>
          <w:pgSz w:w="11900" w:h="16838" w:orient="portrait"/>
          <w:cols w:equalWidth="0" w:num="1">
            <w:col w:w="11240"/>
          </w:cols>
          <w:pgMar w:left="320" w:top="972"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Acreage terms are fixed by the government and are periodically changed. For example, many of the early licenses issued under the first four licensing rounds provided an initial term of six years with relinquishment of at least one-half of the original area at the end of the initial term, subject to extension for a further 40 years. At the end of any such 40-year term, licenses may continue in producing areas until cessation of production; or licenses may continue in development areas for periods agreed on a case-by-case basis until they become producing areas; or licenses terminate in all other areas. The majority of traditional licenses currently issued have an initial exploration term of four years with a second term extension of four years, and a final production term of 18 years, with a mandatory relinquishment of 50 percent of the acreage after the initial term and of all acreage that is not covered by a development plan at the end of the second term.</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Terms for exploration acreage in technically challenged areas are governed by frontier production licenses, generally covering a larger initial area than traditional licenses, with an initial exploration term of six or nine years with a second term extension of six years, and a final production term of 18 years, with relinquishment of 75 percent of the original area after three years and 50 percent of the remaining acreage after the next three years. Innovate licenses issued replace traditional and frontier licenses and offer greater flexibility with respect to periods and work program commitments.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AFRICA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Angola</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Exploration and production activities are governed by either production sharing agreements or other contracts with initial exploration terms ranging from three to four years with options to extend from one to five years. The production periods range from 20 to 30 years, and the agreements generally provide for negotiated extensions.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Chad</w:t>
      </w:r>
    </w:p>
    <w:p>
      <w:pPr>
        <w:spacing w:after="0" w:line="1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Exploration permits are issued for a period of five years, and are renewable for one or two further five-year periods. The terms and conditions of the permits, including relinquishment obligations, are specified in a negotiated convention. The production term is 30 years and in 2017 was extended by 20 years to 2050.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Equatorial Guinea</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Exploration, development and production activities are governed by production sharing contracts (PSCs) negotiated with the State Ministry of Mines and Hydrocarbons. A new PSC was ratified in 2018; the initial exploration period is five years for oil and gas, with multi-year extensions available at the discretion of the Ministry and limited relinquishments in the absence of commercial discoveries. The production period for crude oil ranges from 25 to 30 years, while the production period for natural gas ranges from 25 to 50 years.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Mozambique</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Exploration and production activities are generally governed by concession contracts with the Government of the Republic of Mozambique, represented by the Ministry of Mineral Resources and Energy. An interest in Area 4 offshore Mozambique was acquired in 2017. Terms for Area 4 are governed by the Exploration and Production Concession Contract (EPCC) for Area 4 Offshore of the Rovuma Block. The EPCC expires 30 years after an approved plan of development becomes effective for a given discovery area.</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2018, an interest was acquired in offshore blocks, A5-B, Z5-C and Z5-D. Terms for the three blocks are governed by their respective EPCCs, which have an initial exploration phase that expires in 2022 with the possibility of two additional exploration phases expiring in 2024 and 2026. The EPCCs provide a development and production period that expires 30 years after the approval of a plan of development.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Nigeria</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Exploration and production activities in the deepwater offshore areas are typically governed by production sharing contracts (PSCs) with the national oil company, the Nigerian National Petroleum Corporation (NNPC). NNPC typically holds the underlying Oil Prospecting License (OPL) and any resulting Oil Mining Lease (OML). The terms of the PSCs are generally 30 years, including a 10-year exploration period (an initial exploration phase that can be divided into multiple optional periods) covered by an OPL. Upon commercial discovery, an OPL may be converted to an OML. Partial relinquishment is required under the PSC at the end of the 10-year exploration period, and OMLs have a 20-year production period that may be extended.</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exploration activities are carried out in deepwater by joint ventures with local companies holding interests in an OPL. OPLs in deepwater offshore areas are valid for 10 years, while in all other areas the licenses are for five years. Demonstrating a commercial discovery is the basis for conversion of an OPL to an OML.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OMLs granted prior to the 1969 Petroleum Act (i.e., under the Mineral Oils Act 1914, repealed by the 1969 Petroleum Act) were for 30 years onshore and 40 years in offshore areas and have been renewed, effective December 1, 2008, for a further period of 20 years, with a further renewal option of 20 years. Operations under these pre-1969 OMLs are conducted under a joint venture agreement with NNPC rather than a PSC. Commercial terms applicable to the existing joint venture oil production are defined by the Petroleum Profits Tax Act.</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OMLs granted under the 1969 Petroleum Act, which include all deepwater OMLs, have a maximum term of 20 years without distinction for onshore or offshore location and are renewable, upon 12-months written notice, for another period of 20 years. OMLs not held by NNPC are also subject to a mandatory 50-percent relinquishment after the first 10 years of their duration.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ASIA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Azerbaijan</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production sharing agreement (PSA) for the development of the Azeri-Chirag-Gunashli field was established for an initial period of 30 years starting from the PSA execution date in 1994. The PSA was amended in September 2017 to extend the term by 25 years to 2049.</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exploration and production activities are governed by PSAs negotiated with the national oil company of Azerbaijan. The exploration period typically consists of three or four years with the possibility of a one to three-year extension. The production period, which includes development, is for 25 years or 35 years with the possibility of one or two five-year extensions.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Indonesia</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Exploration and production activities in Indonesia are generally governed by cooperation contracts, usually in the form of a production sharing contract (PSC), negotiated with BPMIGAS, a government agency established in 2002 to manage upstream oil and gas activities. In 2012, Indonesia’s Constitutional Court ruled certain articles of law relating to BPMIGAS to be unconstitutional, but stated that all existing PSCs signed with BPMIGAS should remain in force until their expiry, and the functions and duties previously performed by BPMIGAS are to be carried out by the relevant Ministry of the Government of Indonesia until the promulgation of a new oil and gas law. By presidential decree, SKKMIGAS became the interim successor to BPMIGAS. The current PSCs have an exploration period of six years, which can be extended up to 10 years, and an exploitation period of 20 years. PSCs generally require the contractor to relinquish 10 to 20 percent of the contract area after three years and generally allow the contractor to retain no more than 50 to 80 percent of the original contract area after six years, depending on the acreage and terms.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Iraq</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Development and production activities in the state-owned oil and gas fields are governed by contracts with regional oil companies of the Iraqi Ministry of Oil. An ExxonMobil affiliate entered into a contract with Basra Oil Company of the Iraqi Ministry of Oil for the rights to participate in the development and production activities of the West Qurna Phase I oil and gas field effective March 1, 2010. The term of the contract is 20 years with the right to extend for five years. The contract provides for cost recovery plus per-barrel fees for incremental production above specified levels.</w:t>
      </w:r>
    </w:p>
    <w:p>
      <w:pPr>
        <w:spacing w:after="0" w:line="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Exploration and production activities in the Kurdistan Region of Iraq are governed by production sharing contracts (PSCs) negotiated with the regional government of Kurdistan in 2011. The exploration term is for five years, with extensions available as provided by the PSCs and at the discretion of the regional government of Kurdistan. Current PSCs remain in effect by agreement of the regional government to allow additional time for exploration or evaluation of commerciality. The production period is 20 years with the right to extend for five years.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Kazakhstan</w:t>
      </w:r>
    </w:p>
    <w:p>
      <w:pPr>
        <w:spacing w:after="0" w:line="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Onshore exploration and production activities are governed by the production license, exploration license, and joint venture agreements negotiated with the Republic of Kazakhstan. Existing production operations have a 40-year production period that commenced in 1993.</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Offshore exploration and production activities are governed by a production sharing agreement negotiated with the Republic of Kazakhstan. The exploration period is six years followed by separate appraisal periods for each discovery. The production period for each discovery, which includes development, is 20 years from the date of declaration of commerciality with the possibility of two 10-year extensions.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Malaysia</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Production activities are governed by production sharing contracts (PSCs) negotiated with the national oil company. The PSCs have production terms of 25 years. Extensions are generally subject to the national oil company’s prior written approval.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Qatar</w:t>
      </w:r>
    </w:p>
    <w:p>
      <w:pPr>
        <w:spacing w:after="0" w:line="1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State of Qatar grants gas production development project rights to develop and supply gas from the offshore North Field to permit the economic development and production of gas reserves sufficient to satisfy the gas and LNG sales obligations of these projects.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Russia</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Terms for ExxonMobil’s Sakhalin acreage are fixed by the current production sharing agreement between the Russian government and the Sakhalin-1 consortium, of which ExxonMobil is the operator.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Thailand</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Petroleum Act of 1971 allows production under ExxonMobil’s concessions for 30 years with a 10-year extension at terms generally prevalent at the time. The term of one of the two concessions expires in 2021.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Arab Emirates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interest in the development and production activities of the offshore Upper Zakum field was acquired in 2006. In 2017, the governing agreements were extended to 2051.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 / OCEANIA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Australia</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Exploration and production activities conducted offshore in Commonwealth waters are governed by Federal legislation. Exploration permits are granted for an initial term of six years with two possible five-year renewal periods. Retention leases may be granted for resources that are not commercially viable at the time of application, but are expected to become commercially viable within 15 years. These are granted for periods of five years and renewals may be requested. Prior to July 1998, production licenses were granted initially for 21 years, with a further renewal of 21 years and thereafter indefinitely, i.e., for the life of the field. Effective from July 1998, new production licenses are granted indefinitely. In each case, a production license may be terminated if no production operations have been carried on for five years.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Papua New Guinea</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Exploration and production activities are governed by the Oil and Gas Act. Petroleum prospecting licenses are granted for an initial term of six years with a five-year extension possible (an additional extension of three years is possible in certain circumstances). Generally, a 50-percent relinquishment of the license area is required at the end of the initial six-year term, if extended. Petroleum development licenses are granted for an initial 25-year period. An extension of up to 20 years may be granted at the Minister’s discretion. Petroleum retention licenses may be granted for gas resources that are not commercially viable at the time of application, but may become commercially viable within the maximum possible retention time of 15 years. Petroleum retention licenses are granted for five-year terms, and may be extended, at the Minister’s discretion, twice for the maximum retention time of 15 years. Extensions of petroleum retention licenses may be for periods of less than one year, renewable annually, if the Minister considers at the time of extension that the resources could become commercially viable in less than five years.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Information with regard to the Downstream segment follows: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ExxonMobil’s Downstream segment manufactures, trades and sells petroleum products. The refining and supply operations encompass a global network of manufacturing plants, transportation systems, and distribution centers that provide a range of fuels, lubricants and other products and feedstocks to our customers around the world.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Refining Capacity At Year-End 2020 </w:t>
      </w:r>
      <w:r>
        <w:rPr>
          <w:rFonts w:ascii="Times New Roman" w:cs="Times New Roman" w:eastAsia="Times New Roman" w:hAnsi="Times New Roman"/>
          <w:sz w:val="14"/>
          <w:szCs w:val="14"/>
          <w:i w:val="1"/>
          <w:iCs w:val="1"/>
          <w:color w:val="auto"/>
        </w:rPr>
        <w:t>(1)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36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ExxonMobil</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ExxonMobil</w:t>
            </w:r>
          </w:p>
        </w:tc>
        <w:tc>
          <w:tcPr>
            <w:tcW w:w="0" w:type="dxa"/>
            <w:vAlign w:val="bottom"/>
          </w:tcPr>
          <w:p>
            <w:pPr>
              <w:spacing w:after="0"/>
              <w:rPr>
                <w:sz w:val="1"/>
                <w:szCs w:val="1"/>
                <w:color w:val="auto"/>
              </w:rPr>
            </w:pPr>
          </w:p>
        </w:tc>
      </w:tr>
      <w:tr>
        <w:trPr>
          <w:trHeight w:val="204"/>
        </w:trPr>
        <w:tc>
          <w:tcPr>
            <w:tcW w:w="330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3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 xml:space="preserve">Share KBD </w:t>
            </w:r>
            <w:r>
              <w:rPr>
                <w:rFonts w:ascii="Times New Roman" w:cs="Times New Roman" w:eastAsia="Times New Roman" w:hAnsi="Times New Roman"/>
                <w:sz w:val="14"/>
                <w:szCs w:val="14"/>
                <w:b w:val="1"/>
                <w:bCs w:val="1"/>
                <w:i w:val="1"/>
                <w:iCs w:val="1"/>
                <w:color w:val="auto"/>
              </w:rPr>
              <w:t>(2)</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Interest %</w:t>
            </w:r>
          </w:p>
        </w:tc>
        <w:tc>
          <w:tcPr>
            <w:tcW w:w="0" w:type="dxa"/>
            <w:vAlign w:val="bottom"/>
          </w:tcPr>
          <w:p>
            <w:pPr>
              <w:spacing w:after="0"/>
              <w:rPr>
                <w:sz w:val="1"/>
                <w:szCs w:val="1"/>
                <w:color w:val="auto"/>
              </w:rPr>
            </w:pPr>
          </w:p>
        </w:tc>
      </w:tr>
      <w:tr>
        <w:trPr>
          <w:trHeight w:val="37"/>
        </w:trPr>
        <w:tc>
          <w:tcPr>
            <w:tcW w:w="3300" w:type="dxa"/>
            <w:vAlign w:val="bottom"/>
            <w:tcBorders>
              <w:bottom w:val="single" w:sz="8" w:color="auto"/>
            </w:tcBorders>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5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Joliet</w:t>
            </w:r>
          </w:p>
        </w:tc>
        <w:tc>
          <w:tcPr>
            <w:tcW w:w="5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Illinois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Baton Rouge</w:t>
            </w:r>
          </w:p>
        </w:tc>
        <w:tc>
          <w:tcPr>
            <w:tcW w:w="5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Louisiana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29"/>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Billings</w:t>
            </w:r>
          </w:p>
        </w:tc>
        <w:tc>
          <w:tcPr>
            <w:tcW w:w="5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Montana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29"/>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Baytown</w:t>
            </w:r>
          </w:p>
        </w:tc>
        <w:tc>
          <w:tcPr>
            <w:tcW w:w="5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Texas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34"/>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Beaumont</w:t>
            </w:r>
          </w:p>
        </w:tc>
        <w:tc>
          <w:tcPr>
            <w:tcW w:w="5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Texas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28"/>
        </w:trPr>
        <w:tc>
          <w:tcPr>
            <w:tcW w:w="3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United States</w:t>
            </w:r>
          </w:p>
        </w:tc>
        <w:tc>
          <w:tcPr>
            <w:tcW w:w="50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5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Strathcona</w:t>
            </w:r>
          </w:p>
        </w:tc>
        <w:tc>
          <w:tcPr>
            <w:tcW w:w="5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Alberta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5"/>
              </w:rPr>
              <w:t>69.6</w:t>
            </w: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Nanticoke</w:t>
            </w:r>
          </w:p>
        </w:tc>
        <w:tc>
          <w:tcPr>
            <w:tcW w:w="5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Ontario</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5"/>
              </w:rPr>
              <w:t>69.6</w:t>
            </w:r>
          </w:p>
        </w:tc>
        <w:tc>
          <w:tcPr>
            <w:tcW w:w="0" w:type="dxa"/>
            <w:vAlign w:val="bottom"/>
          </w:tcPr>
          <w:p>
            <w:pPr>
              <w:spacing w:after="0"/>
              <w:rPr>
                <w:sz w:val="1"/>
                <w:szCs w:val="1"/>
                <w:color w:val="auto"/>
              </w:rPr>
            </w:pPr>
          </w:p>
        </w:tc>
      </w:tr>
      <w:tr>
        <w:trPr>
          <w:trHeight w:val="234"/>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Sarnia</w:t>
            </w:r>
          </w:p>
        </w:tc>
        <w:tc>
          <w:tcPr>
            <w:tcW w:w="5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Ontario</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5"/>
              </w:rPr>
              <w:t>69.6</w:t>
            </w:r>
          </w:p>
        </w:tc>
        <w:tc>
          <w:tcPr>
            <w:tcW w:w="0" w:type="dxa"/>
            <w:vAlign w:val="bottom"/>
          </w:tcPr>
          <w:p>
            <w:pPr>
              <w:spacing w:after="0"/>
              <w:rPr>
                <w:sz w:val="1"/>
                <w:szCs w:val="1"/>
                <w:color w:val="auto"/>
              </w:rPr>
            </w:pPr>
          </w:p>
        </w:tc>
      </w:tr>
      <w:tr>
        <w:trPr>
          <w:trHeight w:val="228"/>
        </w:trPr>
        <w:tc>
          <w:tcPr>
            <w:tcW w:w="3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Canada</w:t>
            </w:r>
          </w:p>
        </w:tc>
        <w:tc>
          <w:tcPr>
            <w:tcW w:w="50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5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Antwerp</w:t>
            </w:r>
          </w:p>
        </w:tc>
        <w:tc>
          <w:tcPr>
            <w:tcW w:w="5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Belgium</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29"/>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Fos-sur-Mer</w:t>
            </w:r>
          </w:p>
        </w:tc>
        <w:tc>
          <w:tcPr>
            <w:tcW w:w="5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France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5"/>
              </w:rPr>
              <w:t>82.9</w:t>
            </w: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Gravenchon</w:t>
            </w:r>
          </w:p>
        </w:tc>
        <w:tc>
          <w:tcPr>
            <w:tcW w:w="5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France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5"/>
              </w:rPr>
              <w:t>82.9</w:t>
            </w: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Karlsruhe</w:t>
            </w:r>
          </w:p>
        </w:tc>
        <w:tc>
          <w:tcPr>
            <w:tcW w:w="5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Germany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29"/>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Trecate</w:t>
            </w:r>
          </w:p>
        </w:tc>
        <w:tc>
          <w:tcPr>
            <w:tcW w:w="5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Italy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5"/>
              </w:rPr>
              <w:t>75.2</w:t>
            </w: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Rotterdam</w:t>
            </w:r>
          </w:p>
        </w:tc>
        <w:tc>
          <w:tcPr>
            <w:tcW w:w="5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Netherlands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Slagen</w:t>
            </w:r>
          </w:p>
        </w:tc>
        <w:tc>
          <w:tcPr>
            <w:tcW w:w="5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Norway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34"/>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Fawley</w:t>
            </w:r>
          </w:p>
        </w:tc>
        <w:tc>
          <w:tcPr>
            <w:tcW w:w="5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United Kingdom</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28"/>
        </w:trPr>
        <w:tc>
          <w:tcPr>
            <w:tcW w:w="3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Europe</w:t>
            </w:r>
          </w:p>
        </w:tc>
        <w:tc>
          <w:tcPr>
            <w:tcW w:w="50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Asia Pacific</w:t>
            </w:r>
          </w:p>
        </w:tc>
        <w:tc>
          <w:tcPr>
            <w:tcW w:w="5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xml:space="preserve">Altona </w:t>
            </w:r>
            <w:r>
              <w:rPr>
                <w:rFonts w:ascii="Times New Roman" w:cs="Times New Roman" w:eastAsia="Times New Roman" w:hAnsi="Times New Roman"/>
                <w:sz w:val="14"/>
                <w:szCs w:val="14"/>
                <w:i w:val="1"/>
                <w:iCs w:val="1"/>
                <w:color w:val="auto"/>
              </w:rPr>
              <w:t>(3)</w:t>
            </w:r>
          </w:p>
        </w:tc>
        <w:tc>
          <w:tcPr>
            <w:tcW w:w="5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Australia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29"/>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Fujian</w:t>
            </w:r>
          </w:p>
        </w:tc>
        <w:tc>
          <w:tcPr>
            <w:tcW w:w="5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China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25</w:t>
            </w:r>
          </w:p>
        </w:tc>
        <w:tc>
          <w:tcPr>
            <w:tcW w:w="0" w:type="dxa"/>
            <w:vAlign w:val="bottom"/>
          </w:tcPr>
          <w:p>
            <w:pPr>
              <w:spacing w:after="0"/>
              <w:rPr>
                <w:sz w:val="1"/>
                <w:szCs w:val="1"/>
                <w:color w:val="auto"/>
              </w:rPr>
            </w:pPr>
          </w:p>
        </w:tc>
      </w:tr>
      <w:tr>
        <w:trPr>
          <w:trHeight w:val="230"/>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Jurong/PAC</w:t>
            </w:r>
          </w:p>
        </w:tc>
        <w:tc>
          <w:tcPr>
            <w:tcW w:w="5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Singapore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6"/>
              </w:rPr>
              <w:t>100</w:t>
            </w:r>
          </w:p>
        </w:tc>
        <w:tc>
          <w:tcPr>
            <w:tcW w:w="0" w:type="dxa"/>
            <w:vAlign w:val="bottom"/>
          </w:tcPr>
          <w:p>
            <w:pPr>
              <w:spacing w:after="0"/>
              <w:rPr>
                <w:sz w:val="1"/>
                <w:szCs w:val="1"/>
                <w:color w:val="auto"/>
              </w:rPr>
            </w:pPr>
          </w:p>
        </w:tc>
      </w:tr>
      <w:tr>
        <w:trPr>
          <w:trHeight w:val="234"/>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Sriracha</w:t>
            </w:r>
          </w:p>
        </w:tc>
        <w:tc>
          <w:tcPr>
            <w:tcW w:w="5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Thailand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66</w:t>
            </w:r>
          </w:p>
        </w:tc>
        <w:tc>
          <w:tcPr>
            <w:tcW w:w="0" w:type="dxa"/>
            <w:vAlign w:val="bottom"/>
          </w:tcPr>
          <w:p>
            <w:pPr>
              <w:spacing w:after="0"/>
              <w:rPr>
                <w:sz w:val="1"/>
                <w:szCs w:val="1"/>
                <w:color w:val="auto"/>
              </w:rPr>
            </w:pPr>
          </w:p>
        </w:tc>
      </w:tr>
      <w:tr>
        <w:trPr>
          <w:trHeight w:val="228"/>
        </w:trPr>
        <w:tc>
          <w:tcPr>
            <w:tcW w:w="3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Asia Pacific</w:t>
            </w:r>
          </w:p>
        </w:tc>
        <w:tc>
          <w:tcPr>
            <w:tcW w:w="50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Middle East</w:t>
            </w:r>
          </w:p>
        </w:tc>
        <w:tc>
          <w:tcPr>
            <w:tcW w:w="5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Yanbu</w:t>
            </w:r>
          </w:p>
        </w:tc>
        <w:tc>
          <w:tcPr>
            <w:tcW w:w="50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Saudi Arabia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16"/>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Worldwide</w:t>
            </w:r>
          </w:p>
        </w:tc>
        <w:tc>
          <w:tcPr>
            <w:tcW w:w="508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00" w:type="dxa"/>
            <w:vAlign w:val="bottom"/>
            <w:vMerge w:val="continue"/>
          </w:tcPr>
          <w:p>
            <w:pPr>
              <w:spacing w:after="0"/>
              <w:rPr>
                <w:sz w:val="19"/>
                <w:szCs w:val="19"/>
                <w:color w:val="auto"/>
              </w:rPr>
            </w:pPr>
          </w:p>
        </w:tc>
        <w:tc>
          <w:tcPr>
            <w:tcW w:w="508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jc w:val="both"/>
        <w:ind w:left="340" w:hanging="332"/>
        <w:spacing w:after="0" w:line="267" w:lineRule="auto"/>
        <w:tabs>
          <w:tab w:leader="none" w:pos="334"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Capacity data is based on 100 percent of rated refinery process unit stream-day capacities under normal operating conditions, less the impact of shutdowns for regular repair and maintenance activities, averaged over an extended period of time. The listing excludes refining capacity for a minor interest held through equity securities in New Zealand, and the Laffan Refinery in Qatar for which results are reported in the Upstream segment.</w:t>
      </w:r>
    </w:p>
    <w:p>
      <w:pPr>
        <w:spacing w:after="0" w:line="11" w:lineRule="exact"/>
        <w:rPr>
          <w:rFonts w:ascii="Times New Roman" w:cs="Times New Roman" w:eastAsia="Times New Roman" w:hAnsi="Times New Roman"/>
          <w:sz w:val="18"/>
          <w:szCs w:val="18"/>
          <w:i w:val="1"/>
          <w:iCs w:val="1"/>
          <w:color w:val="auto"/>
        </w:rPr>
      </w:pPr>
    </w:p>
    <w:p>
      <w:pPr>
        <w:jc w:val="both"/>
        <w:ind w:left="340" w:hanging="332"/>
        <w:spacing w:after="0" w:line="267" w:lineRule="auto"/>
        <w:tabs>
          <w:tab w:leader="none" w:pos="334"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Thousands of barrels per day (KBD). ExxonMobil share reflects 100 percent of atmospheric distillation capacity in operations of ExxonMobil and majority-owned subsidiaries. For companies owned 50 percent or less, ExxonMobil share is the greater of ExxonMobil’s interest or that portion of distillation capacity normally available to ExxonMobil.</w:t>
      </w:r>
    </w:p>
    <w:p>
      <w:pPr>
        <w:spacing w:after="0" w:line="11"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Corporation expects to convert the Altona refinery into a terminal in 2021.</w:t>
      </w:r>
    </w:p>
    <w:p>
      <w:pPr>
        <w:sectPr>
          <w:pgSz w:w="11900" w:h="16838" w:orient="portrait"/>
          <w:cols w:equalWidth="0" w:num="1">
            <w:col w:w="11240"/>
          </w:cols>
          <w:pgMar w:left="320" w:top="914"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 xml:space="preserve">The marketing operations sell products and services throughout the world through our </w:t>
      </w:r>
      <w:r>
        <w:rPr>
          <w:rFonts w:ascii="Times New Roman" w:cs="Times New Roman" w:eastAsia="Times New Roman" w:hAnsi="Times New Roman"/>
          <w:sz w:val="18"/>
          <w:szCs w:val="18"/>
          <w:i w:val="1"/>
          <w:iCs w:val="1"/>
          <w:color w:val="auto"/>
        </w:rPr>
        <w:t>Exxon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Esso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Mobil</w:t>
      </w:r>
      <w:r>
        <w:rPr>
          <w:rFonts w:ascii="Times New Roman" w:cs="Times New Roman" w:eastAsia="Times New Roman" w:hAnsi="Times New Roman"/>
          <w:sz w:val="18"/>
          <w:szCs w:val="18"/>
          <w:color w:val="auto"/>
        </w:rPr>
        <w:t xml:space="preserve"> brands.</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6400" w:type="dxa"/>
            <w:vAlign w:val="bottom"/>
            <w:gridSpan w:val="2"/>
          </w:tcPr>
          <w:p>
            <w:pPr>
              <w:jc w:val="right"/>
              <w:ind w:right="3830"/>
              <w:spacing w:after="0"/>
              <w:rPr>
                <w:sz w:val="20"/>
                <w:szCs w:val="20"/>
                <w:color w:val="auto"/>
              </w:rPr>
            </w:pPr>
            <w:r>
              <w:rPr>
                <w:rFonts w:ascii="Times New Roman" w:cs="Times New Roman" w:eastAsia="Times New Roman" w:hAnsi="Times New Roman"/>
                <w:sz w:val="18"/>
                <w:szCs w:val="18"/>
                <w:b w:val="1"/>
                <w:bCs w:val="1"/>
                <w:color w:val="auto"/>
              </w:rPr>
              <w:t>Retail Sites At Year-End 2020</w:t>
            </w:r>
          </w:p>
        </w:tc>
      </w:tr>
      <w:tr>
        <w:trPr>
          <w:trHeight w:val="333"/>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43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30"/>
        </w:trPr>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Owned/leased</w:t>
            </w:r>
          </w:p>
        </w:tc>
        <w:tc>
          <w:tcPr>
            <w:tcW w:w="43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Distributors/resellers</w:t>
            </w:r>
          </w:p>
        </w:tc>
        <w:tc>
          <w:tcPr>
            <w:tcW w:w="6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10,982</w:t>
            </w:r>
          </w:p>
        </w:tc>
      </w:tr>
      <w:tr>
        <w:trPr>
          <w:trHeight w:val="228"/>
        </w:trPr>
        <w:tc>
          <w:tcPr>
            <w:tcW w:w="28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Total United States</w:t>
            </w:r>
          </w:p>
        </w:tc>
        <w:tc>
          <w:tcPr>
            <w:tcW w:w="4320" w:type="dxa"/>
            <w:vAlign w:val="bottom"/>
          </w:tcPr>
          <w:p>
            <w:pPr>
              <w:spacing w:after="0"/>
              <w:rPr>
                <w:sz w:val="19"/>
                <w:szCs w:val="19"/>
                <w:color w:val="auto"/>
              </w:rPr>
            </w:pP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10,982</w:t>
            </w:r>
          </w:p>
        </w:tc>
      </w:tr>
      <w:tr>
        <w:trPr>
          <w:trHeight w:val="436"/>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43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30"/>
        </w:trPr>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Owned/leased</w:t>
            </w:r>
          </w:p>
        </w:tc>
        <w:tc>
          <w:tcPr>
            <w:tcW w:w="43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Distributors/resellers</w:t>
            </w:r>
          </w:p>
        </w:tc>
        <w:tc>
          <w:tcPr>
            <w:tcW w:w="6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2,370</w:t>
            </w:r>
          </w:p>
        </w:tc>
      </w:tr>
      <w:tr>
        <w:trPr>
          <w:trHeight w:val="228"/>
        </w:trPr>
        <w:tc>
          <w:tcPr>
            <w:tcW w:w="28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Total Canada</w:t>
            </w:r>
          </w:p>
        </w:tc>
        <w:tc>
          <w:tcPr>
            <w:tcW w:w="4320" w:type="dxa"/>
            <w:vAlign w:val="bottom"/>
          </w:tcPr>
          <w:p>
            <w:pPr>
              <w:spacing w:after="0"/>
              <w:rPr>
                <w:sz w:val="19"/>
                <w:szCs w:val="19"/>
                <w:color w:val="auto"/>
              </w:rPr>
            </w:pP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w:t>
            </w:r>
          </w:p>
        </w:tc>
      </w:tr>
      <w:tr>
        <w:trPr>
          <w:trHeight w:val="436"/>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43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30"/>
        </w:trPr>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Owned/leased</w:t>
            </w:r>
          </w:p>
        </w:tc>
        <w:tc>
          <w:tcPr>
            <w:tcW w:w="6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4"/>
        </w:trPr>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Distributors/resellers</w:t>
            </w:r>
          </w:p>
        </w:tc>
        <w:tc>
          <w:tcPr>
            <w:tcW w:w="6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5,764</w:t>
            </w:r>
          </w:p>
        </w:tc>
      </w:tr>
      <w:tr>
        <w:trPr>
          <w:trHeight w:val="228"/>
        </w:trPr>
        <w:tc>
          <w:tcPr>
            <w:tcW w:w="28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Total Europe</w:t>
            </w:r>
          </w:p>
        </w:tc>
        <w:tc>
          <w:tcPr>
            <w:tcW w:w="4320" w:type="dxa"/>
            <w:vAlign w:val="bottom"/>
          </w:tcPr>
          <w:p>
            <w:pPr>
              <w:spacing w:after="0"/>
              <w:rPr>
                <w:sz w:val="19"/>
                <w:szCs w:val="19"/>
                <w:color w:val="auto"/>
              </w:rPr>
            </w:pP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w:t>
            </w:r>
          </w:p>
        </w:tc>
      </w:tr>
      <w:tr>
        <w:trPr>
          <w:trHeight w:val="436"/>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Asia Pacific</w:t>
            </w:r>
          </w:p>
        </w:tc>
        <w:tc>
          <w:tcPr>
            <w:tcW w:w="43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30"/>
        </w:trPr>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Owned/leased</w:t>
            </w:r>
          </w:p>
        </w:tc>
        <w:tc>
          <w:tcPr>
            <w:tcW w:w="6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34"/>
        </w:trPr>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Distributors/resellers</w:t>
            </w:r>
          </w:p>
        </w:tc>
        <w:tc>
          <w:tcPr>
            <w:tcW w:w="6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28"/>
        </w:trPr>
        <w:tc>
          <w:tcPr>
            <w:tcW w:w="28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Total Asia Pacific</w:t>
            </w:r>
          </w:p>
        </w:tc>
        <w:tc>
          <w:tcPr>
            <w:tcW w:w="4320" w:type="dxa"/>
            <w:vAlign w:val="bottom"/>
          </w:tcPr>
          <w:p>
            <w:pPr>
              <w:spacing w:after="0"/>
              <w:rPr>
                <w:sz w:val="19"/>
                <w:szCs w:val="19"/>
                <w:color w:val="auto"/>
              </w:rPr>
            </w:pP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w:t>
            </w:r>
          </w:p>
        </w:tc>
      </w:tr>
      <w:tr>
        <w:trPr>
          <w:trHeight w:val="436"/>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Latin America</w:t>
            </w:r>
          </w:p>
        </w:tc>
        <w:tc>
          <w:tcPr>
            <w:tcW w:w="43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30"/>
        </w:trPr>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Owned/leased</w:t>
            </w:r>
          </w:p>
        </w:tc>
        <w:tc>
          <w:tcPr>
            <w:tcW w:w="43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Distributors/resellers</w:t>
            </w:r>
          </w:p>
        </w:tc>
        <w:tc>
          <w:tcPr>
            <w:tcW w:w="6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8"/>
        </w:trPr>
        <w:tc>
          <w:tcPr>
            <w:tcW w:w="28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Total Latin America</w:t>
            </w:r>
          </w:p>
        </w:tc>
        <w:tc>
          <w:tcPr>
            <w:tcW w:w="4320" w:type="dxa"/>
            <w:vAlign w:val="bottom"/>
          </w:tcPr>
          <w:p>
            <w:pPr>
              <w:spacing w:after="0"/>
              <w:rPr>
                <w:sz w:val="19"/>
                <w:szCs w:val="19"/>
                <w:color w:val="auto"/>
              </w:rPr>
            </w:pP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436"/>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Middle East/Africa</w:t>
            </w:r>
          </w:p>
        </w:tc>
        <w:tc>
          <w:tcPr>
            <w:tcW w:w="43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30"/>
        </w:trPr>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Owned/leased</w:t>
            </w:r>
          </w:p>
        </w:tc>
        <w:tc>
          <w:tcPr>
            <w:tcW w:w="6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4"/>
        </w:trPr>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Distributors/resellers</w:t>
            </w:r>
          </w:p>
        </w:tc>
        <w:tc>
          <w:tcPr>
            <w:tcW w:w="6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8"/>
        </w:trPr>
        <w:tc>
          <w:tcPr>
            <w:tcW w:w="28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Total Middle East/Africa</w:t>
            </w:r>
          </w:p>
        </w:tc>
        <w:tc>
          <w:tcPr>
            <w:tcW w:w="4320" w:type="dxa"/>
            <w:vAlign w:val="bottom"/>
          </w:tcPr>
          <w:p>
            <w:pPr>
              <w:spacing w:after="0"/>
              <w:rPr>
                <w:sz w:val="19"/>
                <w:szCs w:val="19"/>
                <w:color w:val="auto"/>
              </w:rPr>
            </w:pP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436"/>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Worldwide</w:t>
            </w:r>
          </w:p>
        </w:tc>
        <w:tc>
          <w:tcPr>
            <w:tcW w:w="43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29"/>
        </w:trPr>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Owned/leased</w:t>
            </w:r>
          </w:p>
        </w:tc>
        <w:tc>
          <w:tcPr>
            <w:tcW w:w="6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34"/>
        </w:trPr>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Distributors/resellers</w:t>
            </w:r>
          </w:p>
        </w:tc>
        <w:tc>
          <w:tcPr>
            <w:tcW w:w="6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20,962</w:t>
            </w:r>
          </w:p>
        </w:tc>
      </w:tr>
      <w:tr>
        <w:trPr>
          <w:trHeight w:val="223"/>
        </w:trPr>
        <w:tc>
          <w:tcPr>
            <w:tcW w:w="28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Total Worldwide</w:t>
            </w:r>
          </w:p>
        </w:tc>
        <w:tc>
          <w:tcPr>
            <w:tcW w:w="4320" w:type="dxa"/>
            <w:vAlign w:val="bottom"/>
          </w:tcPr>
          <w:p>
            <w:pPr>
              <w:spacing w:after="0"/>
              <w:rPr>
                <w:sz w:val="19"/>
                <w:szCs w:val="19"/>
                <w:color w:val="auto"/>
              </w:rPr>
            </w:pP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21,953</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970" w:right="8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Information with regard to the Chemical segment follows: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ExxonMobil’s Chemical segment manufactures and sells petrochemicals. The Chemical business supplies olefins, polyolefins, aromatics, and a wide variety of other petrochemicals.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Chemical Complex Capacity At Year-End 2020 </w:t>
      </w:r>
      <w:r>
        <w:rPr>
          <w:rFonts w:ascii="Times New Roman" w:cs="Times New Roman" w:eastAsia="Times New Roman" w:hAnsi="Times New Roman"/>
          <w:sz w:val="14"/>
          <w:szCs w:val="14"/>
          <w:i w:val="1"/>
          <w:iCs w:val="1"/>
          <w:color w:val="auto"/>
        </w:rPr>
        <w:t>(1)</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4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Ethylene</w:t>
            </w:r>
          </w:p>
        </w:tc>
        <w:tc>
          <w:tcPr>
            <w:tcW w:w="116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Polyethylene</w:t>
            </w:r>
          </w:p>
        </w:tc>
        <w:tc>
          <w:tcPr>
            <w:tcW w:w="12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Polypropylene</w:t>
            </w:r>
          </w:p>
        </w:tc>
        <w:tc>
          <w:tcPr>
            <w:tcW w:w="96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Paraxylene</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ExxonMobil</w:t>
            </w:r>
          </w:p>
        </w:tc>
        <w:tc>
          <w:tcPr>
            <w:tcW w:w="0" w:type="dxa"/>
            <w:vAlign w:val="bottom"/>
          </w:tcPr>
          <w:p>
            <w:pPr>
              <w:spacing w:after="0"/>
              <w:rPr>
                <w:sz w:val="1"/>
                <w:szCs w:val="1"/>
                <w:color w:val="auto"/>
              </w:rPr>
            </w:pPr>
          </w:p>
        </w:tc>
      </w:tr>
      <w:tr>
        <w:trPr>
          <w:trHeight w:val="109"/>
        </w:trPr>
        <w:tc>
          <w:tcPr>
            <w:tcW w:w="30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1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Interest %</w:t>
            </w:r>
          </w:p>
        </w:tc>
        <w:tc>
          <w:tcPr>
            <w:tcW w:w="0" w:type="dxa"/>
            <w:vAlign w:val="bottom"/>
          </w:tcPr>
          <w:p>
            <w:pPr>
              <w:spacing w:after="0"/>
              <w:rPr>
                <w:sz w:val="1"/>
                <w:szCs w:val="1"/>
                <w:color w:val="auto"/>
              </w:rPr>
            </w:pPr>
          </w:p>
        </w:tc>
      </w:tr>
      <w:tr>
        <w:trPr>
          <w:trHeight w:val="81"/>
        </w:trPr>
        <w:tc>
          <w:tcPr>
            <w:tcW w:w="3040" w:type="dxa"/>
            <w:vAlign w:val="bottom"/>
          </w:tcPr>
          <w:p>
            <w:pPr>
              <w:spacing w:after="0"/>
              <w:rPr>
                <w:sz w:val="7"/>
                <w:szCs w:val="7"/>
                <w:color w:val="auto"/>
              </w:rPr>
            </w:pPr>
          </w:p>
        </w:tc>
        <w:tc>
          <w:tcPr>
            <w:tcW w:w="2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30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20" w:type="dxa"/>
            <w:vAlign w:val="bottom"/>
            <w:gridSpan w:val="2"/>
          </w:tcPr>
          <w:p>
            <w:pPr>
              <w:jc w:val="right"/>
              <w:ind w:right="151"/>
              <w:spacing w:after="0"/>
              <w:rPr>
                <w:sz w:val="20"/>
                <w:szCs w:val="20"/>
                <w:color w:val="auto"/>
              </w:rPr>
            </w:pPr>
            <w:r>
              <w:rPr>
                <w:rFonts w:ascii="Times New Roman" w:cs="Times New Roman" w:eastAsia="Times New Roman" w:hAnsi="Times New Roman"/>
                <w:sz w:val="14"/>
                <w:szCs w:val="14"/>
                <w:i w:val="1"/>
                <w:iCs w:val="1"/>
                <w:color w:val="auto"/>
              </w:rPr>
              <w:t>(millions of metric tons per year)</w:t>
            </w: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Baton Rouge</w:t>
            </w:r>
          </w:p>
        </w:tc>
        <w:tc>
          <w:tcPr>
            <w:tcW w:w="2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Louisiana</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Baytown</w:t>
            </w:r>
          </w:p>
        </w:tc>
        <w:tc>
          <w:tcPr>
            <w:tcW w:w="2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Texas</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3.9</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Beaumont</w:t>
            </w:r>
          </w:p>
        </w:tc>
        <w:tc>
          <w:tcPr>
            <w:tcW w:w="2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Texas</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0.9</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1.7</w:t>
            </w: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Mont Belvieu</w:t>
            </w:r>
          </w:p>
        </w:tc>
        <w:tc>
          <w:tcPr>
            <w:tcW w:w="2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Texas</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2.3</w:t>
            </w: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Sarnia</w:t>
            </w:r>
          </w:p>
        </w:tc>
        <w:tc>
          <w:tcPr>
            <w:tcW w:w="2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Ontario</w:t>
            </w:r>
          </w:p>
        </w:tc>
        <w:tc>
          <w:tcPr>
            <w:tcW w:w="9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0.3</w:t>
            </w: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0.5</w:t>
            </w: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28"/>
        </w:trPr>
        <w:tc>
          <w:tcPr>
            <w:tcW w:w="30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North America</w:t>
            </w:r>
          </w:p>
        </w:tc>
        <w:tc>
          <w:tcPr>
            <w:tcW w:w="278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6.2</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5.8</w:t>
            </w: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2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Antwerp</w:t>
            </w:r>
          </w:p>
        </w:tc>
        <w:tc>
          <w:tcPr>
            <w:tcW w:w="2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Belgium</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0.4</w:t>
            </w: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Fife</w:t>
            </w:r>
          </w:p>
        </w:tc>
        <w:tc>
          <w:tcPr>
            <w:tcW w:w="2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Kingdom</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0.4</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Gravenchon</w:t>
            </w:r>
          </w:p>
        </w:tc>
        <w:tc>
          <w:tcPr>
            <w:tcW w:w="2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France</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0.4</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0.4</w:t>
            </w: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Meerhout</w:t>
            </w:r>
          </w:p>
        </w:tc>
        <w:tc>
          <w:tcPr>
            <w:tcW w:w="2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Belgium</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0.5</w:t>
            </w: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Rotterdam</w:t>
            </w:r>
          </w:p>
        </w:tc>
        <w:tc>
          <w:tcPr>
            <w:tcW w:w="2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Netherlands</w:t>
            </w:r>
          </w:p>
        </w:tc>
        <w:tc>
          <w:tcPr>
            <w:tcW w:w="9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8"/>
        </w:trPr>
        <w:tc>
          <w:tcPr>
            <w:tcW w:w="30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Europe</w:t>
            </w:r>
          </w:p>
        </w:tc>
        <w:tc>
          <w:tcPr>
            <w:tcW w:w="278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0.8</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Middle East</w:t>
            </w:r>
          </w:p>
        </w:tc>
        <w:tc>
          <w:tcPr>
            <w:tcW w:w="2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Al Jubail</w:t>
            </w:r>
          </w:p>
        </w:tc>
        <w:tc>
          <w:tcPr>
            <w:tcW w:w="2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Saudi Arabia</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0.6</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0.7</w:t>
            </w: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Yanbu</w:t>
            </w:r>
          </w:p>
        </w:tc>
        <w:tc>
          <w:tcPr>
            <w:tcW w:w="2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Saudi Arabia</w:t>
            </w:r>
          </w:p>
        </w:tc>
        <w:tc>
          <w:tcPr>
            <w:tcW w:w="9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0.7</w:t>
            </w: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0.2</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8"/>
        </w:trPr>
        <w:tc>
          <w:tcPr>
            <w:tcW w:w="30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Middle East</w:t>
            </w:r>
          </w:p>
        </w:tc>
        <w:tc>
          <w:tcPr>
            <w:tcW w:w="2780" w:type="dxa"/>
            <w:vAlign w:val="bottom"/>
          </w:tcPr>
          <w:p>
            <w:pPr>
              <w:spacing w:after="0"/>
              <w:rPr>
                <w:sz w:val="19"/>
                <w:szCs w:val="19"/>
                <w:color w:val="auto"/>
              </w:rPr>
            </w:pP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w:t>
            </w: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Asia Pacific</w:t>
            </w:r>
          </w:p>
        </w:tc>
        <w:tc>
          <w:tcPr>
            <w:tcW w:w="2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Fujian</w:t>
            </w:r>
          </w:p>
        </w:tc>
        <w:tc>
          <w:tcPr>
            <w:tcW w:w="2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China</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0.3</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Singapore</w:t>
            </w:r>
          </w:p>
        </w:tc>
        <w:tc>
          <w:tcPr>
            <w:tcW w:w="2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Singapore</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1.9</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w:t>
            </w: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4"/>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Sriracha</w:t>
            </w:r>
          </w:p>
        </w:tc>
        <w:tc>
          <w:tcPr>
            <w:tcW w:w="27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Thailand</w:t>
            </w:r>
          </w:p>
        </w:tc>
        <w:tc>
          <w:tcPr>
            <w:tcW w:w="9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30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Asia Pacific</w:t>
            </w:r>
          </w:p>
        </w:tc>
        <w:tc>
          <w:tcPr>
            <w:tcW w:w="2780" w:type="dxa"/>
            <w:vAlign w:val="bottom"/>
          </w:tcPr>
          <w:p>
            <w:pPr>
              <w:spacing w:after="0"/>
              <w:rPr>
                <w:sz w:val="19"/>
                <w:szCs w:val="19"/>
                <w:color w:val="auto"/>
              </w:rPr>
            </w:pPr>
          </w:p>
        </w:tc>
        <w:tc>
          <w:tcPr>
            <w:tcW w:w="9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2.2</w:t>
            </w: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Worldwide</w:t>
            </w:r>
          </w:p>
        </w:tc>
        <w:tc>
          <w:tcPr>
            <w:tcW w:w="2780" w:type="dxa"/>
            <w:vAlign w:val="bottom"/>
          </w:tcPr>
          <w:p>
            <w:pPr>
              <w:spacing w:after="0"/>
              <w:rPr>
                <w:sz w:val="24"/>
                <w:szCs w:val="24"/>
                <w:color w:val="auto"/>
              </w:rPr>
            </w:pPr>
          </w:p>
        </w:tc>
        <w:tc>
          <w:tcPr>
            <w:tcW w:w="9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10.8</w:t>
            </w: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10.6</w:t>
            </w: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2.7</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340" w:right="20" w:hanging="332"/>
        <w:spacing w:after="0" w:line="284" w:lineRule="auto"/>
        <w:tabs>
          <w:tab w:leader="none" w:pos="334"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Capacity reflects 100 percent for operations of ExxonMobil and majority-owned subsidiaries. For companies owned 50 percent or less, capacity is ExxonMobil’s interest.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ExxonMobil has elected to use a $1 million threshold for disclosing environmental proceedings.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Refer to the relevant portions of “Note 16: Litigation and Other Contingencies” of the Financial Section of this report for additional information on legal proceedings.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(positions and ages as of February 24, 2021)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Darren W. Woods</w:t>
            </w:r>
          </w:p>
        </w:tc>
        <w:tc>
          <w:tcPr>
            <w:tcW w:w="506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i w:val="1"/>
                <w:iCs w:val="1"/>
                <w:color w:val="auto"/>
              </w:rPr>
              <w:t>Chairman of the Board</w:t>
            </w:r>
          </w:p>
        </w:tc>
        <w:tc>
          <w:tcPr>
            <w:tcW w:w="3440" w:type="dxa"/>
            <w:vAlign w:val="bottom"/>
            <w:tcBorders>
              <w:top w:val="single" w:sz="8" w:color="auto"/>
            </w:tcBorders>
          </w:tcPr>
          <w:p>
            <w:pPr>
              <w:spacing w:after="0"/>
              <w:rPr>
                <w:sz w:val="21"/>
                <w:szCs w:val="21"/>
                <w:color w:val="auto"/>
              </w:rPr>
            </w:pPr>
          </w:p>
        </w:tc>
      </w:tr>
      <w:tr>
        <w:trPr>
          <w:trHeight w:val="45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current title since:</w:t>
            </w:r>
          </w:p>
        </w:tc>
        <w:tc>
          <w:tcPr>
            <w:tcW w:w="50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January 1, 2017</w:t>
            </w:r>
          </w:p>
        </w:tc>
        <w:tc>
          <w:tcPr>
            <w:tcW w:w="34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Age: 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20" w:right="20"/>
        <w:spacing w:after="0" w:line="237" w:lineRule="auto"/>
        <w:rPr>
          <w:sz w:val="20"/>
          <w:szCs w:val="20"/>
          <w:color w:val="auto"/>
        </w:rPr>
      </w:pPr>
      <w:r>
        <w:rPr>
          <w:rFonts w:ascii="Times New Roman" w:cs="Times New Roman" w:eastAsia="Times New Roman" w:hAnsi="Times New Roman"/>
          <w:sz w:val="18"/>
          <w:szCs w:val="18"/>
          <w:color w:val="auto"/>
        </w:rPr>
        <w:t>Mr. Darren W. Woods became a Director and President of Exxon Mobil Corporation on January 1, 2016, and Chairman of the Board and Chief Executive Officer of Exxon Mobil Corporation on January 1, 2017, positions he continues to hold as of this filing date.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Neil A. Chapman</w:t>
            </w:r>
          </w:p>
        </w:tc>
        <w:tc>
          <w:tcPr>
            <w:tcW w:w="50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i w:val="1"/>
                <w:iCs w:val="1"/>
                <w:color w:val="auto"/>
              </w:rPr>
              <w:t>Senior Vice President</w:t>
            </w:r>
          </w:p>
        </w:tc>
        <w:tc>
          <w:tcPr>
            <w:tcW w:w="3500" w:type="dxa"/>
            <w:vAlign w:val="bottom"/>
            <w:tcBorders>
              <w:top w:val="single" w:sz="8" w:color="auto"/>
            </w:tcBorders>
          </w:tcPr>
          <w:p>
            <w:pPr>
              <w:spacing w:after="0"/>
              <w:rPr>
                <w:sz w:val="21"/>
                <w:szCs w:val="21"/>
                <w:color w:val="auto"/>
              </w:rPr>
            </w:pPr>
          </w:p>
        </w:tc>
      </w:tr>
      <w:tr>
        <w:trPr>
          <w:trHeight w:val="45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current title since:</w:t>
            </w:r>
          </w:p>
        </w:tc>
        <w:tc>
          <w:tcPr>
            <w:tcW w:w="50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January 1, 2018</w:t>
            </w:r>
          </w:p>
        </w:tc>
        <w:tc>
          <w:tcPr>
            <w:tcW w:w="35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Age: 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20" w:right="20"/>
        <w:spacing w:after="0" w:line="237" w:lineRule="auto"/>
        <w:rPr>
          <w:sz w:val="20"/>
          <w:szCs w:val="20"/>
          <w:color w:val="auto"/>
        </w:rPr>
      </w:pPr>
      <w:r>
        <w:rPr>
          <w:rFonts w:ascii="Times New Roman" w:cs="Times New Roman" w:eastAsia="Times New Roman" w:hAnsi="Times New Roman"/>
          <w:sz w:val="18"/>
          <w:szCs w:val="18"/>
          <w:color w:val="auto"/>
        </w:rPr>
        <w:t>Mr. Neil A. Chapman was President of ExxonMobil Chemical Company and Vice President of Exxon Mobil Corporation January 1, 2015 – December 31, 2017. He became Senior Vice President of Exxon Mobil Corporation on January 1, 2018, a position he continues to hold as of this filing date.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Andrew P. Swiger</w:t>
            </w:r>
          </w:p>
        </w:tc>
        <w:tc>
          <w:tcPr>
            <w:tcW w:w="50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i w:val="1"/>
                <w:iCs w:val="1"/>
                <w:color w:val="auto"/>
              </w:rPr>
              <w:t>Senior Vice President</w:t>
            </w:r>
          </w:p>
        </w:tc>
        <w:tc>
          <w:tcPr>
            <w:tcW w:w="3500" w:type="dxa"/>
            <w:vAlign w:val="bottom"/>
            <w:tcBorders>
              <w:top w:val="single" w:sz="8" w:color="auto"/>
            </w:tcBorders>
          </w:tcPr>
          <w:p>
            <w:pPr>
              <w:spacing w:after="0"/>
              <w:rPr>
                <w:sz w:val="21"/>
                <w:szCs w:val="21"/>
                <w:color w:val="auto"/>
              </w:rPr>
            </w:pPr>
          </w:p>
        </w:tc>
      </w:tr>
      <w:tr>
        <w:trPr>
          <w:trHeight w:val="45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current title since:</w:t>
            </w:r>
          </w:p>
        </w:tc>
        <w:tc>
          <w:tcPr>
            <w:tcW w:w="50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April 1, 2009</w:t>
            </w:r>
          </w:p>
        </w:tc>
        <w:tc>
          <w:tcPr>
            <w:tcW w:w="35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Age: 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Mr. Andrew P. Swiger became Senior Vice President of Exxon Mobil Corporation on April 1, 2009, a position he continues to hold as of this filing date.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Jack P. Williams, Jr.</w:t>
            </w:r>
          </w:p>
        </w:tc>
        <w:tc>
          <w:tcPr>
            <w:tcW w:w="50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i w:val="1"/>
                <w:iCs w:val="1"/>
                <w:color w:val="auto"/>
              </w:rPr>
              <w:t>Senior Vice President</w:t>
            </w:r>
          </w:p>
        </w:tc>
        <w:tc>
          <w:tcPr>
            <w:tcW w:w="3500" w:type="dxa"/>
            <w:vAlign w:val="bottom"/>
            <w:tcBorders>
              <w:top w:val="single" w:sz="8" w:color="auto"/>
            </w:tcBorders>
          </w:tcPr>
          <w:p>
            <w:pPr>
              <w:spacing w:after="0"/>
              <w:rPr>
                <w:sz w:val="21"/>
                <w:szCs w:val="21"/>
                <w:color w:val="auto"/>
              </w:rPr>
            </w:pPr>
          </w:p>
        </w:tc>
      </w:tr>
      <w:tr>
        <w:trPr>
          <w:trHeight w:val="45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current title since:</w:t>
            </w:r>
          </w:p>
        </w:tc>
        <w:tc>
          <w:tcPr>
            <w:tcW w:w="50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June 1, 2014</w:t>
            </w:r>
          </w:p>
        </w:tc>
        <w:tc>
          <w:tcPr>
            <w:tcW w:w="35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Age: 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Mr. Jack P. Williams, Jr. became Senior Vice President of Exxon Mobil Corporation on June 1, 2014, a position he continues to hold as of this filing date.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Ian S. Carr</w:t>
            </w:r>
          </w:p>
        </w:tc>
        <w:tc>
          <w:tcPr>
            <w:tcW w:w="49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i w:val="1"/>
                <w:iCs w:val="1"/>
                <w:color w:val="auto"/>
              </w:rPr>
              <w:t>Vice President</w:t>
            </w:r>
          </w:p>
        </w:tc>
        <w:tc>
          <w:tcPr>
            <w:tcW w:w="3600" w:type="dxa"/>
            <w:vAlign w:val="bottom"/>
            <w:tcBorders>
              <w:top w:val="single" w:sz="8" w:color="auto"/>
            </w:tcBorders>
          </w:tcPr>
          <w:p>
            <w:pPr>
              <w:spacing w:after="0"/>
              <w:rPr>
                <w:sz w:val="21"/>
                <w:szCs w:val="21"/>
                <w:color w:val="auto"/>
              </w:rPr>
            </w:pPr>
          </w:p>
        </w:tc>
      </w:tr>
      <w:tr>
        <w:trPr>
          <w:trHeight w:val="36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current title since:</w:t>
            </w:r>
          </w:p>
        </w:tc>
        <w:tc>
          <w:tcPr>
            <w:tcW w:w="49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September 1, 2020</w:t>
            </w:r>
          </w:p>
        </w:tc>
        <w:tc>
          <w:tcPr>
            <w:tcW w:w="36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Age: 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20" w:right="20"/>
        <w:spacing w:after="0" w:line="217" w:lineRule="auto"/>
        <w:rPr>
          <w:sz w:val="20"/>
          <w:szCs w:val="20"/>
          <w:color w:val="auto"/>
        </w:rPr>
      </w:pPr>
      <w:r>
        <w:rPr>
          <w:rFonts w:ascii="Times New Roman" w:cs="Times New Roman" w:eastAsia="Times New Roman" w:hAnsi="Times New Roman"/>
          <w:sz w:val="18"/>
          <w:szCs w:val="18"/>
          <w:color w:val="auto"/>
        </w:rPr>
        <w:t>Mr. Ian S. Carr was Vice President, Strategy and Planning, ExxonMobil Refining &amp; Supply Company May 1, 2014 – July 31, 2017. He was Vice President, Upstream Strategy and Planning, ExxonMobil Gas &amp; Power Marketing Company August 1, 2017 – March 31, 2019. He was Vice President, Strategy and Portfolio Management, ExxonMobil Upstream Business Development Company April 1, 2019 - September 30, 2019. He was Senior Vice President, Fuels, ExxonMobil Fuels &amp; Lubricants Company October 1, 2019 – August 31, 2020. He became President of ExxonMobil Fuels &amp; Lubricants Company and Vice President of Exxon Mobil Corporation on September 1, 2020, positions he continues to hold as of this filing date.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Linda D. DuCharme</w:t>
            </w:r>
          </w:p>
        </w:tc>
        <w:tc>
          <w:tcPr>
            <w:tcW w:w="6160" w:type="dxa"/>
            <w:vAlign w:val="bottom"/>
            <w:tcBorders>
              <w:top w:val="single" w:sz="8" w:color="auto"/>
            </w:tcBorders>
          </w:tcPr>
          <w:p>
            <w:pPr>
              <w:ind w:left="1020"/>
              <w:spacing w:after="0" w:line="189" w:lineRule="exact"/>
              <w:rPr>
                <w:sz w:val="20"/>
                <w:szCs w:val="20"/>
                <w:color w:val="auto"/>
              </w:rPr>
            </w:pPr>
            <w:r>
              <w:rPr>
                <w:rFonts w:ascii="Times New Roman" w:cs="Times New Roman" w:eastAsia="Times New Roman" w:hAnsi="Times New Roman"/>
                <w:sz w:val="18"/>
                <w:szCs w:val="18"/>
                <w:i w:val="1"/>
                <w:iCs w:val="1"/>
                <w:color w:val="auto"/>
              </w:rPr>
              <w:t>Vice President</w:t>
            </w:r>
          </w:p>
        </w:tc>
        <w:tc>
          <w:tcPr>
            <w:tcW w:w="2340" w:type="dxa"/>
            <w:vAlign w:val="bottom"/>
            <w:tcBorders>
              <w:top w:val="single" w:sz="8" w:color="auto"/>
            </w:tcBorders>
          </w:tcPr>
          <w:p>
            <w:pPr>
              <w:spacing w:after="0"/>
              <w:rPr>
                <w:sz w:val="16"/>
                <w:szCs w:val="16"/>
                <w:color w:val="auto"/>
              </w:rPr>
            </w:pPr>
          </w:p>
        </w:tc>
      </w:tr>
      <w:tr>
        <w:trPr>
          <w:trHeight w:val="236"/>
        </w:trPr>
        <w:tc>
          <w:tcPr>
            <w:tcW w:w="2740" w:type="dxa"/>
            <w:vAlign w:val="bottom"/>
          </w:tcPr>
          <w:p>
            <w:pPr>
              <w:spacing w:after="0"/>
              <w:rPr>
                <w:sz w:val="20"/>
                <w:szCs w:val="20"/>
                <w:color w:val="auto"/>
              </w:rPr>
            </w:pPr>
          </w:p>
        </w:tc>
        <w:tc>
          <w:tcPr>
            <w:tcW w:w="6160" w:type="dxa"/>
            <w:vAlign w:val="bottom"/>
          </w:tcPr>
          <w:p>
            <w:pPr>
              <w:ind w:left="1020"/>
              <w:spacing w:after="0"/>
              <w:rPr>
                <w:sz w:val="20"/>
                <w:szCs w:val="20"/>
                <w:color w:val="auto"/>
              </w:rPr>
            </w:pPr>
            <w:r>
              <w:rPr>
                <w:rFonts w:ascii="Times New Roman" w:cs="Times New Roman" w:eastAsia="Times New Roman" w:hAnsi="Times New Roman"/>
                <w:sz w:val="18"/>
                <w:szCs w:val="18"/>
                <w:i w:val="1"/>
                <w:iCs w:val="1"/>
                <w:color w:val="auto"/>
              </w:rPr>
              <w:t>President, ExxonMobil Integrated Solutions Company</w:t>
            </w:r>
          </w:p>
        </w:tc>
        <w:tc>
          <w:tcPr>
            <w:tcW w:w="2340" w:type="dxa"/>
            <w:vAlign w:val="bottom"/>
          </w:tcPr>
          <w:p>
            <w:pPr>
              <w:spacing w:after="0"/>
              <w:rPr>
                <w:sz w:val="20"/>
                <w:szCs w:val="20"/>
                <w:color w:val="auto"/>
              </w:rPr>
            </w:pPr>
          </w:p>
        </w:tc>
      </w:tr>
      <w:tr>
        <w:trPr>
          <w:trHeight w:val="452"/>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current title since:</w:t>
            </w:r>
          </w:p>
        </w:tc>
        <w:tc>
          <w:tcPr>
            <w:tcW w:w="61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July 1, 2020, and April 1, 2019, respectively</w:t>
            </w:r>
          </w:p>
        </w:tc>
        <w:tc>
          <w:tcPr>
            <w:tcW w:w="23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Age: 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both"/>
        <w:ind w:left="20" w:right="20"/>
        <w:spacing w:after="0" w:line="220" w:lineRule="auto"/>
        <w:rPr>
          <w:sz w:val="20"/>
          <w:szCs w:val="20"/>
          <w:color w:val="auto"/>
        </w:rPr>
      </w:pPr>
      <w:r>
        <w:rPr>
          <w:rFonts w:ascii="Times New Roman" w:cs="Times New Roman" w:eastAsia="Times New Roman" w:hAnsi="Times New Roman"/>
          <w:sz w:val="18"/>
          <w:szCs w:val="18"/>
          <w:color w:val="auto"/>
        </w:rPr>
        <w:t>Ms. Linda D. DuCharme was Vice President, Americas, Africa and Asia, ExxonMobil Gas &amp; Power Marketing Company July 1, 2015 – July 31, 2016. She was President of ExxonMobil Global Services Company August 1, 2016 – March 31, 2019. She became President of ExxonMobil Upstream Integrated Solutions Company April 1, 2019, and President of ExxonMobil Upstream Business Development Company and Vice President of Exxon Mobil Corporation on July 1, 2020, positions she continues to hold as of this filing date.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Neil W. Duffin</w:t>
            </w:r>
          </w:p>
        </w:tc>
        <w:tc>
          <w:tcPr>
            <w:tcW w:w="60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i w:val="1"/>
                <w:iCs w:val="1"/>
                <w:color w:val="auto"/>
              </w:rPr>
              <w:t>President, ExxonMobil Global Projects Company</w:t>
            </w:r>
          </w:p>
        </w:tc>
        <w:tc>
          <w:tcPr>
            <w:tcW w:w="2500" w:type="dxa"/>
            <w:vAlign w:val="bottom"/>
            <w:tcBorders>
              <w:top w:val="single" w:sz="8" w:color="auto"/>
            </w:tcBorders>
          </w:tcPr>
          <w:p>
            <w:pPr>
              <w:spacing w:after="0"/>
              <w:rPr>
                <w:sz w:val="21"/>
                <w:szCs w:val="21"/>
                <w:color w:val="auto"/>
              </w:rPr>
            </w:pPr>
          </w:p>
        </w:tc>
      </w:tr>
      <w:tr>
        <w:trPr>
          <w:trHeight w:val="45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current title since:</w:t>
            </w:r>
          </w:p>
        </w:tc>
        <w:tc>
          <w:tcPr>
            <w:tcW w:w="60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April 1, 2019</w:t>
            </w:r>
          </w:p>
        </w:tc>
        <w:tc>
          <w:tcPr>
            <w:tcW w:w="25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Age: 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20" w:right="20"/>
        <w:spacing w:after="0" w:line="226" w:lineRule="auto"/>
        <w:rPr>
          <w:sz w:val="20"/>
          <w:szCs w:val="20"/>
          <w:color w:val="auto"/>
        </w:rPr>
      </w:pPr>
      <w:r>
        <w:rPr>
          <w:rFonts w:ascii="Times New Roman" w:cs="Times New Roman" w:eastAsia="Times New Roman" w:hAnsi="Times New Roman"/>
          <w:sz w:val="18"/>
          <w:szCs w:val="18"/>
          <w:color w:val="auto"/>
        </w:rPr>
        <w:t>Mr. Neil W. Duffin was President of ExxonMobil Development Company April 13, 2007 – December 31, 2016. He was President of ExxonMobil Production Company and Vice President of Exxon Mobil Corporation January 1, 2017 – March 31, 2019. He became President of ExxonMobil Global Projects Company on April 1, 2019, a position he continues to hold as of this filing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52"/>
        </w:trPr>
        <w:tc>
          <w:tcPr>
            <w:tcW w:w="2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Stephen A. Littleton</w:t>
            </w:r>
          </w:p>
        </w:tc>
        <w:tc>
          <w:tcPr>
            <w:tcW w:w="60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i w:val="1"/>
                <w:iCs w:val="1"/>
                <w:color w:val="auto"/>
              </w:rPr>
              <w:t>Vice President – Investor Relations and Secretary</w:t>
            </w:r>
          </w:p>
        </w:tc>
        <w:tc>
          <w:tcPr>
            <w:tcW w:w="2500" w:type="dxa"/>
            <w:vAlign w:val="bottom"/>
            <w:tcBorders>
              <w:top w:val="single" w:sz="8" w:color="auto"/>
            </w:tcBorders>
          </w:tcPr>
          <w:p>
            <w:pPr>
              <w:spacing w:after="0"/>
              <w:rPr>
                <w:sz w:val="21"/>
                <w:szCs w:val="21"/>
                <w:color w:val="auto"/>
              </w:rPr>
            </w:pPr>
          </w:p>
        </w:tc>
      </w:tr>
      <w:tr>
        <w:trPr>
          <w:trHeight w:val="45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current title since:</w:t>
            </w:r>
          </w:p>
        </w:tc>
        <w:tc>
          <w:tcPr>
            <w:tcW w:w="60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March 15, 2020</w:t>
            </w:r>
          </w:p>
        </w:tc>
        <w:tc>
          <w:tcPr>
            <w:tcW w:w="25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Age: 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0"/>
          <w:szCs w:val="20"/>
          <w:color w:val="auto"/>
        </w:rPr>
      </w:pPr>
    </w:p>
    <w:p>
      <w:pPr>
        <w:jc w:val="both"/>
        <w:ind w:left="20" w:right="20"/>
        <w:spacing w:after="0" w:line="250" w:lineRule="auto"/>
        <w:rPr>
          <w:sz w:val="20"/>
          <w:szCs w:val="20"/>
          <w:color w:val="auto"/>
        </w:rPr>
      </w:pPr>
      <w:r>
        <w:rPr>
          <w:rFonts w:ascii="Times New Roman" w:cs="Times New Roman" w:eastAsia="Times New Roman" w:hAnsi="Times New Roman"/>
          <w:sz w:val="18"/>
          <w:szCs w:val="18"/>
          <w:color w:val="auto"/>
        </w:rPr>
        <w:t>Mr. Stephen A. Littleton was Assistant Controller of Exxon Mobil Corporation June 1, 2015 - April 30, 2018. He was Vice President, Downstream Business Services and Downstream Controller May 1, 2018 - March 14, 2020. He became Vice President – Investor Relations and Secretary of Exxon Mobil Corporation on March 15, 2020, positions he continues to hold as of this filing date.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Liam M. Mallon</w:t>
            </w:r>
          </w:p>
        </w:tc>
        <w:tc>
          <w:tcPr>
            <w:tcW w:w="474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i w:val="1"/>
                <w:iCs w:val="1"/>
                <w:color w:val="auto"/>
              </w:rPr>
              <w:t>Vice President</w:t>
            </w:r>
          </w:p>
        </w:tc>
        <w:tc>
          <w:tcPr>
            <w:tcW w:w="3760" w:type="dxa"/>
            <w:vAlign w:val="bottom"/>
            <w:tcBorders>
              <w:top w:val="single" w:sz="8" w:color="auto"/>
            </w:tcBorders>
          </w:tcPr>
          <w:p>
            <w:pPr>
              <w:spacing w:after="0"/>
              <w:rPr>
                <w:sz w:val="21"/>
                <w:szCs w:val="21"/>
                <w:color w:val="auto"/>
              </w:rPr>
            </w:pPr>
          </w:p>
        </w:tc>
      </w:tr>
      <w:tr>
        <w:trPr>
          <w:trHeight w:val="45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current title since:</w:t>
            </w:r>
          </w:p>
        </w:tc>
        <w:tc>
          <w:tcPr>
            <w:tcW w:w="47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April 1, 2019</w:t>
            </w:r>
          </w:p>
        </w:tc>
        <w:tc>
          <w:tcPr>
            <w:tcW w:w="37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Age: 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both"/>
        <w:ind w:left="20" w:right="20"/>
        <w:spacing w:after="0" w:line="226" w:lineRule="auto"/>
        <w:rPr>
          <w:sz w:val="20"/>
          <w:szCs w:val="20"/>
          <w:color w:val="auto"/>
        </w:rPr>
      </w:pPr>
      <w:r>
        <w:rPr>
          <w:rFonts w:ascii="Times New Roman" w:cs="Times New Roman" w:eastAsia="Times New Roman" w:hAnsi="Times New Roman"/>
          <w:sz w:val="18"/>
          <w:szCs w:val="18"/>
          <w:color w:val="auto"/>
        </w:rPr>
        <w:t>Mr. Liam M. Mallon was Executive Vice President, ExxonMobil Development Company February 1, 2014 – December 31, 2016. He was President of ExxonMobil Development Company January 1, 2017 – March 31, 2019. He became President of ExxonMobil Upstream Oil &amp; Gas Company and Vice President of Exxon Mobil Corporation on April 1, 2019, positions he continues to hold as of this filing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Karen T. McKee</w:t>
            </w:r>
          </w:p>
        </w:tc>
        <w:tc>
          <w:tcPr>
            <w:tcW w:w="474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i w:val="1"/>
                <w:iCs w:val="1"/>
                <w:color w:val="auto"/>
              </w:rPr>
              <w:t>Vice President</w:t>
            </w:r>
          </w:p>
        </w:tc>
        <w:tc>
          <w:tcPr>
            <w:tcW w:w="3760" w:type="dxa"/>
            <w:vAlign w:val="bottom"/>
            <w:tcBorders>
              <w:top w:val="single" w:sz="8" w:color="auto"/>
            </w:tcBorders>
          </w:tcPr>
          <w:p>
            <w:pPr>
              <w:spacing w:after="0"/>
              <w:rPr>
                <w:sz w:val="21"/>
                <w:szCs w:val="21"/>
                <w:color w:val="auto"/>
              </w:rPr>
            </w:pPr>
          </w:p>
        </w:tc>
      </w:tr>
      <w:tr>
        <w:trPr>
          <w:trHeight w:val="45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current title since:</w:t>
            </w:r>
          </w:p>
        </w:tc>
        <w:tc>
          <w:tcPr>
            <w:tcW w:w="474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April 1, 2019</w:t>
            </w:r>
          </w:p>
        </w:tc>
        <w:tc>
          <w:tcPr>
            <w:tcW w:w="37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Age: 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20" w:right="20"/>
        <w:spacing w:after="0" w:line="226" w:lineRule="auto"/>
        <w:rPr>
          <w:sz w:val="20"/>
          <w:szCs w:val="20"/>
          <w:color w:val="auto"/>
        </w:rPr>
      </w:pPr>
      <w:r>
        <w:rPr>
          <w:rFonts w:ascii="Times New Roman" w:cs="Times New Roman" w:eastAsia="Times New Roman" w:hAnsi="Times New Roman"/>
          <w:sz w:val="18"/>
          <w:szCs w:val="18"/>
          <w:color w:val="auto"/>
        </w:rPr>
        <w:t>Ms. Karen T. McKee was Vice President, Basic Chemicals, ExxonMobil Chemical Company May 1, 2014 – July 31, 2017. She was Senior Vice President, Basic Chemicals, Integration &amp; Growth, ExxonMobil Chemical Company August 1, 2017 – March 31, 2019. She became President of ExxonMobil Chemical Company and Vice President of Exxon Mobil Corporation on April 1, 2019, positions she continues to hold as of this filing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Craig S. Morford</w:t>
            </w:r>
          </w:p>
        </w:tc>
        <w:tc>
          <w:tcPr>
            <w:tcW w:w="552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i w:val="1"/>
                <w:iCs w:val="1"/>
                <w:color w:val="auto"/>
              </w:rPr>
              <w:t>Vice President and General Counsel</w:t>
            </w:r>
          </w:p>
        </w:tc>
        <w:tc>
          <w:tcPr>
            <w:tcW w:w="2980" w:type="dxa"/>
            <w:vAlign w:val="bottom"/>
            <w:tcBorders>
              <w:top w:val="single" w:sz="8" w:color="auto"/>
            </w:tcBorders>
          </w:tcPr>
          <w:p>
            <w:pPr>
              <w:spacing w:after="0"/>
              <w:rPr>
                <w:sz w:val="21"/>
                <w:szCs w:val="21"/>
                <w:color w:val="auto"/>
              </w:rPr>
            </w:pPr>
          </w:p>
        </w:tc>
      </w:tr>
      <w:tr>
        <w:trPr>
          <w:trHeight w:val="45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current title since:</w:t>
            </w:r>
          </w:p>
        </w:tc>
        <w:tc>
          <w:tcPr>
            <w:tcW w:w="55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November 1, 2020</w:t>
            </w:r>
          </w:p>
        </w:tc>
        <w:tc>
          <w:tcPr>
            <w:tcW w:w="29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Age: 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20" w:right="20"/>
        <w:spacing w:after="0" w:line="226" w:lineRule="auto"/>
        <w:rPr>
          <w:sz w:val="20"/>
          <w:szCs w:val="20"/>
          <w:color w:val="auto"/>
        </w:rPr>
      </w:pPr>
      <w:r>
        <w:rPr>
          <w:rFonts w:ascii="Times New Roman" w:cs="Times New Roman" w:eastAsia="Times New Roman" w:hAnsi="Times New Roman"/>
          <w:sz w:val="18"/>
          <w:szCs w:val="18"/>
          <w:color w:val="auto"/>
        </w:rPr>
        <w:t>Mr. Craig S. Morford was Chief Legal and Compliance Officer of Cardinal Heath, Inc. prior to joining Exxon Mobil Corporation in May 2019. He was Deputy General Counsel of Exxon Mobil Corporation May 1, 2019 - October 31, 2020. He became Vice President and General Counsel of Exxon Mobil Corporation on November 1, 2020, positions he continues to hold as of this filing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David S. Rosenthal</w:t>
            </w:r>
          </w:p>
        </w:tc>
        <w:tc>
          <w:tcPr>
            <w:tcW w:w="54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i w:val="1"/>
                <w:iCs w:val="1"/>
                <w:color w:val="auto"/>
              </w:rPr>
              <w:t>Vice President and Controller</w:t>
            </w:r>
          </w:p>
        </w:tc>
        <w:tc>
          <w:tcPr>
            <w:tcW w:w="3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96"/>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current title since:</w:t>
            </w:r>
          </w:p>
        </w:tc>
        <w:tc>
          <w:tcPr>
            <w:tcW w:w="54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October 1, 2008 (Vice President)</w:t>
            </w:r>
          </w:p>
        </w:tc>
        <w:tc>
          <w:tcPr>
            <w:tcW w:w="3100" w:type="dxa"/>
            <w:vAlign w:val="bottom"/>
            <w:vMerge w:val="restart"/>
          </w:tcPr>
          <w:p>
            <w:pPr>
              <w:ind w:left="2020"/>
              <w:spacing w:after="0"/>
              <w:rPr>
                <w:sz w:val="20"/>
                <w:szCs w:val="20"/>
                <w:color w:val="auto"/>
              </w:rPr>
            </w:pPr>
            <w:r>
              <w:rPr>
                <w:rFonts w:ascii="Times New Roman" w:cs="Times New Roman" w:eastAsia="Times New Roman" w:hAnsi="Times New Roman"/>
                <w:sz w:val="18"/>
                <w:szCs w:val="18"/>
                <w:color w:val="auto"/>
              </w:rPr>
              <w:t>Age: 64</w:t>
            </w: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54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September 1, 2014 (Controller)</w:t>
            </w:r>
          </w:p>
        </w:tc>
        <w:tc>
          <w:tcPr>
            <w:tcW w:w="3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20" w:right="20"/>
        <w:spacing w:after="0" w:line="237" w:lineRule="auto"/>
        <w:rPr>
          <w:sz w:val="20"/>
          <w:szCs w:val="20"/>
          <w:color w:val="auto"/>
        </w:rPr>
      </w:pPr>
      <w:r>
        <w:rPr>
          <w:rFonts w:ascii="Times New Roman" w:cs="Times New Roman" w:eastAsia="Times New Roman" w:hAnsi="Times New Roman"/>
          <w:sz w:val="18"/>
          <w:szCs w:val="18"/>
          <w:color w:val="auto"/>
        </w:rPr>
        <w:t>Mr. David S. Rosenthal was Vice President – Investor Relations and Secretary of Exxon Mobil Corporation October 1, 2008 – August 31, 2014. He became Vice President and Controller of Exxon Mobil Corporation on September 1, 2014, positions he continues to hold as of this filing date.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James M. Spellings, Jr.</w:t>
            </w:r>
          </w:p>
        </w:tc>
        <w:tc>
          <w:tcPr>
            <w:tcW w:w="624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8"/>
                <w:szCs w:val="18"/>
                <w:i w:val="1"/>
                <w:iCs w:val="1"/>
                <w:color w:val="auto"/>
              </w:rPr>
              <w:t>Vice President – Treasurer and General Tax Counsel</w:t>
            </w:r>
          </w:p>
        </w:tc>
        <w:tc>
          <w:tcPr>
            <w:tcW w:w="2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15"/>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current title since:</w:t>
            </w:r>
          </w:p>
        </w:tc>
        <w:tc>
          <w:tcPr>
            <w:tcW w:w="6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March 1, 2010 (Vice President and General Tax Counsel)</w:t>
            </w:r>
          </w:p>
        </w:tc>
        <w:tc>
          <w:tcPr>
            <w:tcW w:w="2220" w:type="dxa"/>
            <w:vAlign w:val="bottom"/>
            <w:vMerge w:val="restart"/>
          </w:tcPr>
          <w:p>
            <w:pPr>
              <w:ind w:left="1140"/>
              <w:spacing w:after="0"/>
              <w:rPr>
                <w:sz w:val="20"/>
                <w:szCs w:val="20"/>
                <w:color w:val="auto"/>
              </w:rPr>
            </w:pPr>
            <w:r>
              <w:rPr>
                <w:rFonts w:ascii="Times New Roman" w:cs="Times New Roman" w:eastAsia="Times New Roman" w:hAnsi="Times New Roman"/>
                <w:sz w:val="18"/>
                <w:szCs w:val="18"/>
                <w:color w:val="auto"/>
              </w:rPr>
              <w:t>Age: 59</w:t>
            </w: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p>
        </w:tc>
        <w:tc>
          <w:tcPr>
            <w:tcW w:w="62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April 1, 2020 (Treasurer)</w:t>
            </w:r>
          </w:p>
        </w:tc>
        <w:tc>
          <w:tcPr>
            <w:tcW w:w="2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both"/>
        <w:ind w:left="20" w:right="20"/>
        <w:spacing w:after="0" w:line="237" w:lineRule="auto"/>
        <w:rPr>
          <w:sz w:val="20"/>
          <w:szCs w:val="20"/>
          <w:color w:val="auto"/>
        </w:rPr>
      </w:pPr>
      <w:r>
        <w:rPr>
          <w:rFonts w:ascii="Times New Roman" w:cs="Times New Roman" w:eastAsia="Times New Roman" w:hAnsi="Times New Roman"/>
          <w:sz w:val="18"/>
          <w:szCs w:val="18"/>
          <w:color w:val="auto"/>
        </w:rPr>
        <w:t>Mr. James M. Spellings, Jr. became Vice President and General Tax Counsel of Exxon Mobil Corporation March 1, 2010 and Treasurer of Exxon Mobil Corporation on April 1, 2020, positions he continues to hold as of this filing date.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Theodore J. Wojnar, Jr.</w:t>
            </w:r>
          </w:p>
        </w:tc>
        <w:tc>
          <w:tcPr>
            <w:tcW w:w="584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8"/>
                <w:szCs w:val="18"/>
                <w:i w:val="1"/>
                <w:iCs w:val="1"/>
                <w:color w:val="auto"/>
              </w:rPr>
              <w:t>Vice President – Corporate Strategic Planning</w:t>
            </w:r>
          </w:p>
        </w:tc>
        <w:tc>
          <w:tcPr>
            <w:tcW w:w="2600" w:type="dxa"/>
            <w:vAlign w:val="bottom"/>
            <w:tcBorders>
              <w:top w:val="single" w:sz="8" w:color="auto"/>
            </w:tcBorders>
          </w:tcPr>
          <w:p>
            <w:pPr>
              <w:spacing w:after="0"/>
              <w:rPr>
                <w:sz w:val="21"/>
                <w:szCs w:val="21"/>
                <w:color w:val="auto"/>
              </w:rPr>
            </w:pPr>
          </w:p>
        </w:tc>
      </w:tr>
      <w:tr>
        <w:trPr>
          <w:trHeight w:val="369"/>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Held current title since:</w:t>
            </w:r>
          </w:p>
        </w:tc>
        <w:tc>
          <w:tcPr>
            <w:tcW w:w="58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August 1, 2017</w:t>
            </w:r>
          </w:p>
        </w:tc>
        <w:tc>
          <w:tcPr>
            <w:tcW w:w="26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Age: 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20" w:right="20"/>
        <w:spacing w:after="0" w:line="237" w:lineRule="auto"/>
        <w:rPr>
          <w:sz w:val="20"/>
          <w:szCs w:val="20"/>
          <w:color w:val="auto"/>
        </w:rPr>
      </w:pPr>
      <w:r>
        <w:rPr>
          <w:rFonts w:ascii="Times New Roman" w:cs="Times New Roman" w:eastAsia="Times New Roman" w:hAnsi="Times New Roman"/>
          <w:sz w:val="18"/>
          <w:szCs w:val="18"/>
          <w:color w:val="auto"/>
        </w:rPr>
        <w:t>Mr. Theodore J. Wojnar, Jr. was President of ExxonMobil Research and Engineering Company April 1, 2011 – July 31, 2017. He became Vice President – Corporate Strategic Planning of Exxon Mobil Corporation on August 1, 2017, a position he continues to hold as of this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Officers are generally elected by the Board of Directors at its meeting on the day of each annual election of directors, with each such officer serving until a successor has been elected and qualified. The above-named officers are required to file reports under Section 16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238" w:lineRule="exact"/>
        <w:rPr>
          <w:sz w:val="20"/>
          <w:szCs w:val="20"/>
          <w:color w:val="auto"/>
        </w:rPr>
      </w:pPr>
    </w:p>
    <w:p>
      <w:pPr>
        <w:jc w:val="both"/>
        <w:ind w:left="1140" w:hanging="1133"/>
        <w:spacing w:after="0" w:line="273"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principal market where ExxonMobil common stock (XOM) is traded is the New York Stock Exchange, although the stock is traded on other exchanges in and outside the United States.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343,633 registered shareholders of ExxonMobil common stock at December 31, 2020. At January 31, 2021, the registered shareholders of ExxonMobil common stock numbered 341,925.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27, 2021, the Corporation declared an $0.87 dividend per common share, payable March 10,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Item 12 in Part III of this report.</w:t>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 for Quarter Ended December 31, 2020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70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4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6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35"/>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2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6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89"/>
        </w:trPr>
        <w:tc>
          <w:tcPr>
            <w:tcW w:w="470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21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2020</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2020</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2020</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(See Note 1)</w:t>
            </w:r>
          </w:p>
        </w:tc>
        <w:tc>
          <w:tcPr>
            <w:tcW w:w="0" w:type="dxa"/>
            <w:vAlign w:val="bottom"/>
          </w:tcPr>
          <w:p>
            <w:pPr>
              <w:spacing w:after="0"/>
              <w:rPr>
                <w:sz w:val="1"/>
                <w:szCs w:val="1"/>
                <w:color w:val="auto"/>
              </w:rPr>
            </w:pPr>
          </w:p>
        </w:tc>
      </w:tr>
      <w:tr>
        <w:trPr>
          <w:trHeight w:val="223"/>
        </w:trPr>
        <w:tc>
          <w:tcPr>
            <w:tcW w:w="4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fourth quarter, the Corporation did not purchase any shares of its common stock for the treasury, and did not issue or sell any unregistered equity securities.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Note 1 - In its earnings release dated February 2, 2021, the Corporation stated that it had suspended its first quarter 2021 anti-dilutive share repurchase program due to market uncertainty and intends to resume this program in the future as market conditions improve.</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 is made to the section entitled “Management’s Discussion and Analysis of Financial Condition and Results of Operations” in the Financial Section of this report.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Reference is made to the section entitled “Market Risks, Inflation and Other Uncertainties”, excluding the part entitled “Inflation and Other Uncertainties”, in the Financial Section of this report. All statements, other than historical information incorporated in this Item 7A, are forward-looking statements. The actual impact of future market changes could differ materially due to, among other things, factors discussed in this report.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the following in the Financial Section of this report:</w:t>
      </w:r>
    </w:p>
    <w:p>
      <w:pPr>
        <w:spacing w:after="0" w:line="104" w:lineRule="exact"/>
        <w:rPr>
          <w:sz w:val="20"/>
          <w:szCs w:val="20"/>
          <w:color w:val="auto"/>
        </w:rPr>
      </w:pPr>
    </w:p>
    <w:p>
      <w:pPr>
        <w:ind w:left="740" w:hanging="327"/>
        <w:spacing w:after="0" w:line="273" w:lineRule="auto"/>
        <w:tabs>
          <w:tab w:leader="none" w:pos="7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together with the report thereon of PricewaterhouseCoopers LLP dated February 24, 2021, beginning with the section entitled “Report of Independent Registered Public Accounting Firm” and continuing through “Note 20: Restructuring Activities”;</w:t>
      </w:r>
    </w:p>
    <w:p>
      <w:pPr>
        <w:spacing w:after="0" w:line="1"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Information on Oil and Gas Exploration and Production Activities” (unaudited); and</w:t>
      </w:r>
    </w:p>
    <w:p>
      <w:pPr>
        <w:spacing w:after="0" w:line="36"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“Frequently Used Terms” (unaudited).</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 CHANGES IN AND DISAGREEMENTS WITH ACCOUNTANTS ON ACCOUNTING AND FINANCIAL DISCLOSURE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Evaluation of Disclosure Controls and Procedures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indicated in the certifications in Exhibit 31 of this report, the Corporation’s Chief Executive Officer, Principal Financial Officer and Principal Accounting Officer have evaluated the Corporation’s disclosure controls and procedures as of December 31, 2020. Based on that evaluation, these officers have concluded that the Corporation’s disclosure controls and procedures are effective in ensuring that information required to be disclosed by the Corporation in the reports that it files or submits under the Securities Exchange Act of 1934, as amended, is accumulated and communicated to them in a manner that allows for timely decisions regarding required disclosures and are effective in ensuring that such information is recorded, processed, summarized and reported within the time periods specified in the Securities and Exchange Commission’s rules and forms.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Management, including the Corporation’s Chief Executive Officer, Principal Financial Officer and Principal Accounting Officer, is responsible for establishing and maintaining adequate internal control over the Corporation’s financial reporting. Management conducted an evaluation of the effectiveness of internal control over financial reporting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evaluation, management concluded that Exxon Mobil Corporation’s internal control over financial reporting was effective as of December 31, 2020.</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audited the effectiveness of the Corporation’s internal control over financial reporting as of December 31, 2020, as stated in their report included in the Financial Section of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during the Corporation’s last fiscal quarter that materially affected, or are reasonably likely to materially affect, the Corporation’s internal control over financial reporting.</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the section of this report titled “Information about our Executive Officers”.</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following from the registrant’s definitive proxy statement for the 2021 annual meeting of shareholders (the “2021 Proxy Statement”):</w:t>
      </w:r>
    </w:p>
    <w:p>
      <w:pPr>
        <w:spacing w:after="0" w:line="27" w:lineRule="exact"/>
        <w:rPr>
          <w:sz w:val="20"/>
          <w:szCs w:val="20"/>
          <w:color w:val="auto"/>
        </w:rPr>
      </w:pPr>
    </w:p>
    <w:p>
      <w:pPr>
        <w:ind w:left="820" w:hanging="407"/>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“Election of Directors”;</w:t>
      </w:r>
    </w:p>
    <w:p>
      <w:pPr>
        <w:spacing w:after="0" w:line="2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entitled “Delinquent Section 16(a) Reports” of the section entitled “Director and Executive Officer Stock Ownership”;</w:t>
      </w:r>
    </w:p>
    <w:p>
      <w:pPr>
        <w:spacing w:after="0" w:line="9" w:lineRule="exact"/>
        <w:rPr>
          <w:rFonts w:ascii="Times New Roman" w:cs="Times New Roman" w:eastAsia="Times New Roman" w:hAnsi="Times New Roman"/>
          <w:sz w:val="18"/>
          <w:szCs w:val="18"/>
          <w:color w:val="auto"/>
        </w:rPr>
      </w:pPr>
    </w:p>
    <w:p>
      <w:pPr>
        <w:ind w:left="820" w:hanging="407"/>
        <w:spacing w:after="0" w:line="250"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portions entitled “Director Qualifications”, “Director Nomination Process and Board Succession”, and “Code of Ethics and Business Conduct” of the section entitled “Corporate Governance”; and</w:t>
      </w:r>
    </w:p>
    <w:p>
      <w:pPr>
        <w:ind w:left="820" w:right="20" w:hanging="407"/>
        <w:spacing w:after="0" w:line="260"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portion, “Director Independence” portion, and the membership table of the portions entitled “Board Meetings and Annual Meeting Attendance” and “Board Committees” of the section entitled “Corporate Governance”.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sections entitled “Director Compensation”, “Compensation Committee Report”, “Compensation Discussion and Analysis”, “Executive Compensation Tables”, and “Pay Ratio” of the registrant’s 2021 Proxy Statement.</w:t>
      </w:r>
    </w:p>
    <w:p>
      <w:pPr>
        <w:spacing w:after="0" w:line="200" w:lineRule="exact"/>
        <w:rPr>
          <w:sz w:val="20"/>
          <w:szCs w:val="20"/>
          <w:color w:val="auto"/>
        </w:rPr>
      </w:pPr>
    </w:p>
    <w:p>
      <w:pPr>
        <w:spacing w:after="0" w:line="318" w:lineRule="exact"/>
        <w:rPr>
          <w:sz w:val="20"/>
          <w:szCs w:val="20"/>
          <w:color w:val="auto"/>
        </w:rPr>
      </w:pPr>
    </w:p>
    <w:p>
      <w:pPr>
        <w:ind w:left="1220" w:hanging="1214"/>
        <w:spacing w:after="0" w:line="273"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under Item 403 of Regulation S-K is incorporated by reference to the sections “Director and Executive Officer Stock Ownership” and “Certain Beneficial Owners” of the registrant’s 2021 Proxy Statement.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jc w:val="cente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(a)</w:t>
            </w:r>
          </w:p>
        </w:tc>
        <w:tc>
          <w:tcPr>
            <w:tcW w:w="8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7"/>
              </w:rPr>
              <w:t>(b)</w:t>
            </w:r>
          </w:p>
        </w:tc>
        <w:tc>
          <w:tcPr>
            <w:tcW w:w="1340" w:type="dxa"/>
            <w:vAlign w:val="bottom"/>
            <w:tcBorders>
              <w:top w:val="single" w:sz="8" w:color="auto"/>
            </w:tcBorders>
          </w:tcPr>
          <w:p>
            <w:pPr>
              <w:jc w:val="center"/>
              <w:ind w:left="902"/>
              <w:spacing w:after="0"/>
              <w:rPr>
                <w:sz w:val="20"/>
                <w:szCs w:val="20"/>
                <w:color w:val="auto"/>
              </w:rPr>
            </w:pPr>
            <w:r>
              <w:rPr>
                <w:rFonts w:ascii="Times New Roman" w:cs="Times New Roman" w:eastAsia="Times New Roman" w:hAnsi="Times New Roman"/>
                <w:sz w:val="14"/>
                <w:szCs w:val="14"/>
                <w:b w:val="1"/>
                <w:bCs w:val="1"/>
                <w:i w:val="1"/>
                <w:iCs w:val="1"/>
                <w:color w:val="auto"/>
              </w:rPr>
              <w:t>(c)</w:t>
            </w: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260" w:type="dxa"/>
            <w:vAlign w:val="bottom"/>
            <w:gridSpan w:val="2"/>
          </w:tcPr>
          <w:p>
            <w:pPr>
              <w:jc w:val="center"/>
              <w:ind w:left="2"/>
              <w:spacing w:after="0" w:line="146"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2720" w:type="dxa"/>
            <w:vAlign w:val="bottom"/>
            <w:gridSpan w:val="2"/>
            <w:vMerge w:val="restart"/>
          </w:tcPr>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Number of Securities to be Issued</w:t>
            </w: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Remaining Available for Future</w:t>
            </w:r>
          </w:p>
        </w:tc>
        <w:tc>
          <w:tcPr>
            <w:tcW w:w="0" w:type="dxa"/>
            <w:vAlign w:val="bottom"/>
          </w:tcPr>
          <w:p>
            <w:pPr>
              <w:spacing w:after="0"/>
              <w:rPr>
                <w:sz w:val="1"/>
                <w:szCs w:val="1"/>
                <w:color w:val="auto"/>
              </w:rPr>
            </w:pPr>
          </w:p>
        </w:tc>
      </w:tr>
      <w:tr>
        <w:trPr>
          <w:trHeight w:val="135"/>
        </w:trPr>
        <w:tc>
          <w:tcPr>
            <w:tcW w:w="4900" w:type="dxa"/>
            <w:vAlign w:val="bottom"/>
          </w:tcPr>
          <w:p>
            <w:pPr>
              <w:spacing w:after="0"/>
              <w:rPr>
                <w:sz w:val="11"/>
                <w:szCs w:val="11"/>
                <w:color w:val="auto"/>
              </w:rPr>
            </w:pPr>
          </w:p>
        </w:tc>
        <w:tc>
          <w:tcPr>
            <w:tcW w:w="2720" w:type="dxa"/>
            <w:vAlign w:val="bottom"/>
            <w:gridSpan w:val="2"/>
            <w:vMerge w:val="continue"/>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60" w:type="dxa"/>
            <w:vAlign w:val="bottom"/>
            <w:gridSpan w:val="2"/>
          </w:tcPr>
          <w:p>
            <w:pPr>
              <w:jc w:val="center"/>
              <w:ind w:left="2"/>
              <w:spacing w:after="0" w:line="135"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35"/>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720" w:type="dxa"/>
            <w:vAlign w:val="bottom"/>
            <w:gridSpan w:val="2"/>
          </w:tcPr>
          <w:p>
            <w:pPr>
              <w:jc w:val="center"/>
              <w:ind w:left="340"/>
              <w:spacing w:after="0" w:line="135" w:lineRule="exact"/>
              <w:rPr>
                <w:sz w:val="20"/>
                <w:szCs w:val="20"/>
                <w:color w:val="auto"/>
              </w:rPr>
            </w:pPr>
            <w:r>
              <w:rPr>
                <w:rFonts w:ascii="Times New Roman" w:cs="Times New Roman" w:eastAsia="Times New Roman" w:hAnsi="Times New Roman"/>
                <w:sz w:val="14"/>
                <w:szCs w:val="14"/>
                <w:b w:val="1"/>
                <w:bCs w:val="1"/>
                <w:color w:val="auto"/>
              </w:rPr>
              <w:t>Upon Exercise of Outstanding</w:t>
            </w: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Compensation Plans [Excluding</w:t>
            </w:r>
          </w:p>
        </w:tc>
        <w:tc>
          <w:tcPr>
            <w:tcW w:w="0" w:type="dxa"/>
            <w:vAlign w:val="bottom"/>
          </w:tcPr>
          <w:p>
            <w:pPr>
              <w:spacing w:after="0"/>
              <w:rPr>
                <w:sz w:val="1"/>
                <w:szCs w:val="1"/>
                <w:color w:val="auto"/>
              </w:rPr>
            </w:pPr>
          </w:p>
        </w:tc>
      </w:tr>
      <w:tr>
        <w:trPr>
          <w:trHeight w:val="189"/>
        </w:trPr>
        <w:tc>
          <w:tcPr>
            <w:tcW w:w="4900" w:type="dxa"/>
            <w:vAlign w:val="bottom"/>
            <w:tcBorders>
              <w:bottom w:val="single" w:sz="8" w:color="auto"/>
            </w:tcBorders>
            <w:vMerge w:val="continue"/>
          </w:tcPr>
          <w:p>
            <w:pPr>
              <w:spacing w:after="0"/>
              <w:rPr>
                <w:sz w:val="16"/>
                <w:szCs w:val="16"/>
                <w:color w:val="auto"/>
              </w:rPr>
            </w:pPr>
          </w:p>
        </w:tc>
        <w:tc>
          <w:tcPr>
            <w:tcW w:w="2720" w:type="dxa"/>
            <w:vAlign w:val="bottom"/>
            <w:tcBorders>
              <w:bottom w:val="single" w:sz="8" w:color="auto"/>
            </w:tcBorders>
            <w:gridSpan w:val="2"/>
          </w:tcPr>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Options, Warrants and Rights</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260" w:type="dxa"/>
            <w:vAlign w:val="bottom"/>
            <w:tcBorders>
              <w:bottom w:val="single" w:sz="8" w:color="auto"/>
            </w:tcBorders>
            <w:gridSpan w:val="2"/>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Securities Reflected in Column (a)]</w:t>
            </w:r>
          </w:p>
        </w:tc>
        <w:tc>
          <w:tcPr>
            <w:tcW w:w="0" w:type="dxa"/>
            <w:vAlign w:val="bottom"/>
          </w:tcPr>
          <w:p>
            <w:pPr>
              <w:spacing w:after="0"/>
              <w:rPr>
                <w:sz w:val="1"/>
                <w:szCs w:val="1"/>
                <w:color w:val="auto"/>
              </w:rPr>
            </w:pPr>
          </w:p>
        </w:tc>
      </w:tr>
      <w:tr>
        <w:trPr>
          <w:trHeight w:val="22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8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42,714,580</w:t>
            </w:r>
          </w:p>
        </w:tc>
        <w:tc>
          <w:tcPr>
            <w:tcW w:w="880" w:type="dxa"/>
            <w:vAlign w:val="bottom"/>
          </w:tcPr>
          <w:p>
            <w:pPr>
              <w:jc w:val="right"/>
              <w:ind w:right="568"/>
              <w:spacing w:after="0"/>
              <w:rPr>
                <w:sz w:val="20"/>
                <w:szCs w:val="20"/>
                <w:color w:val="auto"/>
              </w:rPr>
            </w:pPr>
            <w:r>
              <w:rPr>
                <w:rFonts w:ascii="Times New Roman" w:cs="Times New Roman" w:eastAsia="Times New Roman" w:hAnsi="Times New Roman"/>
                <w:sz w:val="14"/>
                <w:szCs w:val="14"/>
                <w:i w:val="1"/>
                <w:iCs w:val="1"/>
                <w:color w:val="auto"/>
              </w:rPr>
              <w:t>(1)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70,944,592</w:t>
            </w:r>
          </w:p>
        </w:tc>
        <w:tc>
          <w:tcPr>
            <w:tcW w:w="920" w:type="dxa"/>
            <w:vAlign w:val="bottom"/>
          </w:tcPr>
          <w:p>
            <w:pPr>
              <w:jc w:val="right"/>
              <w:ind w:right="448"/>
              <w:spacing w:after="0"/>
              <w:rPr>
                <w:sz w:val="20"/>
                <w:szCs w:val="20"/>
                <w:color w:val="auto"/>
              </w:rPr>
            </w:pPr>
            <w:r>
              <w:rPr>
                <w:rFonts w:ascii="Times New Roman" w:cs="Times New Roman" w:eastAsia="Times New Roman" w:hAnsi="Times New Roman"/>
                <w:sz w:val="14"/>
                <w:szCs w:val="14"/>
                <w:i w:val="1"/>
                <w:iCs w:val="1"/>
                <w:color w:val="auto"/>
              </w:rPr>
              <w:t>(2)(3)</w:t>
            </w:r>
          </w:p>
        </w:tc>
        <w:tc>
          <w:tcPr>
            <w:tcW w:w="0" w:type="dxa"/>
            <w:vAlign w:val="bottom"/>
          </w:tcPr>
          <w:p>
            <w:pPr>
              <w:spacing w:after="0"/>
              <w:rPr>
                <w:sz w:val="1"/>
                <w:szCs w:val="1"/>
                <w:color w:val="auto"/>
              </w:rPr>
            </w:pPr>
          </w:p>
        </w:tc>
      </w:tr>
      <w:tr>
        <w:trPr>
          <w:trHeight w:val="441"/>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8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42,714,580</w:t>
            </w:r>
          </w:p>
        </w:tc>
        <w:tc>
          <w:tcPr>
            <w:tcW w:w="8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70,944,592</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number of restricted stock units to be settled in shares.</w:t>
      </w:r>
    </w:p>
    <w:p>
      <w:pPr>
        <w:spacing w:after="0" w:line="63" w:lineRule="exact"/>
        <w:rPr>
          <w:rFonts w:ascii="Times New Roman" w:cs="Times New Roman" w:eastAsia="Times New Roman" w:hAnsi="Times New Roman"/>
          <w:sz w:val="18"/>
          <w:szCs w:val="18"/>
          <w:i w:val="1"/>
          <w:iCs w:val="1"/>
          <w:color w:val="auto"/>
        </w:rPr>
      </w:pPr>
    </w:p>
    <w:p>
      <w:pPr>
        <w:ind w:left="660" w:hanging="328"/>
        <w:spacing w:after="0" w:line="281" w:lineRule="auto"/>
        <w:tabs>
          <w:tab w:leader="none" w:pos="654"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Available shares can be granted in the form of restricted stock or other stock-based awards. Includes 70,523,392 shares available for award under the 2003 Incentive Program and 421,200 shares available for award under the 2004 Non-Employee Director Restricted Stock Plan.</w:t>
      </w:r>
    </w:p>
    <w:p>
      <w:pPr>
        <w:spacing w:after="0" w:line="1" w:lineRule="exact"/>
        <w:rPr>
          <w:rFonts w:ascii="Times New Roman" w:cs="Times New Roman" w:eastAsia="Times New Roman" w:hAnsi="Times New Roman"/>
          <w:sz w:val="18"/>
          <w:szCs w:val="18"/>
          <w:i w:val="1"/>
          <w:iCs w:val="1"/>
          <w:color w:val="auto"/>
        </w:rPr>
      </w:pPr>
    </w:p>
    <w:p>
      <w:pPr>
        <w:jc w:val="both"/>
        <w:ind w:left="660" w:hanging="328"/>
        <w:spacing w:after="0" w:line="258" w:lineRule="auto"/>
        <w:tabs>
          <w:tab w:leader="none" w:pos="654"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 the 2004 Non-Employee Director Restricted Stock Plan approved by shareholders in May 2004, and the related standing resolution adopted by the Board, each non-employee director automatically receives 8,000 shares of restricted stock when first elected to the Board and, if the director remains in office, an additional 2,500 restricted shares each following year. While on the Board, each non-employee director receives the same cash dividends on restricted shares as a holder of regular common stock, but the director is not allowed to sell the shares. The restricted shares may be forfeited if the director leaves the Board early.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Incorporated by reference to the portion entitled “Related Person Transactions and Procedures” of the section entitled “Director and Executive Officer Stock Ownership”; and the portion entitled “Director Independence” of the section entitled “Corporate Governance” of the registrant’s 2021 Proxy Statement.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portion entitled “Audit Committee” of the section entitled “Corporate Governance” and the section entitled “Ratification of Independent Auditors” of the registrant’s 2021 Proxy Statement.</w:t>
      </w:r>
    </w:p>
    <w:p>
      <w:pPr>
        <w:spacing w:after="0" w:line="200" w:lineRule="exact"/>
        <w:rPr>
          <w:sz w:val="20"/>
          <w:szCs w:val="20"/>
          <w:color w:val="auto"/>
        </w:rPr>
      </w:pPr>
    </w:p>
    <w:p>
      <w:pPr>
        <w:spacing w:after="0" w:line="3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(1) and (2) Financial Statements:</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See Table of Contents of the Financial Section of this report.</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(3) Exhibits:</w:t>
      </w:r>
    </w:p>
    <w:p>
      <w:pPr>
        <w:spacing w:after="0" w:line="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See Index to Exhibits of this report.</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766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FINANCIAL SECTION</w:t>
            </w:r>
          </w:p>
        </w:tc>
        <w:tc>
          <w:tcPr>
            <w:tcW w:w="2160" w:type="dxa"/>
            <w:vAlign w:val="bottom"/>
          </w:tcPr>
          <w:p>
            <w:pPr>
              <w:spacing w:after="0"/>
              <w:rPr>
                <w:sz w:val="20"/>
                <w:szCs w:val="20"/>
                <w:color w:val="auto"/>
              </w:rPr>
            </w:pPr>
          </w:p>
        </w:tc>
      </w:tr>
      <w:tr>
        <w:trPr>
          <w:trHeight w:val="581"/>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Pr>
          <w:p>
            <w:pPr>
              <w:spacing w:after="0"/>
              <w:rPr>
                <w:sz w:val="24"/>
                <w:szCs w:val="24"/>
                <w:color w:val="auto"/>
              </w:rPr>
            </w:pPr>
          </w:p>
        </w:tc>
      </w:tr>
      <w:tr>
        <w:trPr>
          <w:trHeight w:val="387"/>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Profile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Frequently Used Terms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160" w:type="dxa"/>
            <w:vAlign w:val="bottom"/>
          </w:tcPr>
          <w:p>
            <w:pPr>
              <w:spacing w:after="0"/>
              <w:rPr>
                <w:sz w:val="19"/>
                <w:szCs w:val="19"/>
                <w:color w:val="auto"/>
              </w:rPr>
            </w:pPr>
          </w:p>
        </w:tc>
      </w:tr>
      <w:tr>
        <w:trPr>
          <w:trHeight w:val="229"/>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Functional Earnings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Forward-Looking Statements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Overview</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Business Environment and Risk Assessment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Review of 2020 and 2019 Results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Liquidity and Capital Resources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Capital and Exploration Expenditures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Taxes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Environmental Matters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Market Risks, Inflation and Other Uncertainties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Restructuring Activities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Critical Accounting Estimates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2160" w:type="dxa"/>
            <w:vAlign w:val="bottom"/>
          </w:tcPr>
          <w:p>
            <w:pPr>
              <w:spacing w:after="0"/>
              <w:rPr>
                <w:sz w:val="19"/>
                <w:szCs w:val="19"/>
                <w:color w:val="auto"/>
              </w:rPr>
            </w:pPr>
          </w:p>
        </w:tc>
      </w:tr>
      <w:tr>
        <w:trPr>
          <w:trHeight w:val="230"/>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Statement of Income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Statement of Comprehensive Income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Balance Sheet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Statement of Cash Flows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Statement of Changes in Equity</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2160" w:type="dxa"/>
            <w:vAlign w:val="bottom"/>
          </w:tcPr>
          <w:p>
            <w:pPr>
              <w:spacing w:after="0"/>
              <w:rPr>
                <w:sz w:val="19"/>
                <w:szCs w:val="19"/>
                <w:color w:val="auto"/>
              </w:rPr>
            </w:pPr>
          </w:p>
        </w:tc>
      </w:tr>
      <w:tr>
        <w:trPr>
          <w:trHeight w:val="230"/>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 Summary of Accounting Policies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 Accounting Changes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 Miscellaneous Financial Information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 Other Comprehensive Income Information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 Cash Flow Information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6. Additional Working Capital Information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7. Equity Company Information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8. Investments, Advances and Long-Term Receivables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9. Property, Plant and Equipment and Asset Retirement Obligations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for Suspended Exploratory Well Costs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11. Leases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13.</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Instruments and Derivatives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14.</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15.</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Program</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16.</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and Other Contingencies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17.</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18.</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Disclosures about Segments and Related Information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19.</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and Other Taxes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w:t>
            </w:r>
          </w:p>
        </w:tc>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Activities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Information on Oil and Gas Exploration and Production Activities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Information</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bl>
    <w:p>
      <w:pPr>
        <w:spacing w:after="0" w:line="200" w:lineRule="exact"/>
        <w:rPr>
          <w:sz w:val="20"/>
          <w:szCs w:val="20"/>
          <w:color w:val="auto"/>
        </w:rPr>
      </w:pPr>
    </w:p>
    <w:p>
      <w:pPr>
        <w:sectPr>
          <w:pgSz w:w="11900" w:h="16838" w:orient="portrait"/>
          <w:cols w:equalWidth="0" w:num="1">
            <w:col w:w="10520"/>
          </w:cols>
          <w:pgMar w:left="660" w:top="914"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77470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660" w:top="914" w:right="71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BUSINESS PROFILE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2160" w:type="dxa"/>
            <w:vAlign w:val="bottom"/>
            <w:gridSpan w:val="2"/>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Earnings (Loss) After</w:t>
            </w:r>
          </w:p>
        </w:tc>
        <w:tc>
          <w:tcPr>
            <w:tcW w:w="2100" w:type="dxa"/>
            <w:vAlign w:val="bottom"/>
            <w:gridSpan w:val="2"/>
            <w:vMerge w:val="restart"/>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Average Capital</w:t>
            </w:r>
          </w:p>
        </w:tc>
        <w:tc>
          <w:tcPr>
            <w:tcW w:w="1220" w:type="dxa"/>
            <w:vAlign w:val="bottom"/>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Return on</w:t>
            </w:r>
          </w:p>
        </w:tc>
        <w:tc>
          <w:tcPr>
            <w:tcW w:w="840" w:type="dxa"/>
            <w:vAlign w:val="bottom"/>
          </w:tcPr>
          <w:p>
            <w:pPr>
              <w:spacing w:after="0"/>
              <w:rPr>
                <w:sz w:val="13"/>
                <w:szCs w:val="13"/>
                <w:color w:val="auto"/>
              </w:rPr>
            </w:pPr>
          </w:p>
        </w:tc>
        <w:tc>
          <w:tcPr>
            <w:tcW w:w="1260" w:type="dxa"/>
            <w:vAlign w:val="bottom"/>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Capital and</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2160" w:type="dxa"/>
            <w:vAlign w:val="bottom"/>
            <w:gridSpan w:val="2"/>
            <w:vMerge w:val="continue"/>
          </w:tcPr>
          <w:p>
            <w:pPr>
              <w:spacing w:after="0"/>
              <w:rPr>
                <w:sz w:val="11"/>
                <w:szCs w:val="11"/>
                <w:color w:val="auto"/>
              </w:rPr>
            </w:pPr>
          </w:p>
        </w:tc>
        <w:tc>
          <w:tcPr>
            <w:tcW w:w="2100" w:type="dxa"/>
            <w:vAlign w:val="bottom"/>
            <w:gridSpan w:val="2"/>
            <w:vMerge w:val="continue"/>
          </w:tcPr>
          <w:p>
            <w:pPr>
              <w:spacing w:after="0"/>
              <w:rPr>
                <w:sz w:val="11"/>
                <w:szCs w:val="11"/>
                <w:color w:val="auto"/>
              </w:rPr>
            </w:pPr>
          </w:p>
        </w:tc>
        <w:tc>
          <w:tcPr>
            <w:tcW w:w="2060" w:type="dxa"/>
            <w:vAlign w:val="bottom"/>
            <w:gridSpan w:val="2"/>
          </w:tcPr>
          <w:p>
            <w:pPr>
              <w:jc w:val="center"/>
              <w:ind w:right="212"/>
              <w:spacing w:after="0" w:line="135" w:lineRule="exact"/>
              <w:rPr>
                <w:sz w:val="20"/>
                <w:szCs w:val="20"/>
                <w:color w:val="auto"/>
              </w:rPr>
            </w:pPr>
            <w:r>
              <w:rPr>
                <w:rFonts w:ascii="Times New Roman" w:cs="Times New Roman" w:eastAsia="Times New Roman" w:hAnsi="Times New Roman"/>
                <w:sz w:val="14"/>
                <w:szCs w:val="14"/>
                <w:b w:val="1"/>
                <w:bCs w:val="1"/>
                <w:color w:val="auto"/>
              </w:rPr>
              <w:t>Average Capital</w:t>
            </w:r>
          </w:p>
        </w:tc>
        <w:tc>
          <w:tcPr>
            <w:tcW w:w="1260" w:type="dxa"/>
            <w:vAlign w:val="bottom"/>
          </w:tcPr>
          <w:p>
            <w:pPr>
              <w:jc w:val="center"/>
              <w:ind w:left="436"/>
              <w:spacing w:after="0" w:line="135"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2160" w:type="dxa"/>
            <w:vAlign w:val="bottom"/>
            <w:tcBorders>
              <w:bottom w:val="single" w:sz="8" w:color="auto"/>
            </w:tcBorders>
            <w:gridSpan w:val="2"/>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Employed</w:t>
            </w: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Employed</w:t>
            </w:r>
          </w:p>
        </w:tc>
        <w:tc>
          <w:tcPr>
            <w:tcW w:w="8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Expenditures</w:t>
            </w:r>
          </w:p>
        </w:tc>
        <w:tc>
          <w:tcPr>
            <w:tcW w:w="0" w:type="dxa"/>
            <w:vAlign w:val="bottom"/>
          </w:tcPr>
          <w:p>
            <w:pPr>
              <w:spacing w:after="0"/>
              <w:rPr>
                <w:sz w:val="1"/>
                <w:szCs w:val="1"/>
                <w:color w:val="auto"/>
              </w:rPr>
            </w:pPr>
          </w:p>
        </w:tc>
      </w:tr>
      <w:tr>
        <w:trPr>
          <w:trHeight w:val="210"/>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4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60" w:type="dxa"/>
            <w:vAlign w:val="bottom"/>
            <w:gridSpan w:val="2"/>
          </w:tcPr>
          <w:p>
            <w:pPr>
              <w:jc w:val="right"/>
              <w:ind w:right="714"/>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860" w:type="dxa"/>
            <w:vAlign w:val="bottom"/>
          </w:tcPr>
          <w:p>
            <w:pPr>
              <w:spacing w:after="0"/>
              <w:rPr>
                <w:sz w:val="16"/>
                <w:szCs w:val="16"/>
                <w:color w:val="auto"/>
              </w:rPr>
            </w:pPr>
          </w:p>
        </w:tc>
        <w:tc>
          <w:tcPr>
            <w:tcW w:w="1220" w:type="dxa"/>
            <w:vAlign w:val="bottom"/>
          </w:tcPr>
          <w:p>
            <w:pPr>
              <w:jc w:val="center"/>
              <w:ind w:left="456"/>
              <w:spacing w:after="0"/>
              <w:rPr>
                <w:sz w:val="20"/>
                <w:szCs w:val="20"/>
                <w:color w:val="auto"/>
              </w:rPr>
            </w:pPr>
            <w:r>
              <w:rPr>
                <w:rFonts w:ascii="Times New Roman" w:cs="Times New Roman" w:eastAsia="Times New Roman" w:hAnsi="Times New Roman"/>
                <w:sz w:val="14"/>
                <w:szCs w:val="14"/>
                <w:i w:val="1"/>
                <w:iCs w:val="1"/>
                <w:color w:val="auto"/>
              </w:rPr>
              <w:t>(percent)</w:t>
            </w:r>
          </w:p>
        </w:tc>
        <w:tc>
          <w:tcPr>
            <w:tcW w:w="840" w:type="dxa"/>
            <w:vAlign w:val="bottom"/>
          </w:tcPr>
          <w:p>
            <w:pPr>
              <w:spacing w:after="0"/>
              <w:rPr>
                <w:sz w:val="16"/>
                <w:szCs w:val="16"/>
                <w:color w:val="auto"/>
              </w:rPr>
            </w:pP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0" w:type="dxa"/>
            <w:vAlign w:val="bottom"/>
          </w:tcPr>
          <w:p>
            <w:pPr>
              <w:spacing w:after="0"/>
              <w:rPr>
                <w:sz w:val="1"/>
                <w:szCs w:val="1"/>
                <w:color w:val="auto"/>
              </w:rPr>
            </w:pPr>
          </w:p>
        </w:tc>
      </w:tr>
      <w:tr>
        <w:trPr>
          <w:trHeight w:val="262"/>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Upstream</w:t>
            </w:r>
          </w:p>
        </w:tc>
        <w:tc>
          <w:tcPr>
            <w:tcW w:w="1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(19,385)</w:t>
            </w: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536</w:t>
            </w:r>
          </w:p>
        </w:tc>
        <w:tc>
          <w:tcPr>
            <w:tcW w:w="124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65,780</w:t>
            </w:r>
          </w:p>
        </w:tc>
        <w:tc>
          <w:tcPr>
            <w:tcW w:w="8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72,152</w:t>
            </w:r>
          </w:p>
        </w:tc>
        <w:tc>
          <w:tcPr>
            <w:tcW w:w="122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(29.5)</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c>
          <w:tcPr>
            <w:tcW w:w="126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6,817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11,653</w:t>
            </w:r>
          </w:p>
        </w:tc>
        <w:tc>
          <w:tcPr>
            <w:tcW w:w="0" w:type="dxa"/>
            <w:vAlign w:val="bottom"/>
          </w:tcPr>
          <w:p>
            <w:pPr>
              <w:spacing w:after="0"/>
              <w:rPr>
                <w:sz w:val="1"/>
                <w:szCs w:val="1"/>
                <w:color w:val="auto"/>
              </w:rPr>
            </w:pPr>
          </w:p>
        </w:tc>
      </w:tr>
      <w:tr>
        <w:trPr>
          <w:trHeight w:val="234"/>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Non-U.S.</w:t>
            </w: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(645)</w:t>
            </w:r>
          </w:p>
        </w:tc>
        <w:tc>
          <w:tcPr>
            <w:tcW w:w="1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13,906</w:t>
            </w:r>
          </w:p>
        </w:tc>
        <w:tc>
          <w:tcPr>
            <w:tcW w:w="12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rPr>
              <w:t>107,506</w:t>
            </w:r>
          </w:p>
        </w:tc>
        <w:tc>
          <w:tcPr>
            <w:tcW w:w="8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95"/>
              </w:rPr>
              <w:t>107,271</w:t>
            </w:r>
          </w:p>
        </w:tc>
        <w:tc>
          <w:tcPr>
            <w:tcW w:w="12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rPr>
              <w:t>(0.6)</w:t>
            </w: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13.0</w:t>
            </w:r>
          </w:p>
        </w:tc>
        <w:tc>
          <w:tcPr>
            <w:tcW w:w="12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7,614</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11,832</w:t>
            </w:r>
          </w:p>
        </w:tc>
        <w:tc>
          <w:tcPr>
            <w:tcW w:w="0" w:type="dxa"/>
            <w:vAlign w:val="bottom"/>
          </w:tcPr>
          <w:p>
            <w:pPr>
              <w:spacing w:after="0"/>
              <w:rPr>
                <w:sz w:val="1"/>
                <w:szCs w:val="1"/>
                <w:color w:val="auto"/>
              </w:rPr>
            </w:pPr>
          </w:p>
        </w:tc>
      </w:tr>
      <w:tr>
        <w:trPr>
          <w:trHeight w:val="223"/>
        </w:trPr>
        <w:tc>
          <w:tcPr>
            <w:tcW w:w="30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(20,030)</w:t>
            </w:r>
          </w:p>
        </w:tc>
        <w:tc>
          <w:tcPr>
            <w:tcW w:w="1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14,442</w:t>
            </w:r>
          </w:p>
        </w:tc>
        <w:tc>
          <w:tcPr>
            <w:tcW w:w="12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rPr>
              <w:t>173,286</w:t>
            </w:r>
          </w:p>
        </w:tc>
        <w:tc>
          <w:tcPr>
            <w:tcW w:w="8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95"/>
              </w:rPr>
              <w:t>179,423</w:t>
            </w:r>
          </w:p>
        </w:tc>
        <w:tc>
          <w:tcPr>
            <w:tcW w:w="12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rPr>
              <w:t>(11.6)</w:t>
            </w: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c>
          <w:tcPr>
            <w:tcW w:w="12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14,431</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23,485</w:t>
            </w:r>
          </w:p>
        </w:tc>
        <w:tc>
          <w:tcPr>
            <w:tcW w:w="0" w:type="dxa"/>
            <w:vAlign w:val="bottom"/>
          </w:tcPr>
          <w:p>
            <w:pPr>
              <w:spacing w:after="0"/>
              <w:rPr>
                <w:sz w:val="1"/>
                <w:szCs w:val="1"/>
                <w:color w:val="auto"/>
              </w:rPr>
            </w:pPr>
          </w:p>
        </w:tc>
      </w:tr>
      <w:tr>
        <w:trPr>
          <w:trHeight w:val="205"/>
        </w:trPr>
        <w:tc>
          <w:tcPr>
            <w:tcW w:w="30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Downstream</w:t>
            </w: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(852)</w:t>
            </w: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1,717</w:t>
            </w:r>
          </w:p>
        </w:tc>
        <w:tc>
          <w:tcPr>
            <w:tcW w:w="124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11,472</w:t>
            </w:r>
          </w:p>
        </w:tc>
        <w:tc>
          <w:tcPr>
            <w:tcW w:w="8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9,515</w:t>
            </w:r>
          </w:p>
        </w:tc>
        <w:tc>
          <w:tcPr>
            <w:tcW w:w="122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(7.4)</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18.0</w:t>
            </w:r>
          </w:p>
        </w:tc>
        <w:tc>
          <w:tcPr>
            <w:tcW w:w="126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2,344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0" w:type="dxa"/>
            <w:vAlign w:val="bottom"/>
          </w:tcPr>
          <w:p>
            <w:pPr>
              <w:spacing w:after="0"/>
              <w:rPr>
                <w:sz w:val="1"/>
                <w:szCs w:val="1"/>
                <w:color w:val="auto"/>
              </w:rPr>
            </w:pPr>
          </w:p>
        </w:tc>
      </w:tr>
      <w:tr>
        <w:trPr>
          <w:trHeight w:val="234"/>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Non-U.S.</w:t>
            </w: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(225)</w:t>
            </w:r>
          </w:p>
        </w:tc>
        <w:tc>
          <w:tcPr>
            <w:tcW w:w="1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606</w:t>
            </w:r>
          </w:p>
        </w:tc>
        <w:tc>
          <w:tcPr>
            <w:tcW w:w="12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rPr>
              <w:t>18,682</w:t>
            </w:r>
          </w:p>
        </w:tc>
        <w:tc>
          <w:tcPr>
            <w:tcW w:w="8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18,518</w:t>
            </w:r>
          </w:p>
        </w:tc>
        <w:tc>
          <w:tcPr>
            <w:tcW w:w="12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3.3</w:t>
            </w:r>
          </w:p>
        </w:tc>
        <w:tc>
          <w:tcPr>
            <w:tcW w:w="12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1,877</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30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(1,077)</w:t>
            </w:r>
          </w:p>
        </w:tc>
        <w:tc>
          <w:tcPr>
            <w:tcW w:w="1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2,323</w:t>
            </w:r>
          </w:p>
        </w:tc>
        <w:tc>
          <w:tcPr>
            <w:tcW w:w="12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rPr>
              <w:t>30,154</w:t>
            </w:r>
          </w:p>
        </w:tc>
        <w:tc>
          <w:tcPr>
            <w:tcW w:w="8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28,033</w:t>
            </w:r>
          </w:p>
        </w:tc>
        <w:tc>
          <w:tcPr>
            <w:tcW w:w="12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rPr>
              <w:t>(3.6)</w:t>
            </w: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8.3</w:t>
            </w:r>
          </w:p>
        </w:tc>
        <w:tc>
          <w:tcPr>
            <w:tcW w:w="12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4,221</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4,371</w:t>
            </w:r>
          </w:p>
        </w:tc>
        <w:tc>
          <w:tcPr>
            <w:tcW w:w="0" w:type="dxa"/>
            <w:vAlign w:val="bottom"/>
          </w:tcPr>
          <w:p>
            <w:pPr>
              <w:spacing w:after="0"/>
              <w:rPr>
                <w:sz w:val="1"/>
                <w:szCs w:val="1"/>
                <w:color w:val="auto"/>
              </w:rPr>
            </w:pPr>
          </w:p>
        </w:tc>
      </w:tr>
      <w:tr>
        <w:trPr>
          <w:trHeight w:val="205"/>
        </w:trPr>
        <w:tc>
          <w:tcPr>
            <w:tcW w:w="30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Chemical</w:t>
            </w: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w:t>
            </w:r>
          </w:p>
        </w:tc>
        <w:tc>
          <w:tcPr>
            <w:tcW w:w="11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1,277</w:t>
            </w: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206</w:t>
            </w:r>
          </w:p>
        </w:tc>
        <w:tc>
          <w:tcPr>
            <w:tcW w:w="124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14,436</w:t>
            </w:r>
          </w:p>
        </w:tc>
        <w:tc>
          <w:tcPr>
            <w:tcW w:w="8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13,196</w:t>
            </w:r>
          </w:p>
        </w:tc>
        <w:tc>
          <w:tcPr>
            <w:tcW w:w="122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8.8</w:t>
            </w: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2,002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0" w:type="dxa"/>
            <w:vAlign w:val="bottom"/>
          </w:tcPr>
          <w:p>
            <w:pPr>
              <w:spacing w:after="0"/>
              <w:rPr>
                <w:sz w:val="1"/>
                <w:szCs w:val="1"/>
                <w:color w:val="auto"/>
              </w:rPr>
            </w:pPr>
          </w:p>
        </w:tc>
      </w:tr>
      <w:tr>
        <w:trPr>
          <w:trHeight w:val="234"/>
        </w:trPr>
        <w:tc>
          <w:tcPr>
            <w:tcW w:w="3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Non-U.S.</w:t>
            </w:r>
          </w:p>
        </w:tc>
        <w:tc>
          <w:tcPr>
            <w:tcW w:w="11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686</w:t>
            </w:r>
          </w:p>
        </w:tc>
        <w:tc>
          <w:tcPr>
            <w:tcW w:w="1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386</w:t>
            </w:r>
          </w:p>
        </w:tc>
        <w:tc>
          <w:tcPr>
            <w:tcW w:w="12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rPr>
              <w:t>17,600</w:t>
            </w:r>
          </w:p>
        </w:tc>
        <w:tc>
          <w:tcPr>
            <w:tcW w:w="8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18,113</w:t>
            </w:r>
          </w:p>
        </w:tc>
        <w:tc>
          <w:tcPr>
            <w:tcW w:w="12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rPr>
              <w:t>3.9</w:t>
            </w: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714</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23"/>
        </w:trPr>
        <w:tc>
          <w:tcPr>
            <w:tcW w:w="30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1,963</w:t>
            </w:r>
          </w:p>
        </w:tc>
        <w:tc>
          <w:tcPr>
            <w:tcW w:w="1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592</w:t>
            </w:r>
          </w:p>
        </w:tc>
        <w:tc>
          <w:tcPr>
            <w:tcW w:w="12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rPr>
              <w:t>32,036</w:t>
            </w:r>
          </w:p>
        </w:tc>
        <w:tc>
          <w:tcPr>
            <w:tcW w:w="8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31,309</w:t>
            </w:r>
          </w:p>
        </w:tc>
        <w:tc>
          <w:tcPr>
            <w:tcW w:w="12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rPr>
              <w:t>6.1</w:t>
            </w: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12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2,716</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0" w:type="dxa"/>
            <w:vAlign w:val="bottom"/>
          </w:tcPr>
          <w:p>
            <w:pPr>
              <w:spacing w:after="0"/>
              <w:rPr>
                <w:sz w:val="1"/>
                <w:szCs w:val="1"/>
                <w:color w:val="auto"/>
              </w:rPr>
            </w:pPr>
          </w:p>
        </w:tc>
      </w:tr>
      <w:tr>
        <w:trPr>
          <w:trHeight w:val="22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financing</w:t>
            </w: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(3,296)</w:t>
            </w:r>
          </w:p>
        </w:tc>
        <w:tc>
          <w:tcPr>
            <w:tcW w:w="10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(3,017)</w:t>
            </w:r>
          </w:p>
        </w:tc>
        <w:tc>
          <w:tcPr>
            <w:tcW w:w="12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8"/>
                <w:szCs w:val="18"/>
                <w:color w:val="auto"/>
              </w:rPr>
              <w:t>(1,445)</w:t>
            </w:r>
          </w:p>
        </w:tc>
        <w:tc>
          <w:tcPr>
            <w:tcW w:w="8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(2,162)</w:t>
            </w:r>
          </w:p>
        </w:tc>
        <w:tc>
          <w:tcPr>
            <w:tcW w:w="12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6</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30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(22,440)</w:t>
            </w:r>
          </w:p>
        </w:tc>
        <w:tc>
          <w:tcPr>
            <w:tcW w:w="10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14,340</w:t>
            </w:r>
          </w:p>
        </w:tc>
        <w:tc>
          <w:tcPr>
            <w:tcW w:w="12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8"/>
                <w:szCs w:val="18"/>
                <w:color w:val="auto"/>
              </w:rPr>
              <w:t>234,031</w:t>
            </w:r>
          </w:p>
        </w:tc>
        <w:tc>
          <w:tcPr>
            <w:tcW w:w="8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95"/>
              </w:rPr>
              <w:t>236,603</w:t>
            </w:r>
          </w:p>
        </w:tc>
        <w:tc>
          <w:tcPr>
            <w:tcW w:w="12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8"/>
                <w:szCs w:val="18"/>
                <w:color w:val="auto"/>
              </w:rPr>
              <w:t>(9.3)</w:t>
            </w: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6.5</w:t>
            </w:r>
          </w:p>
        </w:tc>
        <w:tc>
          <w:tcPr>
            <w:tcW w:w="12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8"/>
                <w:szCs w:val="18"/>
                <w:color w:val="auto"/>
              </w:rPr>
              <w:t>21,374</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31,148</w:t>
            </w:r>
          </w:p>
        </w:tc>
        <w:tc>
          <w:tcPr>
            <w:tcW w:w="0" w:type="dxa"/>
            <w:vAlign w:val="bottom"/>
          </w:tcPr>
          <w:p>
            <w:pPr>
              <w:spacing w:after="0"/>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Frequently Used Terms for a definition and calculation of capital employed and return on average capital employed.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78"/>
        </w:trPr>
        <w:tc>
          <w:tcPr>
            <w:tcW w:w="3580" w:type="dxa"/>
            <w:vAlign w:val="bottom"/>
          </w:tcPr>
          <w:p>
            <w:pPr>
              <w:spacing w:after="0"/>
              <w:rPr>
                <w:sz w:val="15"/>
                <w:szCs w:val="15"/>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(thousands of barrels daily)</w:t>
            </w:r>
          </w:p>
        </w:tc>
        <w:tc>
          <w:tcPr>
            <w:tcW w:w="4100" w:type="dxa"/>
            <w:vAlign w:val="bottom"/>
          </w:tcPr>
          <w:p>
            <w:pPr>
              <w:spacing w:after="0"/>
              <w:rPr>
                <w:sz w:val="15"/>
                <w:szCs w:val="15"/>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(thousands of barrels daily)</w:t>
            </w: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liquids production</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Refinery throughput</w:t>
            </w: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3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w:t>
            </w: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685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4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1,549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234"/>
        </w:trPr>
        <w:tc>
          <w:tcPr>
            <w:tcW w:w="3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Non-U.S.</w:t>
            </w:r>
          </w:p>
        </w:tc>
        <w:tc>
          <w:tcPr>
            <w:tcW w:w="10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1,664</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4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Non-U.S.</w:t>
            </w:r>
          </w:p>
        </w:tc>
        <w:tc>
          <w:tcPr>
            <w:tcW w:w="10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2,224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23"/>
        </w:trPr>
        <w:tc>
          <w:tcPr>
            <w:tcW w:w="35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2,349</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41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3,773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w:t>
            </w:r>
          </w:p>
        </w:tc>
      </w:tr>
      <w:tr>
        <w:trPr>
          <w:trHeight w:val="416"/>
        </w:trPr>
        <w:tc>
          <w:tcPr>
            <w:tcW w:w="358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(millions of cubic feet daily)</w:t>
            </w:r>
          </w:p>
        </w:tc>
        <w:tc>
          <w:tcPr>
            <w:tcW w:w="410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(thousands of barrels daily)</w:t>
            </w:r>
          </w:p>
        </w:tc>
      </w:tr>
      <w:tr>
        <w:trPr>
          <w:trHeight w:val="235"/>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production available for sale</w:t>
            </w: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Petroleum product sales </w:t>
            </w:r>
            <w:r>
              <w:rPr>
                <w:rFonts w:ascii="Times New Roman" w:cs="Times New Roman" w:eastAsia="Times New Roman" w:hAnsi="Times New Roman"/>
                <w:sz w:val="14"/>
                <w:szCs w:val="14"/>
                <w:i w:val="1"/>
                <w:iCs w:val="1"/>
                <w:color w:val="auto"/>
              </w:rPr>
              <w:t>(2)</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9"/>
        </w:trPr>
        <w:tc>
          <w:tcPr>
            <w:tcW w:w="3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w:t>
            </w: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2,691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4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2,154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r>
      <w:tr>
        <w:trPr>
          <w:trHeight w:val="234"/>
        </w:trPr>
        <w:tc>
          <w:tcPr>
            <w:tcW w:w="3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Non-U.S.</w:t>
            </w:r>
          </w:p>
        </w:tc>
        <w:tc>
          <w:tcPr>
            <w:tcW w:w="10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5,780</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4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Non-U.S.</w:t>
            </w:r>
          </w:p>
        </w:tc>
        <w:tc>
          <w:tcPr>
            <w:tcW w:w="10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2,741</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w:t>
            </w:r>
          </w:p>
        </w:tc>
      </w:tr>
      <w:tr>
        <w:trPr>
          <w:trHeight w:val="223"/>
        </w:trPr>
        <w:tc>
          <w:tcPr>
            <w:tcW w:w="35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8,471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9,394</w:t>
            </w:r>
          </w:p>
        </w:tc>
        <w:tc>
          <w:tcPr>
            <w:tcW w:w="41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4,895</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5,452</w:t>
            </w:r>
          </w:p>
        </w:tc>
      </w:tr>
      <w:tr>
        <w:trPr>
          <w:trHeight w:val="416"/>
        </w:trPr>
        <w:tc>
          <w:tcPr>
            <w:tcW w:w="53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(thousands of oil-equivalent barrels daily)</w:t>
            </w:r>
          </w:p>
        </w:tc>
        <w:tc>
          <w:tcPr>
            <w:tcW w:w="4100" w:type="dxa"/>
            <w:vAlign w:val="bottom"/>
          </w:tcPr>
          <w:p>
            <w:pPr>
              <w:spacing w:after="0"/>
              <w:rPr>
                <w:sz w:val="24"/>
                <w:szCs w:val="24"/>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(thousands of metric tons)</w:t>
            </w:r>
          </w:p>
        </w:tc>
      </w:tr>
      <w:tr>
        <w:trPr>
          <w:trHeight w:val="235"/>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Oil-equivalent production </w:t>
            </w:r>
            <w:r>
              <w:rPr>
                <w:rFonts w:ascii="Times New Roman" w:cs="Times New Roman" w:eastAsia="Times New Roman" w:hAnsi="Times New Roman"/>
                <w:sz w:val="14"/>
                <w:szCs w:val="14"/>
                <w:i w:val="1"/>
                <w:iCs w:val="1"/>
                <w:color w:val="auto"/>
              </w:rPr>
              <w:t>(1)</w:t>
            </w: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3,761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4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Chemical prime product sales </w:t>
            </w:r>
            <w:r>
              <w:rPr>
                <w:rFonts w:ascii="Times New Roman" w:cs="Times New Roman" w:eastAsia="Times New Roman" w:hAnsi="Times New Roman"/>
                <w:sz w:val="14"/>
                <w:szCs w:val="14"/>
                <w:i w:val="1"/>
                <w:iCs w:val="1"/>
                <w:color w:val="auto"/>
              </w:rPr>
              <w:t>(2) (3)</w:t>
            </w: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0"/>
        </w:trPr>
        <w:tc>
          <w:tcPr>
            <w:tcW w:w="3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9,010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w:t>
            </w:r>
          </w:p>
        </w:tc>
      </w:tr>
      <w:tr>
        <w:trPr>
          <w:trHeight w:val="234"/>
        </w:trPr>
        <w:tc>
          <w:tcPr>
            <w:tcW w:w="3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1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Non-U.S.</w:t>
            </w:r>
          </w:p>
        </w:tc>
        <w:tc>
          <w:tcPr>
            <w:tcW w:w="10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16,439</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17,389</w:t>
            </w:r>
          </w:p>
        </w:tc>
      </w:tr>
      <w:tr>
        <w:trPr>
          <w:trHeight w:val="223"/>
        </w:trPr>
        <w:tc>
          <w:tcPr>
            <w:tcW w:w="3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1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color w:val="auto"/>
              </w:rPr>
              <w:t>25,449</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26,516</w:t>
            </w:r>
          </w:p>
        </w:tc>
      </w:tr>
    </w:tbl>
    <w:p>
      <w:pPr>
        <w:spacing w:after="0" w:line="331"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Natural gas is converted to an oil-equivalent basis at six million cubic feet per one thousand barrels.</w:t>
      </w:r>
    </w:p>
    <w:p>
      <w:pPr>
        <w:spacing w:after="0" w:line="63"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Petroleum product and chemical prime product sales data reported net of purchases/sales contracts with the same counterparty.</w:t>
      </w:r>
    </w:p>
    <w:p>
      <w:pPr>
        <w:spacing w:after="0" w:line="63"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34"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Prime product sales are total product sales including ExxonMobil’s share of equity company volumes and finished-product transfers to the Downstream.</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7800" w:type="dxa"/>
            <w:vAlign w:val="bottom"/>
          </w:tcPr>
          <w:p>
            <w:pPr>
              <w:spacing w:after="0"/>
              <w:rPr>
                <w:sz w:val="16"/>
                <w:szCs w:val="16"/>
                <w:color w:val="auto"/>
              </w:rPr>
            </w:pPr>
          </w:p>
        </w:tc>
        <w:tc>
          <w:tcPr>
            <w:tcW w:w="3440" w:type="dxa"/>
            <w:vAlign w:val="bottom"/>
            <w:gridSpan w:val="3"/>
          </w:tcPr>
          <w:p>
            <w:pPr>
              <w:jc w:val="right"/>
              <w:ind w:right="271"/>
              <w:spacing w:after="0"/>
              <w:rPr>
                <w:sz w:val="20"/>
                <w:szCs w:val="20"/>
                <w:color w:val="auto"/>
              </w:rPr>
            </w:pPr>
            <w:r>
              <w:rPr>
                <w:rFonts w:ascii="Times New Roman" w:cs="Times New Roman" w:eastAsia="Times New Roman" w:hAnsi="Times New Roman"/>
                <w:sz w:val="14"/>
                <w:szCs w:val="14"/>
                <w:i w:val="1"/>
                <w:iCs w:val="1"/>
                <w:color w:val="auto"/>
              </w:rPr>
              <w:t>(millions of dollars, except where stated otherwise)</w:t>
            </w:r>
          </w:p>
        </w:tc>
      </w:tr>
      <w:tr>
        <w:trPr>
          <w:trHeight w:val="262"/>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other operating revenue</w:t>
            </w: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178,574</w:t>
            </w: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255,583</w:t>
            </w: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279,332</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w:t>
            </w: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Upstream</w:t>
            </w: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(20,030)</w:t>
            </w: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14,442</w:t>
            </w: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14,079</w:t>
            </w:r>
          </w:p>
        </w:tc>
      </w:tr>
      <w:tr>
        <w:trPr>
          <w:trHeight w:val="230"/>
        </w:trPr>
        <w:tc>
          <w:tcPr>
            <w:tcW w:w="7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Downstream</w:t>
            </w: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(1,077)</w:t>
            </w: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2,323</w:t>
            </w: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6,010</w:t>
            </w:r>
          </w:p>
        </w:tc>
      </w:tr>
      <w:tr>
        <w:trPr>
          <w:trHeight w:val="229"/>
        </w:trPr>
        <w:tc>
          <w:tcPr>
            <w:tcW w:w="7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Chemical</w:t>
            </w: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1,963</w:t>
            </w: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592</w:t>
            </w: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3,351</w:t>
            </w:r>
          </w:p>
        </w:tc>
      </w:tr>
      <w:tr>
        <w:trPr>
          <w:trHeight w:val="234"/>
        </w:trPr>
        <w:tc>
          <w:tcPr>
            <w:tcW w:w="7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 and financing</w:t>
            </w:r>
          </w:p>
        </w:tc>
        <w:tc>
          <w:tcPr>
            <w:tcW w:w="12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(3,296)</w:t>
            </w:r>
          </w:p>
        </w:tc>
        <w:tc>
          <w:tcPr>
            <w:tcW w:w="11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(3,017)</w:t>
            </w:r>
          </w:p>
        </w:tc>
        <w:tc>
          <w:tcPr>
            <w:tcW w:w="11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(2,600)</w:t>
            </w:r>
          </w:p>
        </w:tc>
      </w:tr>
      <w:tr>
        <w:trPr>
          <w:trHeight w:val="223"/>
        </w:trPr>
        <w:tc>
          <w:tcPr>
            <w:tcW w:w="7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income (loss) attributable to ExxonMobil</w:t>
            </w:r>
          </w:p>
        </w:tc>
        <w:tc>
          <w:tcPr>
            <w:tcW w:w="12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(22,440)</w:t>
            </w:r>
          </w:p>
        </w:tc>
        <w:tc>
          <w:tcPr>
            <w:tcW w:w="11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14,340</w:t>
            </w:r>
          </w:p>
        </w:tc>
        <w:tc>
          <w:tcPr>
            <w:tcW w:w="11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20,840</w:t>
            </w:r>
          </w:p>
        </w:tc>
      </w:tr>
      <w:tr>
        <w:trPr>
          <w:trHeight w:val="21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common share (dollars)</w:t>
            </w: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(5.25)</w:t>
            </w: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3.36</w:t>
            </w: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4.88</w:t>
            </w: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common share – assuming dilution (dollars)</w:t>
            </w: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(5.25)</w:t>
            </w: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3.36</w:t>
            </w: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4.88</w:t>
            </w:r>
          </w:p>
        </w:tc>
      </w:tr>
      <w:tr>
        <w:trPr>
          <w:trHeight w:val="49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to average ExxonMobil share of equity (percent)</w:t>
            </w: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(12.9)</w:t>
            </w: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7.5</w:t>
            </w: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11.0</w:t>
            </w:r>
          </w:p>
        </w:tc>
      </w:tr>
      <w:tr>
        <w:trPr>
          <w:trHeight w:val="495"/>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2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(11,470)</w:t>
            </w:r>
          </w:p>
        </w:tc>
        <w:tc>
          <w:tcPr>
            <w:tcW w:w="11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(13,937)</w:t>
            </w:r>
          </w:p>
        </w:tc>
        <w:tc>
          <w:tcPr>
            <w:tcW w:w="11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(9,165)</w:t>
            </w: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current assets to current liabilities (times)</w:t>
            </w: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0.80</w:t>
            </w: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0.78</w:t>
            </w: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0.84</w:t>
            </w:r>
          </w:p>
        </w:tc>
      </w:tr>
      <w:tr>
        <w:trPr>
          <w:trHeight w:val="495"/>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17,342</w:t>
            </w: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24,904</w:t>
            </w: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20,051</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less allowances</w:t>
            </w: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227,553</w:t>
            </w: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253,018</w:t>
            </w: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247,101</w:t>
            </w: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332,750</w:t>
            </w: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362,597</w:t>
            </w: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346,196</w:t>
            </w:r>
          </w:p>
        </w:tc>
      </w:tr>
      <w:tr>
        <w:trPr>
          <w:trHeight w:val="495"/>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Exploration expenses, including dry holes</w:t>
            </w: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1,285</w:t>
            </w: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1,269</w:t>
            </w: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1,466</w:t>
            </w: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1,016</w:t>
            </w: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1,214</w:t>
            </w: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1,116</w:t>
            </w:r>
          </w:p>
        </w:tc>
      </w:tr>
      <w:tr>
        <w:trPr>
          <w:trHeight w:val="495"/>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47,182</w:t>
            </w: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26,342</w:t>
            </w: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20,538</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67,640</w:t>
            </w: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46,920</w:t>
            </w: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37,796</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to capital (percent)</w:t>
            </w: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29.2</w:t>
            </w: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19.1</w:t>
            </w: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16.0</w:t>
            </w: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Net debt to capital (percent) </w:t>
            </w:r>
            <w:r>
              <w:rPr>
                <w:rFonts w:ascii="Times New Roman" w:cs="Times New Roman" w:eastAsia="Times New Roman" w:hAnsi="Times New Roman"/>
                <w:sz w:val="14"/>
                <w:szCs w:val="14"/>
                <w:i w:val="1"/>
                <w:iCs w:val="1"/>
                <w:color w:val="auto"/>
              </w:rPr>
              <w:t>(1)</w:t>
            </w: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27.8</w:t>
            </w: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18.1</w:t>
            </w: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14.9</w:t>
            </w:r>
          </w:p>
        </w:tc>
      </w:tr>
      <w:tr>
        <w:trPr>
          <w:trHeight w:val="495"/>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ExxonMobil share of equity at year-end</w:t>
            </w: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157,150</w:t>
            </w: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191,650</w:t>
            </w: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191,794</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ExxonMobil share of equity per common share (dollars)</w:t>
            </w: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37.12</w:t>
            </w: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45.26</w:t>
            </w: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45.27</w:t>
            </w:r>
          </w:p>
        </w:tc>
      </w:tr>
      <w:tr>
        <w:trPr>
          <w:trHeight w:val="180"/>
        </w:trPr>
        <w:tc>
          <w:tcPr>
            <w:tcW w:w="7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1220" w:type="dxa"/>
            <w:vAlign w:val="bottom"/>
          </w:tcPr>
          <w:p>
            <w:pPr>
              <w:jc w:val="right"/>
              <w:ind w:right="191"/>
              <w:spacing w:after="0" w:line="181" w:lineRule="exact"/>
              <w:rPr>
                <w:sz w:val="20"/>
                <w:szCs w:val="20"/>
                <w:color w:val="auto"/>
              </w:rPr>
            </w:pPr>
            <w:r>
              <w:rPr>
                <w:rFonts w:ascii="Times New Roman" w:cs="Times New Roman" w:eastAsia="Times New Roman" w:hAnsi="Times New Roman"/>
                <w:sz w:val="18"/>
                <w:szCs w:val="18"/>
                <w:color w:val="auto"/>
              </w:rPr>
              <w:t>4,271</w:t>
            </w:r>
          </w:p>
        </w:tc>
        <w:tc>
          <w:tcPr>
            <w:tcW w:w="1100" w:type="dxa"/>
            <w:vAlign w:val="bottom"/>
          </w:tcPr>
          <w:p>
            <w:pPr>
              <w:jc w:val="right"/>
              <w:ind w:right="191"/>
              <w:spacing w:after="0" w:line="181" w:lineRule="exact"/>
              <w:rPr>
                <w:sz w:val="20"/>
                <w:szCs w:val="20"/>
                <w:color w:val="auto"/>
              </w:rPr>
            </w:pPr>
            <w:r>
              <w:rPr>
                <w:rFonts w:ascii="Times New Roman" w:cs="Times New Roman" w:eastAsia="Times New Roman" w:hAnsi="Times New Roman"/>
                <w:sz w:val="18"/>
                <w:szCs w:val="18"/>
                <w:color w:val="auto"/>
              </w:rPr>
              <w:t>4,270</w:t>
            </w:r>
          </w:p>
        </w:tc>
        <w:tc>
          <w:tcPr>
            <w:tcW w:w="1120" w:type="dxa"/>
            <w:vAlign w:val="bottom"/>
          </w:tcPr>
          <w:p>
            <w:pPr>
              <w:jc w:val="right"/>
              <w:ind w:right="231"/>
              <w:spacing w:after="0" w:line="181" w:lineRule="exact"/>
              <w:rPr>
                <w:sz w:val="20"/>
                <w:szCs w:val="20"/>
                <w:color w:val="auto"/>
              </w:rPr>
            </w:pPr>
            <w:r>
              <w:rPr>
                <w:rFonts w:ascii="Times New Roman" w:cs="Times New Roman" w:eastAsia="Times New Roman" w:hAnsi="Times New Roman"/>
                <w:sz w:val="18"/>
                <w:szCs w:val="18"/>
                <w:color w:val="auto"/>
              </w:rPr>
              <w:t>4,270</w:t>
            </w: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(millions)</w:t>
            </w: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81"/>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Number of regular employees at year-end (thousands) </w:t>
            </w:r>
            <w:r>
              <w:rPr>
                <w:rFonts w:ascii="Times New Roman" w:cs="Times New Roman" w:eastAsia="Times New Roman" w:hAnsi="Times New Roman"/>
                <w:sz w:val="14"/>
                <w:szCs w:val="14"/>
                <w:i w:val="1"/>
                <w:iCs w:val="1"/>
                <w:color w:val="auto"/>
              </w:rPr>
              <w:t>(2)</w:t>
            </w:r>
          </w:p>
        </w:tc>
        <w:tc>
          <w:tcPr>
            <w:tcW w:w="12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72.0</w:t>
            </w: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74.9</w:t>
            </w:r>
          </w:p>
        </w:tc>
        <w:tc>
          <w:tcPr>
            <w:tcW w:w="11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71.0</w:t>
            </w:r>
          </w:p>
        </w:tc>
      </w:tr>
    </w:tbl>
    <w:p>
      <w:pPr>
        <w:spacing w:after="0" w:line="344"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Debt net of cash.</w:t>
      </w:r>
    </w:p>
    <w:p>
      <w:pPr>
        <w:spacing w:after="0" w:line="63" w:lineRule="exact"/>
        <w:rPr>
          <w:rFonts w:ascii="Times New Roman" w:cs="Times New Roman" w:eastAsia="Times New Roman" w:hAnsi="Times New Roman"/>
          <w:sz w:val="18"/>
          <w:szCs w:val="18"/>
          <w:i w:val="1"/>
          <w:iCs w:val="1"/>
          <w:color w:val="auto"/>
        </w:rPr>
      </w:pPr>
    </w:p>
    <w:p>
      <w:pPr>
        <w:ind w:left="340" w:right="20" w:hanging="332"/>
        <w:spacing w:after="0" w:line="284" w:lineRule="auto"/>
        <w:tabs>
          <w:tab w:leader="none" w:pos="334"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Regular employees are defined as active executive, management, professional, technical and wage employees who work full time or part time for the Corporation and are covered by the Corporation’s benefit plans and programs.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Listed below are definitions of several of ExxonMobil’s key business and financial performance measures. These definitions are provided to facilitate understanding of the terms and their calculation.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From Operations and Asset Sales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Cash flow from operations and asset sales is the sum of the net cash provided by operating activities and proceeds associated with sales of subsidiaries, property, plant and equipment, and sales and returns of investments from the Consolidated Statement of Cash Flows. This cash flow reflects the total sources of cash from both operating the Corporation’s assets and from the divesting of assets. The Corporation employs a long-standing and regular disciplined review process to ensure that assets are contributing to the Corporation’s strategic objectives. Assets are divested when they are no longer meeting these objectives or are worth considerably more to others. Because of the regular nature of this activity, we believe it is useful for investors to consider proceeds associated with asset sales together with cash provided by operating activities when evaluating cash available for investment in the business and financing activities, including shareholder distributions.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operations and asset sales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5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86"/>
        </w:trPr>
        <w:tc>
          <w:tcPr>
            <w:tcW w:w="7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20" w:type="dxa"/>
            <w:vAlign w:val="bottom"/>
          </w:tcPr>
          <w:p>
            <w:pPr>
              <w:jc w:val="right"/>
              <w:ind w:right="237"/>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14,668</w:t>
            </w:r>
          </w:p>
        </w:tc>
        <w:tc>
          <w:tcPr>
            <w:tcW w:w="152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29,716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36,014</w:t>
            </w:r>
          </w:p>
        </w:tc>
        <w:tc>
          <w:tcPr>
            <w:tcW w:w="0" w:type="dxa"/>
            <w:vAlign w:val="bottom"/>
          </w:tcPr>
          <w:p>
            <w:pPr>
              <w:spacing w:after="0"/>
              <w:rPr>
                <w:sz w:val="1"/>
                <w:szCs w:val="1"/>
                <w:color w:val="auto"/>
              </w:rPr>
            </w:pPr>
          </w:p>
        </w:tc>
      </w:tr>
      <w:tr>
        <w:trPr>
          <w:trHeight w:val="180"/>
        </w:trPr>
        <w:tc>
          <w:tcPr>
            <w:tcW w:w="77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Proceeds associated with sales of subsidiaries, property, plant and equipment, and sales and returns of</w:t>
            </w:r>
          </w:p>
        </w:tc>
        <w:tc>
          <w:tcPr>
            <w:tcW w:w="114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999</w:t>
            </w:r>
          </w:p>
        </w:tc>
        <w:tc>
          <w:tcPr>
            <w:tcW w:w="1520" w:type="dxa"/>
            <w:vAlign w:val="bottom"/>
            <w:vMerge w:val="restart"/>
          </w:tcPr>
          <w:p>
            <w:pPr>
              <w:jc w:val="right"/>
              <w:ind w:right="317"/>
              <w:spacing w:after="0"/>
              <w:rPr>
                <w:sz w:val="20"/>
                <w:szCs w:val="20"/>
                <w:color w:val="auto"/>
              </w:rPr>
            </w:pPr>
            <w:r>
              <w:rPr>
                <w:rFonts w:ascii="Times New Roman" w:cs="Times New Roman" w:eastAsia="Times New Roman" w:hAnsi="Times New Roman"/>
                <w:sz w:val="18"/>
                <w:szCs w:val="18"/>
                <w:color w:val="auto"/>
              </w:rPr>
              <w:t>3,692</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234"/>
        </w:trPr>
        <w:tc>
          <w:tcPr>
            <w:tcW w:w="7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investments</w:t>
            </w:r>
          </w:p>
        </w:tc>
        <w:tc>
          <w:tcPr>
            <w:tcW w:w="1140" w:type="dxa"/>
            <w:vAlign w:val="bottom"/>
            <w:tcBorders>
              <w:bottom w:val="single" w:sz="8" w:color="auto"/>
            </w:tcBorders>
            <w:vMerge w:val="continue"/>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flow from operations and asset sales</w:t>
            </w: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15,667</w:t>
            </w:r>
          </w:p>
        </w:tc>
        <w:tc>
          <w:tcPr>
            <w:tcW w:w="15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8"/>
                <w:szCs w:val="18"/>
                <w:color w:val="auto"/>
              </w:rPr>
              <w:t>33,408</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40,137</w:t>
            </w: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Employed</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 employed is a measure of net investment. When viewed from the perspective of how the capital is used by the businesses, it includes ExxonMobil’s net share of property, plant and equipment and other assets less liabilities, excluding both short-term and long-term debt. When viewed from the perspective of the sources of capital employed in total for the Corporation, it includes ExxonMobil’s share of total debt and equity. Both of these views include ExxonMobil’s share of amounts applicable to equity companies, which the Corporation believes should be included to provide a more comprehensive measure of capital employed.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employed</w:t>
            </w:r>
          </w:p>
        </w:tc>
        <w:tc>
          <w:tcPr>
            <w:tcW w:w="3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6"/>
        </w:trPr>
        <w:tc>
          <w:tcPr>
            <w:tcW w:w="5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80" w:type="dxa"/>
            <w:vAlign w:val="bottom"/>
          </w:tcPr>
          <w:p>
            <w:pPr>
              <w:jc w:val="right"/>
              <w:ind w:right="193"/>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920" w:type="dxa"/>
            <w:vAlign w:val="bottom"/>
          </w:tcPr>
          <w:p>
            <w:pPr>
              <w:spacing w:after="0"/>
              <w:rPr>
                <w:sz w:val="16"/>
                <w:szCs w:val="16"/>
                <w:color w:val="auto"/>
              </w:rPr>
            </w:pPr>
          </w:p>
        </w:tc>
      </w:tr>
      <w:tr>
        <w:trPr>
          <w:trHeight w:val="262"/>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uses: asset and liability perspective</w:t>
            </w:r>
          </w:p>
        </w:tc>
        <w:tc>
          <w:tcPr>
            <w:tcW w:w="2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332,750</w:t>
            </w: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362,597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346,196</w:t>
            </w: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liabilities and noncontrolling interests share of assets and liabilities</w:t>
            </w:r>
          </w:p>
        </w:tc>
        <w:tc>
          <w:tcPr>
            <w:tcW w:w="2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 excluding notes and loans payable</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(35,905)</w:t>
            </w: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(43,411)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(39,880)</w:t>
            </w:r>
          </w:p>
        </w:tc>
      </w:tr>
      <w:tr>
        <w:trPr>
          <w:trHeight w:val="229"/>
        </w:trPr>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long-term liabilities excluding long-term debt</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(65,075)</w:t>
            </w: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(73,328)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(69,992)</w:t>
            </w:r>
          </w:p>
        </w:tc>
      </w:tr>
      <w:tr>
        <w:trPr>
          <w:trHeight w:val="230"/>
        </w:trPr>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Noncontrolling interests share of assets and liabilities</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(8,773)</w:t>
            </w: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(8,839)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w:t>
            </w:r>
          </w:p>
        </w:tc>
      </w:tr>
      <w:tr>
        <w:trPr>
          <w:trHeight w:val="23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ExxonMobil share of debt-financed equity company net assets</w:t>
            </w:r>
          </w:p>
        </w:tc>
        <w:tc>
          <w:tcPr>
            <w:tcW w:w="3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4,140</w:t>
            </w: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3,906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w:t>
            </w:r>
          </w:p>
        </w:tc>
      </w:tr>
      <w:tr>
        <w:trPr>
          <w:trHeight w:val="223"/>
        </w:trPr>
        <w:tc>
          <w:tcPr>
            <w:tcW w:w="53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capital employed</w:t>
            </w:r>
          </w:p>
        </w:tc>
        <w:tc>
          <w:tcPr>
            <w:tcW w:w="2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227,137</w:t>
            </w:r>
          </w:p>
        </w:tc>
        <w:tc>
          <w:tcPr>
            <w:tcW w:w="14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240,925</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232,280</w:t>
            </w:r>
          </w:p>
        </w:tc>
      </w:tr>
      <w:tr>
        <w:trPr>
          <w:trHeight w:val="475"/>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corporate sources: debt and equity perspective</w:t>
            </w:r>
          </w:p>
        </w:tc>
        <w:tc>
          <w:tcPr>
            <w:tcW w:w="2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and loans payable</w:t>
            </w:r>
          </w:p>
        </w:tc>
        <w:tc>
          <w:tcPr>
            <w:tcW w:w="3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20,458</w:t>
            </w: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20,578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17,258</w:t>
            </w: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47,182</w:t>
            </w: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26,342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20,538</w:t>
            </w: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ExxonMobil share of equity</w:t>
            </w:r>
          </w:p>
        </w:tc>
        <w:tc>
          <w:tcPr>
            <w:tcW w:w="3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157,150</w:t>
            </w: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191,650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191,794</w:t>
            </w: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noncontrolling interests share of total debt</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(1,551)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3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ExxonMobil share of equity company debt</w:t>
            </w:r>
          </w:p>
        </w:tc>
        <w:tc>
          <w:tcPr>
            <w:tcW w:w="3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4,140</w:t>
            </w: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3,906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w:t>
            </w:r>
          </w:p>
        </w:tc>
      </w:tr>
      <w:tr>
        <w:trPr>
          <w:trHeight w:val="223"/>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capital employed</w:t>
            </w:r>
          </w:p>
        </w:tc>
        <w:tc>
          <w:tcPr>
            <w:tcW w:w="2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227,137</w:t>
            </w:r>
          </w:p>
        </w:tc>
        <w:tc>
          <w:tcPr>
            <w:tcW w:w="14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240,925</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232,280</w:t>
            </w:r>
          </w:p>
        </w:tc>
      </w:tr>
      <w:tr>
        <w:trPr>
          <w:trHeight w:val="736"/>
        </w:trPr>
        <w:tc>
          <w:tcPr>
            <w:tcW w:w="5380" w:type="dxa"/>
            <w:vAlign w:val="bottom"/>
          </w:tcPr>
          <w:p>
            <w:pPr>
              <w:spacing w:after="0"/>
              <w:rPr>
                <w:sz w:val="24"/>
                <w:szCs w:val="24"/>
                <w:color w:val="auto"/>
              </w:rPr>
            </w:pPr>
          </w:p>
        </w:tc>
        <w:tc>
          <w:tcPr>
            <w:tcW w:w="2320" w:type="dxa"/>
            <w:vAlign w:val="bottom"/>
          </w:tcPr>
          <w:p>
            <w:pPr>
              <w:jc w:val="right"/>
              <w:ind w:right="1892"/>
              <w:spacing w:after="0"/>
              <w:rPr>
                <w:sz w:val="20"/>
                <w:szCs w:val="20"/>
                <w:color w:val="auto"/>
              </w:rPr>
            </w:pPr>
            <w:r>
              <w:rPr>
                <w:rFonts w:ascii="Times New Roman" w:cs="Times New Roman" w:eastAsia="Times New Roman" w:hAnsi="Times New Roman"/>
                <w:sz w:val="18"/>
                <w:szCs w:val="18"/>
                <w:color w:val="auto"/>
              </w:rPr>
              <w:t>37</w:t>
            </w: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1"/>
        </w:trPr>
        <w:tc>
          <w:tcPr>
            <w:tcW w:w="538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 on Average Capital Employed</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Return on average capital employed (ROCE) is a performance measure ratio. From the perspective of the business segments, ROCE is annual business segment earnings divided by average business segment capital employed (average of beginning and end-of-year amounts). These segment earnings include ExxonMobil’s share of segment earnings of equity companies, consistent with our capital employed definition, and exclude the cost of financing. The Corporation’s total ROCE is net income attributable to ExxonMobil excluding the after-tax cost of financing, divided by total corporate average capital employed. The Corporation has consistently applied its ROCE definition for many years and views it as the best measure of historical capital productivity in our capital-intensive, long-term industry. Additional measures, which are more cash flow based, are used to make investment decisions.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Return on average capital employed</w:t>
            </w:r>
          </w:p>
        </w:tc>
        <w:tc>
          <w:tcPr>
            <w:tcW w:w="13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5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6"/>
        </w:trPr>
        <w:tc>
          <w:tcPr>
            <w:tcW w:w="7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20" w:type="dxa"/>
            <w:vAlign w:val="bottom"/>
          </w:tcPr>
          <w:p>
            <w:pPr>
              <w:jc w:val="right"/>
              <w:ind w:right="214"/>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080" w:type="dxa"/>
            <w:vAlign w:val="bottom"/>
          </w:tcPr>
          <w:p>
            <w:pPr>
              <w:spacing w:after="0"/>
              <w:rPr>
                <w:sz w:val="16"/>
                <w:szCs w:val="16"/>
                <w:color w:val="auto"/>
              </w:rPr>
            </w:pPr>
          </w:p>
        </w:tc>
      </w:tr>
      <w:tr>
        <w:trPr>
          <w:trHeight w:val="262"/>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ExxonMobil</w:t>
            </w: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(22,440)</w:t>
            </w:r>
          </w:p>
        </w:tc>
        <w:tc>
          <w:tcPr>
            <w:tcW w:w="152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14,340</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20,840</w:t>
            </w:r>
          </w:p>
        </w:tc>
      </w:t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costs (after tax)</w:t>
            </w:r>
          </w:p>
        </w:tc>
        <w:tc>
          <w:tcPr>
            <w:tcW w:w="1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7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Gross third-party debt</w:t>
            </w: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(1,272)</w:t>
            </w:r>
          </w:p>
        </w:tc>
        <w:tc>
          <w:tcPr>
            <w:tcW w:w="152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(1,075)</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(912)</w:t>
            </w:r>
          </w:p>
        </w:tc>
      </w:tr>
      <w:tr>
        <w:trPr>
          <w:trHeight w:val="230"/>
        </w:trPr>
        <w:tc>
          <w:tcPr>
            <w:tcW w:w="7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ExxonMobil share of equity companies</w:t>
            </w: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(182)</w:t>
            </w:r>
          </w:p>
        </w:tc>
        <w:tc>
          <w:tcPr>
            <w:tcW w:w="152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(207)</w:t>
            </w: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(192)</w:t>
            </w:r>
          </w:p>
        </w:tc>
      </w:tr>
      <w:tr>
        <w:trPr>
          <w:trHeight w:val="234"/>
        </w:trPr>
        <w:tc>
          <w:tcPr>
            <w:tcW w:w="7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All other financing costs – net</w:t>
            </w:r>
          </w:p>
        </w:tc>
        <w:tc>
          <w:tcPr>
            <w:tcW w:w="13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666</w:t>
            </w:r>
          </w:p>
        </w:tc>
        <w:tc>
          <w:tcPr>
            <w:tcW w:w="15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color w:val="auto"/>
              </w:rPr>
              <w:t>141</w:t>
            </w: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498</w:t>
            </w:r>
          </w:p>
        </w:tc>
      </w:tr>
      <w:tr>
        <w:trPr>
          <w:trHeight w:val="223"/>
        </w:trPr>
        <w:tc>
          <w:tcPr>
            <w:tcW w:w="73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financing costs</w:t>
            </w:r>
          </w:p>
        </w:tc>
        <w:tc>
          <w:tcPr>
            <w:tcW w:w="13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(788)</w:t>
            </w:r>
          </w:p>
        </w:tc>
        <w:tc>
          <w:tcPr>
            <w:tcW w:w="15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rPr>
              <w:t>(1,141)</w:t>
            </w:r>
          </w:p>
        </w:tc>
        <w:tc>
          <w:tcPr>
            <w:tcW w:w="10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(606)</w:t>
            </w:r>
          </w:p>
        </w:tc>
      </w:tr>
      <w:tr>
        <w:trPr>
          <w:trHeight w:val="223"/>
        </w:trPr>
        <w:tc>
          <w:tcPr>
            <w:tcW w:w="734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Earnings (Loss) excluding financing costs</w:t>
            </w:r>
          </w:p>
        </w:tc>
        <w:tc>
          <w:tcPr>
            <w:tcW w:w="13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(21,652)</w:t>
            </w:r>
          </w:p>
        </w:tc>
        <w:tc>
          <w:tcPr>
            <w:tcW w:w="15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8"/>
                <w:szCs w:val="18"/>
                <w:color w:val="auto"/>
              </w:rPr>
              <w:t>15,481</w:t>
            </w: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21,446</w:t>
            </w:r>
          </w:p>
        </w:tc>
      </w:tr>
      <w:tr>
        <w:trPr>
          <w:trHeight w:val="48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capital employed</w:t>
            </w:r>
          </w:p>
        </w:tc>
        <w:tc>
          <w:tcPr>
            <w:tcW w:w="13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234,031</w:t>
            </w:r>
          </w:p>
        </w:tc>
        <w:tc>
          <w:tcPr>
            <w:tcW w:w="152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236,603</w:t>
            </w: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232,374</w:t>
            </w:r>
          </w:p>
        </w:tc>
      </w:tr>
      <w:tr>
        <w:trPr>
          <w:trHeight w:val="49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on average capital employed – corporate total</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w:t>
            </w:r>
          </w:p>
        </w:tc>
        <w:tc>
          <w:tcPr>
            <w:tcW w:w="15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6.5 %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FUNCTIONAL EARNINGS</w:t>
            </w:r>
          </w:p>
        </w:tc>
        <w:tc>
          <w:tcPr>
            <w:tcW w:w="1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3"/>
        </w:trPr>
        <w:tc>
          <w:tcPr>
            <w:tcW w:w="7700" w:type="dxa"/>
            <w:vAlign w:val="bottom"/>
          </w:tcPr>
          <w:p>
            <w:pPr>
              <w:spacing w:after="0"/>
              <w:rPr>
                <w:sz w:val="18"/>
                <w:szCs w:val="18"/>
                <w:color w:val="auto"/>
              </w:rPr>
            </w:pPr>
          </w:p>
        </w:tc>
        <w:tc>
          <w:tcPr>
            <w:tcW w:w="3540" w:type="dxa"/>
            <w:vAlign w:val="bottom"/>
            <w:gridSpan w:val="3"/>
          </w:tcPr>
          <w:p>
            <w:pPr>
              <w:jc w:val="right"/>
              <w:ind w:right="332"/>
              <w:spacing w:after="0"/>
              <w:rPr>
                <w:sz w:val="20"/>
                <w:szCs w:val="20"/>
                <w:color w:val="auto"/>
              </w:rPr>
            </w:pPr>
            <w:r>
              <w:rPr>
                <w:rFonts w:ascii="Times New Roman" w:cs="Times New Roman" w:eastAsia="Times New Roman" w:hAnsi="Times New Roman"/>
                <w:sz w:val="14"/>
                <w:szCs w:val="14"/>
                <w:i w:val="1"/>
                <w:iCs w:val="1"/>
                <w:color w:val="auto"/>
              </w:rPr>
              <w:t>(millions of dollars, except per share amounts)</w:t>
            </w:r>
          </w:p>
        </w:tc>
      </w:tr>
      <w:tr>
        <w:trPr>
          <w:trHeight w:val="235"/>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(U.S. GAAP)</w:t>
            </w:r>
          </w:p>
        </w:tc>
        <w:tc>
          <w:tcPr>
            <w:tcW w:w="1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Upstream</w:t>
            </w:r>
          </w:p>
        </w:tc>
        <w:tc>
          <w:tcPr>
            <w:tcW w:w="1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w:t>
            </w: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(19,385)</w:t>
            </w:r>
          </w:p>
        </w:tc>
        <w:tc>
          <w:tcPr>
            <w:tcW w:w="12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536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29"/>
        </w:trPr>
        <w:tc>
          <w:tcPr>
            <w:tcW w:w="7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Non-U.S.</w:t>
            </w: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(645)</w:t>
            </w:r>
          </w:p>
        </w:tc>
        <w:tc>
          <w:tcPr>
            <w:tcW w:w="12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13,906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12,340</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Downstream</w:t>
            </w:r>
          </w:p>
        </w:tc>
        <w:tc>
          <w:tcPr>
            <w:tcW w:w="1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w:t>
            </w: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(852)</w:t>
            </w:r>
          </w:p>
        </w:tc>
        <w:tc>
          <w:tcPr>
            <w:tcW w:w="12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1,717</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r>
      <w:tr>
        <w:trPr>
          <w:trHeight w:val="230"/>
        </w:trPr>
        <w:tc>
          <w:tcPr>
            <w:tcW w:w="7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Non-U.S.</w:t>
            </w: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(225)</w:t>
            </w:r>
          </w:p>
        </w:tc>
        <w:tc>
          <w:tcPr>
            <w:tcW w:w="12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606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w:t>
            </w: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w:t>
            </w:r>
          </w:p>
        </w:tc>
        <w:tc>
          <w:tcPr>
            <w:tcW w:w="1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w:t>
            </w:r>
          </w:p>
        </w:tc>
        <w:tc>
          <w:tcPr>
            <w:tcW w:w="142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1,277</w:t>
            </w:r>
          </w:p>
        </w:tc>
        <w:tc>
          <w:tcPr>
            <w:tcW w:w="12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206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r>
      <w:tr>
        <w:trPr>
          <w:trHeight w:val="230"/>
        </w:trPr>
        <w:tc>
          <w:tcPr>
            <w:tcW w:w="7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Non-U.S.</w:t>
            </w:r>
          </w:p>
        </w:tc>
        <w:tc>
          <w:tcPr>
            <w:tcW w:w="142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686</w:t>
            </w:r>
          </w:p>
        </w:tc>
        <w:tc>
          <w:tcPr>
            <w:tcW w:w="12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386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financing</w:t>
            </w:r>
          </w:p>
        </w:tc>
        <w:tc>
          <w:tcPr>
            <w:tcW w:w="14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(3,296)</w:t>
            </w:r>
          </w:p>
        </w:tc>
        <w:tc>
          <w:tcPr>
            <w:tcW w:w="12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(3,017)</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r>
      <w:tr>
        <w:trPr>
          <w:trHeight w:val="223"/>
        </w:trPr>
        <w:tc>
          <w:tcPr>
            <w:tcW w:w="7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income (loss) attributable to ExxonMobil (U.S. GAAP)</w:t>
            </w:r>
          </w:p>
        </w:tc>
        <w:tc>
          <w:tcPr>
            <w:tcW w:w="14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(22,440)</w:t>
            </w:r>
          </w:p>
        </w:tc>
        <w:tc>
          <w:tcPr>
            <w:tcW w:w="12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14,340</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20,840</w:t>
            </w:r>
          </w:p>
        </w:tc>
      </w:tr>
      <w:tr>
        <w:trPr>
          <w:trHeight w:val="421"/>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(5.25)</w:t>
            </w:r>
          </w:p>
        </w:tc>
        <w:tc>
          <w:tcPr>
            <w:tcW w:w="12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3.36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common share – assuming dilution</w:t>
            </w: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(5.25)</w:t>
            </w:r>
          </w:p>
        </w:tc>
        <w:tc>
          <w:tcPr>
            <w:tcW w:w="122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3.36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r>
    </w:tbl>
    <w:p>
      <w:pPr>
        <w:spacing w:after="0" w:line="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References in this discussion to total corporate earnings (loss) mean net income (loss) attributable to ExxonMobil (U.S. GAAP) from the consolidated income statement. Unless otherwise indicated, references to earnings (loss), Upstream, Downstream, Chemical and Corporate and financing segment earnings (loss), and earnings (loss) per share are ExxonMobil’s share after excluding amounts attributable to noncontrolling interests.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Outlooks, projections, goals, targets, descriptions of strategic plans and objectives, and other statements of future events or conditions in this release are forward-looking statements. Actual future results, including energy demand growth and mix; financial and operating performance; volume growth; project plans, timing, costs, and capacities; capital expenditures including environmental expenditures; cost reductions; emission intensity reductions; the impact of new technologies; capital expenditures and mix; investment returns; accounting and financial reporting effects resulting from market developments and ExxonMobil’s responsive actions, including potential impairment charges; the benefits of business integration; future debt levels and ability to reduce debt; the outcome of litigation and tax contingencies; and the impact of the COVID-19 pandemic on results, could differ materially due to a number of factors. These include global or regional changes in the supply and demand for oil, natural gas, petrochemicals, and feedstocks and other market conditions that impact prices and differentials; the impact of company actions to protect the health and safety of employees, vendors, customers, and communities; actions of competitors and commercial counterparties; the ability to access short- and long-term debt markets on a timely and affordable basis; the severity, length and ultimate impact of COVID-19 and government responses on people and economies; reservoir performance; the outcome of exploration projects and timely completion of development and construction projects; changes in law, taxes, or regulation including environmental regulations, and timely granting of governmental permits; war, trade agreements and patterns, shipping blockades or harassment, and other political or security disturbances; opportunities for and regulatory approval of potential investments or divestments; the actions of competitors; the capture of efficiencies within and between business lines and the ability to maintain near-term cost reductions as ongoing efficiencies while maintaining future competitive positioning; unforeseen technical or operating difficulties; the development and competitiveness of alternative energy and emission reduction technologies; the results of research programs; the ability to bring new technologies to commercial scale on a cost-competitive basis; general economic conditions including the occurrence and duration of economic recessions; and other factors discussed under Item 1A. Risk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ExxonMobil’s financial results, as well as the accompanying financial statements and related notes to consolidated financial statements to which they refer, are the responsibility of the management of Exxon Mobil Corporation. The Corporation’s accounting and financial reporting fairly reflect its integrated business model involving exploration for, and production of, crude oil and natural gas and manufacture, trade, transport and sale of crude oil, natural gas, petroleum products, petrochemicals and a wide variety of specialty products.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ExxonMobil, with its resource base, financial strength, disciplined investment approach and technology portfolio, is well-positioned to participate in substantial investments to develop new energy supplies. The company’s integrated business model, with significant investments in Upstream, Downstream and Chemical segments, generally reduces the Corporation’s risk from changes in commodity prices. While commodity prices depend on supply and demand and may be volatile on a short-term basis, ExxonMobil’s investment decisions are grounded on fundamentals reflected in our long-term business outlook, and use a disciplined approach in selecting and pursuing the most attractive investment opportunities.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corporate plan is a fundamental annual management process that is the basis for setting operating and capital objectives in addition to providing the economic assumptions used for investment evaluation purposes. Volume projections are based on individual field production profiles, which are also updated at least annually. Price ranges for crude oil, natural gas, refined products, and chemical products are based on corporate plan assumptions developed annually by major region and are utilized for investment evaluation purposes. Major investment opportunities are evaluated over a range of potential market conditions. Once major investments are made, a reappraisal process is completed to ensure relevant lessons are learned and improvements are incorporated into future projects.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 AND RISK ASSESSMENT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Business Outlook</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Given the uncertainty around the near-term impacts of COVID-19 on economic growth, energy demand and energy supply, and lack of precedent, the Company is considering a range of recovery pathways to guide near-term plans. These pathways expect that energy demand will grow beyond 2019 levels as early as 2022 reflecting the phase out of COVID-19 impacts and re-establishment of long-term supply/demand fundamentals. The Corporation’s Outlook for Energy combined with the near-term pathways are used to help inform our long-term business strategies and investment plans.</w:t>
      </w:r>
    </w:p>
    <w:p>
      <w:pPr>
        <w:spacing w:after="0" w:line="4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By 2040, the world’s population is projected at around 9.1 billion people, or about 1.6 billion more than in 2018. Coincident with this population increase, the Corporation expects worldwide economic growth to average close to 2.5 percent per year, with economic output growing by around 75 percent by 2040. As economies and populations grow, and as living standards improve for billions of people, the need for energy is expected to continue to rise. Even with significant efficiency gains, global energy demand is projected to rise by more than 10 percent from 2018 to 2040. This increase in energy demand is expected to be driven by developing countries (i.e., those that are not member nations of the Organisation for Economic Co-operation and Development (OECD)).</w:t>
      </w:r>
    </w:p>
    <w:p>
      <w:pPr>
        <w:spacing w:after="0" w:line="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expanding prosperity helps drive global energy demand higher, increasing use of energy efficient technologies and practices as well as lower-emission products will continue to help significantly reduce energy consumption and emissions per unit of economic output over time. Substantial efficiency gains are likely in all key aspects of the world’s economy through 2040, affecting energy requirements for power generation, transportation, industrial applications, and residential and commercial needs.</w:t>
      </w:r>
    </w:p>
    <w:p>
      <w:pPr>
        <w:spacing w:after="0" w:line="5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Global electricity demand is expected to increase approximately 50 percent from 2018 to 2040, with developing countries likely to account for about 85 percent of the increase. Consistent with this projection, power generation is expected to remain the largest and fastest growing major segment of global primary energy demand, supported by a wide variety of energy sources. The share of coal fired generation is likely to decline substantially and approach 20 percent of the world’s electricity in 2040, versus nearly 40 percent in 2018, in part as a result of policies to improve air quality as well as reduce greenhouse gas emissions to address the risks related to climate change. From 2018 to 2040, the amount of electricity supplied using natural gas, nuclear power, and renewables is likely to nearly double, accounting for the entire growth in electricity supplies and offsetting the reduction of coal. Electricity from wind and solar is likely to increase about 400 percent, helping total renewables (including other sources, e.g. hydropower) to account for about 80 percent of the increase in electricity supplies worldwide through 2040. Total renewables will likely reach about 50 percent of global electricity supplies by 2040. Natural gas and nuclear are also expected to increase shares over the period to 2040, reaching more than 25 percent and about 10 percent of global electricity supplies respectively by 2040. Supplies of electricity by energy type will reflect significant differences across regions reflecting a wide range of factors including the cost and availability of various energy supplies and policy developments.</w:t>
      </w:r>
    </w:p>
    <w:p>
      <w:pPr>
        <w:spacing w:after="0" w:line="5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Energy for transportation – including cars, trucks, ships, trains and airplanes – is expected to increase by about 20 percent from 2018 to 2040. Transportation energy demand is likely to account for over 60 percent of the growth in liquid fuels demand worldwide over this period. Light-duty vehicle demand for liquid fuels is projected to peak prior to 2025 and then decline to levels seen in the early-2010s by 2040 as the impact of better fuel economy and significant growth in electric cars, led by China, Europe, and the United States, work to offset growth in the worldwide car fleet of about 60 percent. By 2040, light-duty vehicles are expected to account for about 20 percent of global liquid fuels demand. During the same time period, nearly all the world’s commercial transportation fleets are likely to continue to run on liquid fuels, which are widely available and offer practical advantages in providing a large quantity of energy in small volumes.</w:t>
      </w:r>
    </w:p>
    <w:p>
      <w:pPr>
        <w:spacing w:after="0" w:line="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Liquid fuels provide the largest share of global energy supplies today reflecting broad-based availability, affordability, ease of transportation, and fitness as a practical solution to meet a wide variety of needs. By 2040, global demand for liquid fuels is projected to grow to approximately 110 million barrels of oil equivalent per day, an increase of about 9 percent from 2018. The non-OECD share of global liquid fuels demand is expected to increase to about 65 percent by 2040, as liquid fuels demand in the OECD is likely to decline by close to 15 percent. Much of the global liquid fuels demand today is met by crude production from traditional conventional sources; these supplies will remain important, and significant development activity is expected to offset much of the natural declines from these fields. At the same time, a variety of emerging supply sources – including tight oil, deepwater, oil sands, natural gas liquids and biofuels – are expected to grow to help meet rising demand. The world’s resource base is sufficient to meet projected demand through 2040 as technology advances continue to expand the availability of economic and lower carbon supply options. However, timely investments will remain critical to meeting global needs with reliable and affordable supplies.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Natural gas is a lower-emission, versatile and practical fuel for a wide variety of applications, and it is expected to grow the most of any primary energy type from 2018 to 2040, meeting about 50 percent of global energy demand growth. Global natural gas demand is expected to rise about 25 percent from 2018 to 2040, with about half of that increase coming from the Asia Pacific region. Significant growth in supplies of unconventional gas – the natural gas found in shale and other tight rock formations – will help meet these needs. In total, about 55 percent of the growth in natural gas supplies is expected to be from unconventional sources. At the same time, conventionally-produced natural gas is likely to remain the cornerstone of global supply, meeting more than two thirds of worldwide demand in 2040. Liquefied natural gas (LNG) trade will expand significantly, meeting about 40 percent of the increase in global demand growth, with much of this supply expected to help meet rising demand in Asia Pacific.</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world’s energy mix is highly diverse and will remain so through 2040. Oil is expected to remain the largest source of energy with its share remaining close to 30 percent in 2040. Coal is currently the second largest source of energy, but it is likely to lose that position to natural gas in the next few years. The share of natural gas is expected to reach more than 25 percent by 2040, while the share of coal falls to about two thirds of the natural gas share. Nuclear power is projected to grow significantly, as many nations are likely to expand nuclear capacity to address rising electricity needs as well as energy security and environmental issues. Total renewable energy is likely to exceed 15 percent of global energy by 2040, with biomass, hydro and geothermal contributing a combined share of more than 10 percent. Total energy supplied from wind, solar and biofuels is expected to increase rapidly, growing over 350 percent from 2018 to 2040, when they will likely be just over 6 percent of the world energy mix.</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Corporation anticipates that the world’s available oil and gas resource base will grow not only from new discoveries, but also from increases in previously discovered fields. Technology will underpin these increases. The investments to develop and supply resources to meet global demand through 2040 will be significant – even if demand remains flat. This reflects a fundamental aspect of the oil and natural gas business as the International Energy Agency (IEA) describes in its </w:t>
      </w:r>
      <w:r>
        <w:rPr>
          <w:rFonts w:ascii="Times New Roman" w:cs="Times New Roman" w:eastAsia="Times New Roman" w:hAnsi="Times New Roman"/>
          <w:sz w:val="18"/>
          <w:szCs w:val="18"/>
          <w:i w:val="1"/>
          <w:iCs w:val="1"/>
          <w:color w:val="auto"/>
        </w:rPr>
        <w:t>World Energy Outlook 2020</w:t>
      </w:r>
      <w:r>
        <w:rPr>
          <w:rFonts w:ascii="Times New Roman" w:cs="Times New Roman" w:eastAsia="Times New Roman" w:hAnsi="Times New Roman"/>
          <w:sz w:val="18"/>
          <w:szCs w:val="18"/>
          <w:color w:val="auto"/>
        </w:rPr>
        <w:t>. According to the IEA’s Stated Energy Policies Scenario, the investment required to meet oil and natural gas supply requirements worldwide over the period 2019-2040 will be about $17 trillion (measured in 2019 dollars). In the IEA’s Sustainable Development Scenario, which is in line with the objectives of the Paris Agreement on climate change, the investment need would still accumulate to $12 trillion.</w:t>
      </w:r>
    </w:p>
    <w:p>
      <w:pPr>
        <w:spacing w:after="0" w:line="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International accords and underlying regional and national regulations covering greenhouse gas emissions continue to evolve with uncertain timing and outcome, making it difficult to predict their business impact. For many years, the Corporation has taken into account policies established to reduce energy-related greenhouse gas emissions in its long-term Outlook for Energy. The climate accord reached at the Conference of the Parties (COP 21) in Paris set many new goals, and many related policies are still emerging. Our Outlook reflects an environment with increasingly stringent climate policies and is consistent with the aggregation of Nationally Determined Contributions (NDCs), which were submitted by signatories to the United Nations Framework Convention on Climate Change (UNFCCC) 2015 Paris Agreement. Our Outlook seeks to identify potential impacts of climate related policies, which often target specific sectors. It estimates potential impacts of these policies on consumer energy demand by using various assumptions and tools – including, depending on the sector, application of a proxy cost of carbon or assessment of targeted policies (e.g. automotive fuel economy standards). For purposes of the Outlook, a proxy cost on energy-related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emissions is assumed to reach about $80 per tonne in 2040 in OECD nations. China and other leading non-OECD nations are expected to trail OECD policy initiatives. Nevertheless, as people and nations look for ways to reduce risks of global climate change, they will continue to need practical solutions that do not jeopardize the affordability or reliability of the energy they need. The Corporation continues to monitor the updates to the NDCs that nations are expected to provide in preparation for COP 26 in Glasgow in November 2021 as well as other policy developments in light of net zero ambitions recently formulated by some nations.</w:t>
      </w:r>
    </w:p>
    <w:p>
      <w:pPr>
        <w:spacing w:after="0" w:line="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provided in the Long-Term Business Outlook includes ExxonMobil’s internal estimates and projections based upon internal data and analyses as well as publicly available information from external sources including the International Energy Agency.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Positioning for a Lower-Carbon Energy Future</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Practical solutions to the world’s energy and climate challenges will benefit from market competition in addition to well-informed, well-designed, and transparent policy approaches that carefully weigh costs and benefits. Such policies are likely to help manage the risks of climate change while also enabling societies to pursue other high priority goals around the world – including clean air and water, access to reliable and affordable energy, and economic progress for all people. ExxonMobil encourages sound policy solutions that reduce climate-related risks across the economy at the lowest societal cost. All practical and economically-viable energy sources will need to be pursued to continue meeting global energy demand, recognizing the scale and variety of worldwide energy needs as well as the importance of expanding access to modern energy to promote better standards of living for billions of people.</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ExxonMobil is committed to advancing sustainable, effective solutions that address both the world’s growing demand for energy and the risks of climate change. The Company’s plans aim for industry-leading greenhouse gas performance across its businesses by 2030. These plans include a reduction of the intensity of operated upstream greenhouse gas emissions by 15 to 20 percent in 2025, compared to 2016 levels, which will be supported by a 40 to 50 percent decrease in methane intensity and a 35 to 45 percent decrease in flaring intensity across the Corporation’s global operations. The 2025 emission reduction plans are expected to result in a reduction of absolute emissions by approximately 30 percent for the Company’s current Upstream business by 2025 when compared to 2016 levels. The emission plans cover Scope 1 and Scope 2 emissions from assets operated by the Corporation.</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Commercially viable technology advances will be needed to achieve the Paris Agreement objectives at the lowest societal cost. While many potential pathways exist, ExxonMobil cannot predict how these objectives will become achievable given the range of uncertainties. ExxonMobil is working to develop breakthrough solutions in areas such as carbon capture, biofuels, hydrogen, and energy-efficiency process technology that can help achieve the Paris Agreement objectives. In early 2021 ExxonMobil announced the creation of a new business, ExxonMobil Low Carbon Solutions, to commercialize low-carbon technologies. The business will initially focus on carbon capture and storage (CCS), one of the critical technologies required to achieve the climate objectives outlined in the Paris Agreement. In addition to CCS, the business will also leverage ExxonMobil’s significant experience in the production of hydrogen which, when coupled with CCS, is likely to play a critical role in a lower-carbon energy system. Other technology focus areas will be added in the future as they mature to commercialization.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Upstream</w:t>
      </w:r>
    </w:p>
    <w:p>
      <w:pPr>
        <w:spacing w:after="0" w:line="9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ExxonMobil continues to sustain a diverse growth portfolio of exploration and development opportunities, which enables the Corporation to be selective, maximizing shareholder value and mitigating political and technical risks. ExxonMobil’s fundamental strategies guide our global Upstream business, including capturing material and accretive opportunities to continually high-grade the resource portfolio, selectively developing attractive oil and natural gas resources, developing and applying high-impact technologies, and pursuing productivity and efficiency gains. These strategies are underpinned by a relentless focus on operational excellence, development of our employees, and investment in the communities within which we operate.</w:t>
      </w:r>
    </w:p>
    <w:p>
      <w:pPr>
        <w:spacing w:after="0" w:line="6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future development projects and drilling activities bring new production online, the Corporation expects a shift in the geographic mix and in the type of opportunities from which volumes are produced. Based on current investment plans, the proportion of oil-equivalent production from the Americas is generally expected to increase over the next several years. Further, the proportion of our global production from unconventional and deepwater resources, as well as LNG currently contributes nearly half of global production, and is generally expected to grow in the next few years.</w:t>
      </w:r>
    </w:p>
    <w:p>
      <w:pPr>
        <w:spacing w:after="0" w:line="4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Corporation anticipates several projects will come online over the next few years providing additional production capacity. However, actual volumes will vary from year to year due to the timing of individual project start-ups; operational outages; reservoir performance; performance of enhanced oil recovery projects; regulatory changes; the impact of fiscal and commercial terms; asset sales; weather events; price effects on production sharing contracts; changes in the amount and timing of capital investments that may vary depending on the oil and gas price environment; and other factors described in Item 1A. Risk Factors.</w:t>
      </w:r>
    </w:p>
    <w:p>
      <w:pPr>
        <w:spacing w:after="0" w:line="6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markets for crude oil and natural gas have a history of significant price volatility. Market demand and prices experienced sharp decline in the first half of 2020 largely driven by the COVID-19 pandemic. Following this decline, prices increased in the second half of the year as supply and demand began to rebalance. ExxonMobil believes prices over the long term will continue to be driven by market supply and demand, with the demand side largely being a function of general economic activities, levels of prosperity, technology advances, consumer preference and government policies. On the supply side, prices may be significantly impacted by political events, the actions of OPEC and other large government resource owners, and other factors. To manage the risks associated with price, ExxonMobil evaluates annual plans and major investments across a range of price scenarios.</w:t>
      </w:r>
    </w:p>
    <w:p>
      <w:pPr>
        <w:spacing w:after="0" w:line="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2020, the Upstream business produced 3.8 million oil-equivalent barrels per day and matched best-ever reliability performance with continued focus on delivering best in class operations in all aspects of the business while prioritizing cash flow generation and return on investment. Government-mandated and economic curtailments negatively impacted 2020 production by approximately 0.2 million oil-equivalent barrels per day. Significant progress was made on key new developments in Guyana and in the Permian basin during 2020. In Guyana, exploration success continued with three additional discoveries increasing the estimated recoverable resource to nearly 9 billion oil-equivalent barrels on the Stabroek block. In the Permian, despite economic curtailments and reduced capital investment, production volumes averaged 367 thousand oil-equivalent barrels per day in 2020, a 35 percent year-on-year production increase which exceeded expectations, while development and operating costs were significantly reduced. Also in the Permian, we started up the Delaware basin central processing and stabilization facility which enhances the company’s integration advantages by collecting and processing oil and natural gas for delivery to Gulf Coast markets.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Downstream</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ExxonMobil’s Downstream is a large, diversified business with global logistics, trading, refining, and marketing. The Corporation has a well-established presence in the Americas, Europe, and growing Asia Pacific region.</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Downstream strategies competitively position the business across a range of market conditions. These strategies focus on providing quality, differentiated, and valued products and services to customers, targeting best in class operations performance, capitalizing on integration across all ExxonMobil businesses, maximizing value from advantaged technology, and selectively investing for resilient, advantaged returns.</w:t>
      </w:r>
    </w:p>
    <w:p>
      <w:pPr>
        <w:spacing w:after="0" w:line="5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ExxonMobil’s operating results, as noted in Item 2. Properties, reflect 21 refineries, located in 14 countries, with distillation capacity of 4.8 million barrels per day (MBD) and lubricant base stock manufacturing capacity of 129 thousand barrels per day. ExxonMobil’s fuels and lubes value chains have significant global reach, with multiple channels to market serving a diverse customer base. Our portfolio of world-renowned brands includes </w:t>
      </w:r>
      <w:r>
        <w:rPr>
          <w:rFonts w:ascii="Times New Roman" w:cs="Times New Roman" w:eastAsia="Times New Roman" w:hAnsi="Times New Roman"/>
          <w:sz w:val="18"/>
          <w:szCs w:val="18"/>
          <w:i w:val="1"/>
          <w:iCs w:val="1"/>
          <w:color w:val="auto"/>
        </w:rPr>
        <w:t>Exxon, Mobil,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Esso, Synergy,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Mobil 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Fuels demand in 2020 was significantly impacted by the COVID-19 pandemic. During the second quarter downturn, global demand for gasoline, diesel, and jet fuel declined about 23 percent versus 2019. While demand partially recovered in the second half of the year, fourth quarter total products demand remained 10 percent below 2019 levels. This unprecedented demand impact adversely affected refining margins resulting in historically low market conditions, with announced refinery closures four times higher than 10-year historical levels. In the near-term, refining margins will continue to be impacted by COVID-19 demand recovery. Finished lubricant demand was also impacted by COVID-19, with ExxonMobil’s estimate of industry demand down 5 to 10 percent versus 2019.</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Refining margins are largely driven by differences in commodity prices and are a function of the difference between what a refinery pays for its raw materials and the market prices for the range of products produced. Crude oil and many products are widely traded with published prices, including those quoted on multiple exchanges around the world (e.g., New York Mercantile Exchange and Intercontinental Exchange). Prices for these commodities are determined by the global marketplace and are influenced by many factors, including global and regional supply/demand balances, inventory levels, industry refinery operations, import/export balances, currency fluctuations, seasonal demand, weather, and political climate.</w:t>
      </w:r>
    </w:p>
    <w:p>
      <w:pPr>
        <w:spacing w:after="0" w:line="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ExxonMobil’s long-term outlook is that industry refining margins will remain volatile subject to shifting consumer demand as well as capacity changes from refinery additions and closures. ExxonMobil’s significant integration both within the Downstream value chains including lubricants, logistics, trading, refining, and marketing, as well as with Upstream and Chemical, improves our ability to generate shareholder value in different market conditions.</w:t>
      </w:r>
    </w:p>
    <w:p>
      <w:pPr>
        <w:spacing w:after="0" w:line="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Item 1A. Risk Factors, proposed carbon policy and other climate related regulations in many countries, as well as the continued growth in biofuels mandates, could have negative impacts on the Downstream business.</w:t>
      </w:r>
    </w:p>
    <w:p>
      <w:pPr>
        <w:spacing w:after="0" w:line="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ExxonMobil continually evaluates the Downstream portfolio during all phases of the business cycle, which has resulted in numerous asset divestments over the past decade to strengthen overall profitability and resiliency. When investing in the Downstream, ExxonMobil remains focused on select and resilient projects across a broad range of market conditions. In 2020, the Strathcona Cogeneration project started up to improve refinery energy efficiency and reduce greenhouse gas emissions. In addition, the main segment of the Wink to Webster pipeline system, operated by ExxonMobil Pipeline Company, started transporting Permian crude from Midland to Houston. Finally, deferral costs associated with pacing previously announced Downstream projects will be offset with efficiencies captured during the market downturn.</w:t>
      </w:r>
    </w:p>
    <w:p>
      <w:pPr>
        <w:spacing w:after="0" w:line="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ExxonMobil continues to grow fuels product sales in new markets near major production assets with continued progress in the Mexico and Indonesia market entries. The lubricants business continues to grow, leveraging world class brands and integration with industry leading basestock refining capability. Through the Mobil branded properties, such as </w:t>
      </w:r>
      <w:r>
        <w:rPr>
          <w:rFonts w:ascii="Times New Roman" w:cs="Times New Roman" w:eastAsia="Times New Roman" w:hAnsi="Times New Roman"/>
          <w:sz w:val="18"/>
          <w:szCs w:val="18"/>
          <w:i w:val="1"/>
          <w:iCs w:val="1"/>
          <w:color w:val="auto"/>
        </w:rPr>
        <w:t>Mobil 1</w:t>
      </w:r>
      <w:r>
        <w:rPr>
          <w:rFonts w:ascii="Times New Roman" w:cs="Times New Roman" w:eastAsia="Times New Roman" w:hAnsi="Times New Roman"/>
          <w:sz w:val="18"/>
          <w:szCs w:val="18"/>
          <w:color w:val="auto"/>
        </w:rPr>
        <w:t>, ExxonMobil is the worldwide leader in synthetic motor oils.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Chemical</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ExxonMobil is a major manufacturer and marketer of petrochemicals, including a wide variety of performance products that sustainably support improved living standards around the globe. ExxonMobil sustains its competitive advantage through continued operational excellence, investment and cost discipline, a balanced portfolio of products, and unparalleled integration with Downstream and Upstream operations, all underpinned by proprietary technology.</w:t>
      </w:r>
    </w:p>
    <w:p>
      <w:pPr>
        <w:spacing w:after="0" w:line="5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2020, many markets were heavily impacted by COVID-19, however demand for chemical products remained resilient in several key segments including food packaging, hygiene and medical. Overall Chemical margins improved compared to 2019 due to lower feedstock costs, continued strong packaging demand, and industry supply disruptions through the second half of 2020. We were uniquely positioned to capture value from the market volatility in 2020 due to our integration, enabling nimble feed and product optimization. This, in addition to our outstanding safety and reliability performance and structural cost improvement, delivered industry leading earnings.</w:t>
      </w:r>
    </w:p>
    <w:p>
      <w:pPr>
        <w:spacing w:after="0" w:line="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Over the long term, demand for chemical products is forecast to outpace growth in global GDP and energy demand. ExxonMobil estimates that worldwide demand for chemicals will rise by over 40 percent by 2030, driven by continued global population growth and an expanding middle class. ExxonMobil’s integration with refining, together with our high-value performance products and unique project execution capability, enhances our ability to generate industry-leading returns on investments across a range of market environments. In 2020, construction progressed on our joint venture ethane cracker and associated units near Corpus Christi, Texas. The project is below budget and expected to start up ahead of schedule in the fourth quarter of 2021. We made the decision to slow the pace of other U.S. Gulf Coast growth projects, capturing current market efficiencies to offset deferral costs. In addition, we continued to progress plans for a world-scale steam cracker and performance derivative units in Guangdong Province, China.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OF 2020 AND 2019 RESULTS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and second quarters of 2020, the balance of supply and demand for petroleum and petrochemical products experienced two significant disruptive effects. On the demand side, the COVID-19 pandemic spread rapidly through most areas of the world resulting in substantial reductions in consumer and business activity and significantly reduced demand for crude oil, natural gas, and petroleum products. This reduction in demand coincided with announcements of increased production in certain key oil-producing countries which led to increases in inventory levels and sharp declines in prices for crude oil, natural gas, and petroleum products.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 conditions continued to reflect considerable uncertainty throughout 2020 as consumer and business activity exhibited some degree of recovery, but remained lower when compared to prior periods as a result of the pandemic. Despite actions taken by key oil-producing countries to reduce oversupply, the unfavorable economic impacts are likely to persist to some extent well into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37"/>
        </w:trPr>
        <w:tc>
          <w:tcPr>
            <w:tcW w:w="8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13"/>
        </w:trPr>
        <w:tc>
          <w:tcPr>
            <w:tcW w:w="8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760" w:type="dxa"/>
            <w:vAlign w:val="bottom"/>
          </w:tcPr>
          <w:p>
            <w:pPr>
              <w:spacing w:after="0"/>
              <w:rPr>
                <w:sz w:val="18"/>
                <w:szCs w:val="18"/>
                <w:color w:val="auto"/>
              </w:rPr>
            </w:pPr>
          </w:p>
        </w:tc>
      </w:tr>
      <w:tr>
        <w:trPr>
          <w:trHeight w:val="23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(U.S. GAAP)</w:t>
            </w:r>
          </w:p>
        </w:tc>
        <w:tc>
          <w:tcPr>
            <w:tcW w:w="9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4"/>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ExxonMobil (U.S. GAAP)</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(22,440)</w:t>
            </w:r>
          </w:p>
        </w:tc>
        <w:tc>
          <w:tcPr>
            <w:tcW w:w="136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14,340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20,840</w:t>
            </w:r>
          </w:p>
        </w:tc>
      </w:tr>
      <w:tr>
        <w:trPr>
          <w:trHeight w:val="67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Upstream</w:t>
            </w: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3"/>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37"/>
        </w:trPr>
        <w:tc>
          <w:tcPr>
            <w:tcW w:w="8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13"/>
        </w:trPr>
        <w:tc>
          <w:tcPr>
            <w:tcW w:w="8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760" w:type="dxa"/>
            <w:vAlign w:val="bottom"/>
          </w:tcPr>
          <w:p>
            <w:pPr>
              <w:spacing w:after="0"/>
              <w:rPr>
                <w:sz w:val="18"/>
                <w:szCs w:val="18"/>
                <w:color w:val="auto"/>
              </w:rPr>
            </w:pPr>
          </w:p>
        </w:tc>
      </w:tr>
      <w:tr>
        <w:trPr>
          <w:trHeight w:val="23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Upstream</w:t>
            </w:r>
          </w:p>
        </w:tc>
        <w:tc>
          <w:tcPr>
            <w:tcW w:w="9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9"/>
        </w:trPr>
        <w:tc>
          <w:tcPr>
            <w:tcW w:w="8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(19,385)</w:t>
            </w:r>
          </w:p>
        </w:tc>
        <w:tc>
          <w:tcPr>
            <w:tcW w:w="136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536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34"/>
        </w:trPr>
        <w:tc>
          <w:tcPr>
            <w:tcW w:w="8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Non-U.S.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3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rPr>
              <w:t>13,906</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12,340</w:t>
            </w:r>
          </w:p>
        </w:tc>
      </w:tr>
      <w:tr>
        <w:trPr>
          <w:trHeight w:val="223"/>
        </w:trPr>
        <w:tc>
          <w:tcPr>
            <w:tcW w:w="81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(20,030)</w:t>
            </w:r>
          </w:p>
        </w:tc>
        <w:tc>
          <w:tcPr>
            <w:tcW w:w="13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rPr>
              <w:t>14,442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14,079</w:t>
            </w:r>
          </w:p>
        </w:tc>
      </w:tr>
      <w:tr>
        <w:trPr>
          <w:trHeight w:val="520"/>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7"/>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Upstream results were a loss of $20,030 million, down $34,472 million from 2019.</w:t>
            </w: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realizations reduced earnings by $11.2 billion.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volume and mix effects decreased earnings by $300 million.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decreased earnings by $23 billion, as impairments of $19.4 billion and the absence of the $3.7 billion gain from the 2019 Norway non-operated divestment were partly offset by lower expenses of $1 billion.</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Upstream results were a loss of $19,385 million and included asset impairments of $17.1 billion.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Upstream results were a loss of $645 million, including asset impairments of $2.3 billion and the absence of the $3.7 billion gain from the Norway non-operated divestment.</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oil-equivalent basis, production of 3.8 million barrels per day was down 5 percent compared to 2019.</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Liquids production of 2.3 million barrels per day decreased 37,000 barrels per day reflecting the impacts of government mandates, divestments, and lower demand, partly offset by growth and lower downtime.</w:t>
      </w:r>
    </w:p>
    <w:p>
      <w:pPr>
        <w:ind w:left="660" w:right="2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production of 8.5 billion cubic feet per day decreased 923 million cubic feet per day from 2019, reflecting divestments, lower demand, and higher downtime, partly offset by growth.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Upstream earnings were $14,442 million, up $363 million from 2018.</w:t>
      </w:r>
    </w:p>
    <w:p>
      <w:pPr>
        <w:spacing w:after="0" w:line="2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realizations reduced earnings by $2.7 billion.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volume and mix effects increased earnings by $860 million.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increased earnings by $2.2 billion, as a $3.7 billion gain from the Norway non-operated divestment was partly offset by higher expenses of $1.1 billion.</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Upstream earnings were $536 million and included asset impairments of $146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Upstream earnings were $13,906 million, including the $3.7 billion gain from the Norway non-operated divestment.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oil-equivalent basis, production of 4.0 million barrels per day was up 3 percent compared to 2018.</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Liquids production of 2.4 million barrels per day increased 120,000 barrels per day reflecting growth and higher entitlements.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production of 9.4 billion cubic feet per day decreased 11 million cubic feet per day from 2018, with the impact from divestments and higher downtime offset by growth and higher entitlements.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Upstream Additional Information</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2140" w:type="dxa"/>
            <w:vAlign w:val="bottom"/>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37"/>
        </w:trPr>
        <w:tc>
          <w:tcPr>
            <w:tcW w:w="86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84"/>
        </w:trPr>
        <w:tc>
          <w:tcPr>
            <w:tcW w:w="8600" w:type="dxa"/>
            <w:vAlign w:val="bottom"/>
          </w:tcPr>
          <w:p>
            <w:pPr>
              <w:spacing w:after="0"/>
              <w:rPr>
                <w:sz w:val="15"/>
                <w:szCs w:val="15"/>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(thousands of barrels daily)</w:t>
            </w:r>
          </w:p>
        </w:tc>
        <w:tc>
          <w:tcPr>
            <w:tcW w:w="500" w:type="dxa"/>
            <w:vAlign w:val="bottom"/>
          </w:tcPr>
          <w:p>
            <w:pPr>
              <w:spacing w:after="0"/>
              <w:rPr>
                <w:sz w:val="15"/>
                <w:szCs w:val="15"/>
                <w:color w:val="auto"/>
              </w:rPr>
            </w:pPr>
          </w:p>
        </w:tc>
      </w:tr>
      <w:tr>
        <w:trPr>
          <w:trHeight w:val="264"/>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Volumes Reconciliation </w:t>
            </w:r>
            <w:r>
              <w:rPr>
                <w:rFonts w:ascii="Times New Roman" w:cs="Times New Roman" w:eastAsia="Times New Roman" w:hAnsi="Times New Roman"/>
                <w:sz w:val="18"/>
                <w:szCs w:val="18"/>
                <w:color w:val="auto"/>
              </w:rPr>
              <w:t>(Oil-equivalent production)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i w:val="1"/>
                <w:iCs w:val="1"/>
                <w:color w:val="auto"/>
              </w:rPr>
              <w:t>(1)</w:t>
            </w:r>
          </w:p>
        </w:tc>
        <w:tc>
          <w:tcPr>
            <w:tcW w:w="214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Year</w:t>
            </w:r>
          </w:p>
        </w:tc>
        <w:tc>
          <w:tcPr>
            <w:tcW w:w="21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3,952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3,833</w:t>
            </w: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Entitlements - Net Interest</w:t>
            </w:r>
          </w:p>
        </w:tc>
        <w:tc>
          <w:tcPr>
            <w:tcW w:w="214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Entitlements - Price / Spend / Other</w:t>
            </w:r>
          </w:p>
        </w:tc>
        <w:tc>
          <w:tcPr>
            <w:tcW w:w="21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67</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Mandates</w:t>
            </w:r>
          </w:p>
        </w:tc>
        <w:tc>
          <w:tcPr>
            <w:tcW w:w="214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rPr>
              <w:t>(110)</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Divestments</w:t>
            </w:r>
          </w:p>
        </w:tc>
        <w:tc>
          <w:tcPr>
            <w:tcW w:w="214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rPr>
              <w:t>(151)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8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Growth / Other</w:t>
            </w:r>
          </w:p>
        </w:tc>
        <w:tc>
          <w:tcPr>
            <w:tcW w:w="21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Year</w:t>
            </w:r>
          </w:p>
        </w:tc>
        <w:tc>
          <w:tcPr>
            <w:tcW w:w="21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rPr>
              <w:t>3,761</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3,952</w:t>
            </w:r>
          </w:p>
        </w:tc>
      </w:tr>
    </w:tbl>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(1) Natural gas is converted to an oil-equivalent basis at six million cubic feet per one thousand barrels.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below are descriptions of ExxonMobil’s volumes reconciliation factors which are provided to facilitate understanding of the terms.</w:t>
      </w:r>
    </w:p>
    <w:p>
      <w:pPr>
        <w:spacing w:after="0" w:line="2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Entitlements - Net Interest </w:t>
      </w:r>
      <w:r>
        <w:rPr>
          <w:rFonts w:ascii="Times New Roman" w:cs="Times New Roman" w:eastAsia="Times New Roman" w:hAnsi="Times New Roman"/>
          <w:sz w:val="18"/>
          <w:szCs w:val="18"/>
          <w:color w:val="auto"/>
        </w:rPr>
        <w:t>are changes to ExxonMobil’s share of production volumes caused by non-operational changes to volume-determining factors.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factors consist of net interest changes specified in Production Sharing Contracts (PSCs) which typically occur when cumulative investment returns or production volumes achieve defined thresholds, changes in equity upon achieving pay-out in partner investment carry situations, equity redeterminations as specified in venture agreements, or as a result of the termination or expiry of a concession. Once a net interest change has occurred, it typically will not be reversed by subsequent events, such as lower crude oil prices.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Entitlements - Price, Spend and Other </w:t>
      </w:r>
      <w:r>
        <w:rPr>
          <w:rFonts w:ascii="Times New Roman" w:cs="Times New Roman" w:eastAsia="Times New Roman" w:hAnsi="Times New Roman"/>
          <w:sz w:val="18"/>
          <w:szCs w:val="18"/>
          <w:color w:val="auto"/>
        </w:rPr>
        <w:t>are changes to ExxonMobil’s share of production volumes resulting from temporary changes to non-operational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volume-determining factors. These factors include changes in oil and gas prices or spending levels from one period to another. According to the terms of contractual arrangements or government royalty regimes, price or spending variability can increase or decrease royalty burdens and/or volumes attributable to ExxonMobil. For example, at higher prices, fewer barrels are required for ExxonMobil to recover its costs. These effects generally vary from period to period with field spending patterns or market prices for oil and natural gas. Such factors can also include other temporary changes in net interest as dictated by specific provisions in production agreements.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Government Mandates </w:t>
      </w:r>
      <w:r>
        <w:rPr>
          <w:rFonts w:ascii="Times New Roman" w:cs="Times New Roman" w:eastAsia="Times New Roman" w:hAnsi="Times New Roman"/>
          <w:sz w:val="18"/>
          <w:szCs w:val="18"/>
          <w:color w:val="auto"/>
        </w:rPr>
        <w:t>are changes to ExxonMobil's sustainable production levels due to temporary non-operational production limits imposed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governments, generally upon a sector, type or method of production.</w:t>
      </w:r>
    </w:p>
    <w:p>
      <w:pPr>
        <w:spacing w:after="0" w:line="19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Divestments </w:t>
      </w:r>
      <w:r>
        <w:rPr>
          <w:rFonts w:ascii="Times New Roman" w:cs="Times New Roman" w:eastAsia="Times New Roman" w:hAnsi="Times New Roman"/>
          <w:sz w:val="18"/>
          <w:szCs w:val="18"/>
          <w:color w:val="auto"/>
        </w:rPr>
        <w:t>are reductions in ExxonMobil’s production arising from commercial arrangements to fully or partially reduce equity in a field or asset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financial or other economic consideration.</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Growth and Other </w:t>
      </w:r>
      <w:r>
        <w:rPr>
          <w:rFonts w:ascii="Times New Roman" w:cs="Times New Roman" w:eastAsia="Times New Roman" w:hAnsi="Times New Roman"/>
          <w:sz w:val="18"/>
          <w:szCs w:val="18"/>
          <w:color w:val="auto"/>
        </w:rPr>
        <w:t>factors comprise all other operational and non-operational factors not covered by the above definitions that may affect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ExxonMobil. Such factors include, but are not limited to, production enhancements from project and work program activities, acquisitions including additions from asset exchanges, downtime, market demand, natural field decline, and any fiscal or commercial terms that do not affect entitlements.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Downstream</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37"/>
        </w:trPr>
        <w:tc>
          <w:tcPr>
            <w:tcW w:w="8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13"/>
        </w:trPr>
        <w:tc>
          <w:tcPr>
            <w:tcW w:w="8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Pr>
          <w:p>
            <w:pPr>
              <w:jc w:val="right"/>
              <w:ind w:right="137"/>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720" w:type="dxa"/>
            <w:vAlign w:val="bottom"/>
          </w:tcPr>
          <w:p>
            <w:pPr>
              <w:spacing w:after="0"/>
              <w:rPr>
                <w:sz w:val="18"/>
                <w:szCs w:val="18"/>
                <w:color w:val="auto"/>
              </w:rPr>
            </w:pPr>
          </w:p>
        </w:tc>
      </w:tr>
      <w:tr>
        <w:trPr>
          <w:trHeight w:val="23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Downstream</w:t>
            </w:r>
          </w:p>
        </w:tc>
        <w:tc>
          <w:tcPr>
            <w:tcW w:w="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9"/>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40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1,717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r>
      <w:tr>
        <w:trPr>
          <w:trHeight w:val="234"/>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Non-U.S.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8"/>
                <w:szCs w:val="18"/>
                <w:color w:val="auto"/>
              </w:rPr>
              <w:t>606</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w:t>
            </w:r>
          </w:p>
        </w:tc>
      </w:tr>
      <w:tr>
        <w:trPr>
          <w:trHeight w:val="223"/>
        </w:trPr>
        <w:tc>
          <w:tcPr>
            <w:tcW w:w="81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4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8"/>
                <w:szCs w:val="18"/>
                <w:color w:val="auto"/>
              </w:rPr>
              <w:t>2,323</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r>
      <w:tr>
        <w:trPr>
          <w:trHeight w:val="507"/>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Downstream results of a $1,077 million loss decreased $3,400 million from 2019.</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Margins decreased earnings by $3.8 billion including the impact of weaker industry refining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and mix effects increased earnings by $370 million as manufacturing/yield improvement impacts were partly offset by weaker demand.</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increased earnings by $50 million, as lower expenses of $1.3 billion were offset by impairments of $620 million, unfavorable LIFO inventory impacts of $410 million, and unfavorable tax items of $240 million.</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Downstream results were a loss of $852 million, compared to earnings of $1,717 million in the prior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Downstream results were a loss of $225 million, compared to earnings of $606 million in the prior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Petroleum product sales of 4.9 million barrels per day were 557,000 barrels per day lower than 2019.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Downstream earnings of $2,323 million decreased $3,687 million from 2018.</w:t>
      </w:r>
    </w:p>
    <w:p>
      <w:pPr>
        <w:spacing w:after="0" w:line="27"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Margins decreased earnings by $3 billion including the impact of lower North American crude differentials.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and mix effects lowered earnings by $50 million as project contributions and portfolio improvement were more than offset by increased downtime/maintenance and unfavorable yield/sales mix.</w:t>
      </w:r>
    </w:p>
    <w:p>
      <w:pPr>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decreased earnings by $660 million, mainly driven by the absence of prior year divestment gains and higher expenses reflecting increased maintenance and project startups, partly offset by favorable foreign exchange impacts and LIFO inventory gains.</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Downstream earnings were $1,717 million, compared to $2,962 million in the prior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Downstream earnings were $606 million, compared to $3,048 million in the prior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Petroleum product sales of 5.5 million barrels per day were 60,000 barrels per day lower than 2018.</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Chemical</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37"/>
        </w:trPr>
        <w:tc>
          <w:tcPr>
            <w:tcW w:w="8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13"/>
        </w:trPr>
        <w:tc>
          <w:tcPr>
            <w:tcW w:w="8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tcPr>
          <w:p>
            <w:pPr>
              <w:jc w:val="right"/>
              <w:ind w:right="137"/>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720" w:type="dxa"/>
            <w:vAlign w:val="bottom"/>
          </w:tcPr>
          <w:p>
            <w:pPr>
              <w:spacing w:after="0"/>
              <w:rPr>
                <w:sz w:val="18"/>
                <w:szCs w:val="18"/>
                <w:color w:val="auto"/>
              </w:rPr>
            </w:pPr>
          </w:p>
        </w:tc>
      </w:tr>
      <w:tr>
        <w:trPr>
          <w:trHeight w:val="23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w:t>
            </w:r>
          </w:p>
        </w:tc>
        <w:tc>
          <w:tcPr>
            <w:tcW w:w="9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9"/>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40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206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r>
      <w:tr>
        <w:trPr>
          <w:trHeight w:val="234"/>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Non-U.S.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4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8"/>
                <w:szCs w:val="18"/>
                <w:color w:val="auto"/>
              </w:rPr>
              <w:t>386</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w:t>
            </w:r>
          </w:p>
        </w:tc>
      </w:tr>
      <w:tr>
        <w:trPr>
          <w:trHeight w:val="223"/>
        </w:trPr>
        <w:tc>
          <w:tcPr>
            <w:tcW w:w="81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4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8"/>
                <w:szCs w:val="18"/>
                <w:color w:val="auto"/>
              </w:rPr>
              <w:t>592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3,351</w:t>
            </w:r>
          </w:p>
        </w:tc>
      </w:tr>
      <w:tr>
        <w:trPr>
          <w:trHeight w:val="507"/>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Chemical earnings of $1,963 million increased $1,371 million from 2019.</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Stronger margins increased earnings by $930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and mix effects decreased earnings by $150 million.</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increased earnings by $590 million as lower expenses of $710 million were partly offset by unfavorable one-time items, mainly impairments.</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Chemical earnings were $1,277 million in 2020, compared with $206 million in the prior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Chemical earnings were $686 million, compared with $386 million in the prior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 product sales of 25.4 million metric tons were down 1.1 million metric tons from 2019.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Chemical earnings of $592 million decreased $2,759 million from 2018.</w:t>
      </w:r>
    </w:p>
    <w:p>
      <w:pPr>
        <w:spacing w:after="0" w:line="27"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margins decreased earnings by $1.8 billion.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and mix effects were essentially flat, as lower sales volumes were offset by new asset contributions.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decreased earnings by $940 million, primarily due to higher expenses associated with new assets, business growth, and maintenance activity, the absence of a favorable tax item in the prior year, and unfavorable foreign exchange impacts.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Chemical earnings were $206 million in 2019, compared with $1,642 million in the prior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Chemical earnings were $386 million, compared with $1,709 million in the prior year.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 product sales of 26.5 million metric tons were down 0.4 million metric tons from 2018.</w:t>
      </w: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Corporate and Financing</w:t>
      </w:r>
    </w:p>
    <w:p>
      <w:pPr>
        <w:spacing w:after="0" w:line="34" w:lineRule="exact"/>
        <w:rPr>
          <w:sz w:val="20"/>
          <w:szCs w:val="20"/>
          <w:color w:val="auto"/>
        </w:rPr>
      </w:pPr>
    </w:p>
    <w:p>
      <w:pPr>
        <w:ind w:left="8820"/>
        <w:spacing w:after="0"/>
        <w:tabs>
          <w:tab w:leader="none" w:pos="9860" w:val="left"/>
          <w:tab w:leader="none" w:pos="1092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9"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i w:val="1"/>
          <w:iCs w:val="1"/>
          <w:color w:val="auto"/>
        </w:rPr>
        <w:t>(millions of dollars)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financing</w:t>
            </w:r>
          </w:p>
        </w:tc>
        <w:tc>
          <w:tcPr>
            <w:tcW w:w="4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(3,296)</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(3,017)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financing expenses were $3,296 million in 2020 compared to $3,017 million in 2019, with the increase mainly due to higher financing costs and employee severance costs, partly offset by lower corporate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Corporate and financing expenses were $3,017 million in 2019 compared to $2,600 million in 2018, with the increase mainly due to unfavorable tax impacts and higher financing costs.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37"/>
        </w:trPr>
        <w:tc>
          <w:tcPr>
            <w:tcW w:w="8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13"/>
        </w:trPr>
        <w:tc>
          <w:tcPr>
            <w:tcW w:w="8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20" w:type="dxa"/>
            <w:vAlign w:val="bottom"/>
          </w:tcPr>
          <w:p>
            <w:pPr>
              <w:jc w:val="right"/>
              <w:ind w:right="56"/>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800" w:type="dxa"/>
            <w:vAlign w:val="bottom"/>
          </w:tcPr>
          <w:p>
            <w:pPr>
              <w:spacing w:after="0"/>
              <w:rPr>
                <w:sz w:val="18"/>
                <w:szCs w:val="18"/>
                <w:color w:val="auto"/>
              </w:rPr>
            </w:pPr>
          </w:p>
        </w:tc>
      </w:tr>
      <w:tr>
        <w:trPr>
          <w:trHeight w:val="23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by/(used in)</w:t>
            </w:r>
          </w:p>
        </w:tc>
        <w:tc>
          <w:tcPr>
            <w:tcW w:w="9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0"/>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activities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14,668</w:t>
            </w:r>
          </w:p>
        </w:tc>
        <w:tc>
          <w:tcPr>
            <w:tcW w:w="13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29,716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36,014</w:t>
            </w:r>
          </w:p>
        </w:tc>
      </w:tr>
      <w:tr>
        <w:trPr>
          <w:trHeight w:val="229"/>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(18,459)</w:t>
            </w:r>
          </w:p>
        </w:tc>
        <w:tc>
          <w:tcPr>
            <w:tcW w:w="13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(23,084)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(16,446)</w:t>
            </w:r>
          </w:p>
        </w:tc>
      </w:tr>
      <w:tr>
        <w:trPr>
          <w:trHeight w:val="229"/>
        </w:trPr>
        <w:tc>
          <w:tcPr>
            <w:tcW w:w="81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3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(6,618)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(19,446)</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3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33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Increase/(decrease) in cash and cash equivalents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3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47</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470"/>
        </w:trPr>
        <w:tc>
          <w:tcPr>
            <w:tcW w:w="8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24"/>
                <w:szCs w:val="24"/>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3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8"/>
                <w:szCs w:val="18"/>
                <w:color w:val="auto"/>
              </w:rPr>
              <w:t>3,089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w:t>
            </w: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cash and cash equivalents were $4.4 billion at the end of 2020, up $1.3 billion from the prior year. The major sources of funds in 2020 were the adjustment for the noncash provision of $46.0 billion for depreciation and depletion, a net debt increase of $20.1 billion, proceeds from asset sales of $1.0 billion, and other investing activities of $2.7 billion. The major uses of funds included a net loss including noncontrolling interests of $23.3 billion, spending for additions to property, plant and equipment of $17.3 billion, dividends to shareholders of $14.9 billion, and additional investments and advances of $4.9 billion.</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cash and cash equivalents were $3.1 billion at the end of 2019, up $47 million from the prior year. The major sources of funds in 2019 were net income including noncontrolling interests of $14.8 billion, the adjustment for the noncash provision of $19.0 billion for depreciation and depletion, a net debt increase of $8.7 billion, and proceeds from asset sales of $3.7 billion. The major uses of funds included spending for additions to property, plant and equipment of $24.4 billion, dividends to shareholders of $14.7 billion, and additional investments and advances of $3.9 billion.</w:t>
      </w:r>
    </w:p>
    <w:p>
      <w:pPr>
        <w:spacing w:after="0" w:line="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Corporation has access to significant capacity of long-term and short-term liquidity. Commercial paper continues to provide short-term liquidity, and is reflected in “Notes and loans payable” on the Consolidated Balance Sheet with changes in outstanding commercial paper between periods included in the Consolidated Statement of Cash Flows. The Corporation took steps to strengthen its liquidity in 2020, including issuing $23.2 billion of long-term debt and implementing significant capital and operating cost reductions. The Corporation ended the year with $68 billion in gross debt and intends to reduce debt over time. On December 31, 2020, the Corporation had unused short-term committed lines of credit of $11.3 billion and no unused long-term lines of credit.</w:t>
      </w: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support cash flows in future periods the Corporation will need to continually find or acquire and develop new fields, and continue to develop and apply new technologies and recovery processes to existing fields, in order to maintain or increase production. After a period of production at plateau rates, it is the nature of oil and gas fields eventually to produce at declining rates for the remainder of their economic life. Decline rates can vary widely by individual field due to a number of factors, including, but not limited to, the type of reservoir, fluid properties, recovery mechanisms, work activity, and age of the field. In particular, the Corporation’s key tight-oil plays have higher initial decline rates which tend to moderate over time. Furthermore, the Corporation’s net interest in production for individual fields can vary with price and the impact of fiscal and commercial terms.</w:t>
      </w:r>
    </w:p>
    <w:p>
      <w:pPr>
        <w:spacing w:after="0" w:line="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Corporation has long been successful at mitigating the effects of natural field decline through disciplined investments in quality opportunities and project execution. The Corporation anticipates several projects will come online over the next few years providing additional production capacity. However, actual volumes will vary from year to year due to the timing of individual project start-ups; operational outages; reservoir performance; performance of enhanced oil recovery projects; regulatory changes; the impact of fiscal and commercial terms; asset sales; weather events; price effects on production sharing contracts; and changes in the amount and timing of investments that may vary depending on the oil and gas price environment. The Corporation’s cash flows are also highly dependent on crude oil and natural gas prices. Please refer to Item 1A. Risk Factors for a more complete discussion of risks.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Corporation’s financial strength enables it to make large, long-term capital expenditures. Capital and exploration expenditures in 2020 were $21.4 billion, reflecting the Corporation’s continued active investment program. The Corporation is prioritizing opportunities to hold 2021 capital spending in a range of $16 billion to $19 billion.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Actual spending could vary depending on the progress of individual projects and property acquisitions. The Corporation has a large and diverse portfolio of development projects and exploration opportunities, which helps mitigate the overall political and technical risks of the Corporation’s Upstream segment and associated cash flow. Further, due to its financial strength and diverse portfolio of opportunities, the risk associated with failure or delay of any single project would not have a significant impact on the Corporation’s liquidity or ability to generate sufficient cash flows for operations and its fixed commitments.</w:t>
      </w:r>
    </w:p>
    <w:p>
      <w:pPr>
        <w:spacing w:after="0" w:line="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Corporation, as part of its ongoing asset management program, continues to evaluate its mix of assets for potential upgrade. Because of the ongoing nature of this program, dispositions will continue to be made from time to time which will result in either gains or losses. In light of the current low commodity price environment, and depending on the extent and pace of recovery, the Corporation's planned divestment program could be adversely affected by fewer financially suitable buyers. This could result in a slowing of the pace of divestments, certain assets being sold at a price below current book value, or impairment charges if the likelihood of divesting certain assets increases. Additionally, the Corporation continues to evaluate opportunities to enhance its business portfolio through acquisitions of assets or companies, and enters into such transactions from time to time. Key criteria for evaluating acquisitions include potential for future growth and attractive current valuations. Acquisitions may be made with cash, shares of the Corporation’s common stock, or both.</w:t>
      </w:r>
    </w:p>
    <w:p>
      <w:pPr>
        <w:spacing w:after="0" w:line="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ExxonMobil closely monitors the potential impacts of Brexit and Interbank Offered Rate (IBOR) reforms, including LIBOR, under a number of scenarios and has taken steps to mitigate their potential impact. Accordingly, ExxonMobil does not believe these events represent a material risk to the Corporation’s consolidated results of operations or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totaled $14.7 billion in 2020, $15.0 billion lower than 2019. Net income (loss) including noncontrolling interests was a loss of $23.3 billion, a decrease of $38.0 billion. The noncash provision for depreciation and depletion was $46.0 billion, up $27.0 billion from the prior year, mainly due to asset impairments. The noncash provision for deferred income tax benefits was $8.9 billion and also included impacts from asset impairments. The adjustment for the net loss on asset sales was $4 million, a decrease of $1.7 billion. The adjustment for dividends received less than equity in current earnings of equity companies was an increase of $1.0 billion, compared to a reduction of $0.9 billion in 2019. Changes in operational working capital, excluding cash and debt, decreased cash in 2020 by $1.7 billion.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totaled $29.7 billion in 2019, $6.3 billion lower than 2018. The major source of funds was net income including noncontrolling interests of $14.8 billion, a decrease of $6.6 billion. The noncash provision for depreciation and depletion was $19.0 billion, up $0.3 billion from the prior year. The adjustment for the net gain on asset sales was $1.7 billion, a decrease of $0.3 billion. The adjustment for dividends received less than equity in current earnings of equity companies was a reduction of $0.9 billion, compared to a reduction of $1.7 billion in 2018. Changes in operational working capital, excluding cash and debt, increased cash in 2019 by $0.9 billion.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netted to $18.5 billion in 2020, $4.6 billion lower than 2019. Spending for property, plant and equipment of $17.3 billion decreased $7.1 billion from 2019. Proceeds associated with sales of subsidiaries, property, plant and equipment, and sales and returns of investments of $1.0 billion compared to $3.7 billion in 2019. Additional investments and advances were $1.0 billion higher in 2020, while proceeds from other investing activities including collection of advances increased by $1.2 billion.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netted to $23.1 billion in 2019, $6.6 billion higher than 2018. Spending for property, plant and equipment of $24.4 billion increased $4.8 billion from 2018. Proceeds associated with sales of subsidiaries, property, plant and equipment, and sales and returns of investments of $3.7 billion compared to $4.1 billion in 2018. Additional investments and advances were $1.9 billion higher in 2019, while proceeds from other investing activities including collection of advances increased by $0.5 billion.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flow from financing activities was $5.3 billion in 2020, $11.9 billion higher than 2019. Dividend payments on common shares increased to $3.48 per share from $3.43 per share and totaled $14.9 billion. During 2020, the Corporation issued $23.2 billion of long-term debt. Total debt increased $20.7 billion to $67.6 billion at year-end.</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ExxonMobil share of equity decreased $34.5 billion to $157.2 billion. The reduction to equity for losses was $22.4 billion and the reduction for distributions to ExxonMobil shareholders was $14.9 billion, all in the form of dividends. Foreign exchange translation effects of $1.8 billion for the weaker U.S. dollar and a $1.0 billion change in the funded status of the postretirement benefits reserves increased equity.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2020, Exxon Mobil Corporation acquired 8 million shares of its common stock for the treasury. Purchases were made to offset shares or units settled in shares issued in conjunction with the company’s benefit plans and programs. Shares outstanding decreased from 4,234 million to 4,233 million at the end of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was $6.6 billion in 2019, $12.8 billion lower than 2018. Dividend payments on common shares increased to $3.43 per share from $3.23 per share and totaled $14.7 billion. During the third quarter of 2019, the Corporation issued $7.0 billion of long-term debt. Total debt increased $9.1 billion to $46.9 billion at year-end.</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ExxonMobil share of equity decreased $0.1 billion to $191.7 billion. The addition to equity for earnings was $14.3 billion. This was offset by reductions for distributions to ExxonMobil shareholders of $14.7 billion, all in the form of dividends. Foreign exchange translation effects of $1.4 billion for the weaker U.S. currency increased equity, while a $1.4 billion change in the funded status of the postretirement benefits reserves reduced equity.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2019, Exxon Mobil Corporation acquired 8 million shares of its common stock for the treasury. Purchases were made to offset shares or units settled in shares issued in conjunction with the company’s benefit plans and programs. Shares outstanding decreased from 4,237 million to 4,234 million at the end of 2019.</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Set forth below is information about the outstanding commitments of the Corporation’s consolidated subsidiaries at December 31, 2020. The table combines data from the Consolidated Balance Sheet and from individual notes to the Consolidated Financial Statements.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80" w:type="dxa"/>
            <w:vAlign w:val="bottom"/>
            <w:gridSpan w:val="2"/>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5380" w:type="dxa"/>
            <w:vAlign w:val="bottom"/>
          </w:tcPr>
          <w:p>
            <w:pPr>
              <w:spacing w:after="0"/>
              <w:rPr>
                <w:sz w:val="11"/>
                <w:szCs w:val="11"/>
                <w:color w:val="auto"/>
              </w:rPr>
            </w:pPr>
          </w:p>
        </w:tc>
        <w:tc>
          <w:tcPr>
            <w:tcW w:w="1060" w:type="dxa"/>
            <w:vAlign w:val="bottom"/>
          </w:tcPr>
          <w:p>
            <w:pPr>
              <w:jc w:val="center"/>
              <w:ind w:right="43"/>
              <w:spacing w:after="0" w:line="129" w:lineRule="exact"/>
              <w:rPr>
                <w:sz w:val="20"/>
                <w:szCs w:val="20"/>
                <w:color w:val="auto"/>
              </w:rPr>
            </w:pPr>
            <w:r>
              <w:rPr>
                <w:rFonts w:ascii="Times New Roman" w:cs="Times New Roman" w:eastAsia="Times New Roman" w:hAnsi="Times New Roman"/>
                <w:sz w:val="14"/>
                <w:szCs w:val="14"/>
                <w:b w:val="1"/>
                <w:bCs w:val="1"/>
                <w:color w:val="auto"/>
              </w:rPr>
              <w:t>Note</w:t>
            </w:r>
          </w:p>
        </w:tc>
        <w:tc>
          <w:tcPr>
            <w:tcW w:w="940" w:type="dxa"/>
            <w:vAlign w:val="bottom"/>
          </w:tcPr>
          <w:p>
            <w:pPr>
              <w:spacing w:after="0"/>
              <w:rPr>
                <w:sz w:val="11"/>
                <w:szCs w:val="11"/>
                <w:color w:val="auto"/>
              </w:rPr>
            </w:pPr>
          </w:p>
        </w:tc>
        <w:tc>
          <w:tcPr>
            <w:tcW w:w="10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2026 and</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1060" w:type="dxa"/>
            <w:vAlign w:val="bottom"/>
          </w:tcPr>
          <w:p>
            <w:pPr>
              <w:jc w:val="center"/>
              <w:ind w:right="43"/>
              <w:spacing w:after="0" w:line="135"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9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6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8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38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Beyond</w:t>
            </w: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80" w:type="dxa"/>
            <w:vAlign w:val="bottom"/>
            <w:gridSpan w:val="2"/>
          </w:tcPr>
          <w:p>
            <w:pPr>
              <w:jc w:val="right"/>
              <w:ind w:right="394"/>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Long-term debt excluding finance lease obligations </w:t>
            </w:r>
            <w:r>
              <w:rPr>
                <w:rFonts w:ascii="Times New Roman" w:cs="Times New Roman" w:eastAsia="Times New Roman" w:hAnsi="Times New Roman"/>
                <w:sz w:val="14"/>
                <w:szCs w:val="14"/>
                <w:i w:val="1"/>
                <w:iCs w:val="1"/>
                <w:color w:val="auto"/>
              </w:rPr>
              <w:t>(1)</w:t>
            </w:r>
          </w:p>
        </w:tc>
        <w:tc>
          <w:tcPr>
            <w:tcW w:w="1060" w:type="dxa"/>
            <w:vAlign w:val="bottom"/>
          </w:tcPr>
          <w:p>
            <w:pPr>
              <w:jc w:val="center"/>
              <w:ind w:right="63"/>
              <w:spacing w:after="0"/>
              <w:rPr>
                <w:sz w:val="20"/>
                <w:szCs w:val="20"/>
                <w:color w:val="auto"/>
              </w:rPr>
            </w:pPr>
            <w:r>
              <w:rPr>
                <w:rFonts w:ascii="Times New Roman" w:cs="Times New Roman" w:eastAsia="Times New Roman" w:hAnsi="Times New Roman"/>
                <w:sz w:val="16"/>
                <w:szCs w:val="16"/>
                <w:color w:val="auto"/>
                <w:w w:val="99"/>
              </w:rPr>
              <w:t>6, 14</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2,828</w:t>
            </w:r>
          </w:p>
        </w:tc>
        <w:tc>
          <w:tcPr>
            <w:tcW w:w="10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7,364</w:t>
            </w: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8,640</w:t>
            </w: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29,263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48,095</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Asset retirement obligations </w:t>
            </w:r>
            <w:r>
              <w:rPr>
                <w:rFonts w:ascii="Times New Roman" w:cs="Times New Roman" w:eastAsia="Times New Roman" w:hAnsi="Times New Roman"/>
                <w:sz w:val="14"/>
                <w:szCs w:val="14"/>
                <w:i w:val="1"/>
                <w:iCs w:val="1"/>
                <w:color w:val="auto"/>
              </w:rPr>
              <w:t>(2)</w:t>
            </w:r>
          </w:p>
        </w:tc>
        <w:tc>
          <w:tcPr>
            <w:tcW w:w="1060" w:type="dxa"/>
            <w:vAlign w:val="bottom"/>
          </w:tcPr>
          <w:p>
            <w:pPr>
              <w:jc w:val="center"/>
              <w:ind w:right="63"/>
              <w:spacing w:after="0"/>
              <w:rPr>
                <w:sz w:val="20"/>
                <w:szCs w:val="20"/>
                <w:color w:val="auto"/>
              </w:rPr>
            </w:pPr>
            <w:r>
              <w:rPr>
                <w:rFonts w:ascii="Times New Roman" w:cs="Times New Roman" w:eastAsia="Times New Roman" w:hAnsi="Times New Roman"/>
                <w:sz w:val="16"/>
                <w:szCs w:val="16"/>
                <w:color w:val="auto"/>
                <w:w w:val="99"/>
              </w:rPr>
              <w:t>9</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689</w:t>
            </w:r>
          </w:p>
        </w:tc>
        <w:tc>
          <w:tcPr>
            <w:tcW w:w="10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1,203</w:t>
            </w: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1,005</w:t>
            </w: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8,350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Pension and other postretirement obligations </w:t>
            </w:r>
            <w:r>
              <w:rPr>
                <w:rFonts w:ascii="Times New Roman" w:cs="Times New Roman" w:eastAsia="Times New Roman" w:hAnsi="Times New Roman"/>
                <w:sz w:val="14"/>
                <w:szCs w:val="14"/>
                <w:i w:val="1"/>
                <w:iCs w:val="1"/>
                <w:color w:val="auto"/>
              </w:rPr>
              <w:t>(3)</w:t>
            </w:r>
          </w:p>
        </w:tc>
        <w:tc>
          <w:tcPr>
            <w:tcW w:w="1060" w:type="dxa"/>
            <w:vAlign w:val="bottom"/>
          </w:tcPr>
          <w:p>
            <w:pPr>
              <w:jc w:val="center"/>
              <w:ind w:right="63"/>
              <w:spacing w:after="0"/>
              <w:rPr>
                <w:sz w:val="20"/>
                <w:szCs w:val="20"/>
                <w:color w:val="auto"/>
              </w:rPr>
            </w:pPr>
            <w:r>
              <w:rPr>
                <w:rFonts w:ascii="Times New Roman" w:cs="Times New Roman" w:eastAsia="Times New Roman" w:hAnsi="Times New Roman"/>
                <w:sz w:val="16"/>
                <w:szCs w:val="16"/>
                <w:color w:val="auto"/>
                <w:w w:val="99"/>
              </w:rPr>
              <w:t>17</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1,860</w:t>
            </w:r>
          </w:p>
        </w:tc>
        <w:tc>
          <w:tcPr>
            <w:tcW w:w="10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1,576</w:t>
            </w: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1,530</w:t>
            </w: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16,495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21,461</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Lease commitments </w:t>
            </w:r>
            <w:r>
              <w:rPr>
                <w:rFonts w:ascii="Times New Roman" w:cs="Times New Roman" w:eastAsia="Times New Roman" w:hAnsi="Times New Roman"/>
                <w:sz w:val="14"/>
                <w:szCs w:val="14"/>
                <w:i w:val="1"/>
                <w:iCs w:val="1"/>
                <w:color w:val="auto"/>
              </w:rPr>
              <w:t>(4)</w:t>
            </w:r>
          </w:p>
        </w:tc>
        <w:tc>
          <w:tcPr>
            <w:tcW w:w="1060" w:type="dxa"/>
            <w:vAlign w:val="bottom"/>
          </w:tcPr>
          <w:p>
            <w:pPr>
              <w:jc w:val="center"/>
              <w:ind w:right="63"/>
              <w:spacing w:after="0"/>
              <w:rPr>
                <w:sz w:val="20"/>
                <w:szCs w:val="20"/>
                <w:color w:val="auto"/>
              </w:rPr>
            </w:pPr>
            <w:r>
              <w:rPr>
                <w:rFonts w:ascii="Times New Roman" w:cs="Times New Roman" w:eastAsia="Times New Roman" w:hAnsi="Times New Roman"/>
                <w:sz w:val="16"/>
                <w:szCs w:val="16"/>
                <w:color w:val="auto"/>
                <w:w w:val="99"/>
              </w:rPr>
              <w:t>11</w:t>
            </w: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and finance leases - commenced</w:t>
            </w:r>
          </w:p>
        </w:tc>
        <w:tc>
          <w:tcPr>
            <w:tcW w:w="106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1,558</w:t>
            </w:r>
          </w:p>
        </w:tc>
        <w:tc>
          <w:tcPr>
            <w:tcW w:w="10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2,163</w:t>
            </w: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1,358</w:t>
            </w: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2,004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0" w:type="dxa"/>
            <w:vAlign w:val="bottom"/>
          </w:tcPr>
          <w:p>
            <w:pPr>
              <w:spacing w:after="0"/>
              <w:rPr>
                <w:sz w:val="1"/>
                <w:szCs w:val="1"/>
                <w:color w:val="auto"/>
              </w:rPr>
            </w:pPr>
          </w:p>
        </w:tc>
      </w:tr>
      <w:tr>
        <w:trPr>
          <w:trHeight w:val="229"/>
        </w:trPr>
        <w:tc>
          <w:tcPr>
            <w:tcW w:w="53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and finance leases - not yet commenced</w:t>
            </w:r>
          </w:p>
        </w:tc>
        <w:tc>
          <w:tcPr>
            <w:tcW w:w="106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192</w:t>
            </w:r>
          </w:p>
        </w:tc>
        <w:tc>
          <w:tcPr>
            <w:tcW w:w="10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1,081</w:t>
            </w: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495</w:t>
            </w: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2,786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Take-or-pay and unconditional purchase obligations </w:t>
            </w:r>
            <w:r>
              <w:rPr>
                <w:rFonts w:ascii="Times New Roman" w:cs="Times New Roman" w:eastAsia="Times New Roman" w:hAnsi="Times New Roman"/>
                <w:sz w:val="14"/>
                <w:szCs w:val="14"/>
                <w:i w:val="1"/>
                <w:iCs w:val="1"/>
                <w:color w:val="auto"/>
              </w:rPr>
              <w:t>(5)</w:t>
            </w:r>
          </w:p>
        </w:tc>
        <w:tc>
          <w:tcPr>
            <w:tcW w:w="106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4,155</w:t>
            </w:r>
          </w:p>
        </w:tc>
        <w:tc>
          <w:tcPr>
            <w:tcW w:w="10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7,246</w:t>
            </w: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5,626</w:t>
            </w: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16,932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33,959</w:t>
            </w:r>
          </w:p>
        </w:tc>
        <w:tc>
          <w:tcPr>
            <w:tcW w:w="0" w:type="dxa"/>
            <w:vAlign w:val="bottom"/>
          </w:tcPr>
          <w:p>
            <w:pPr>
              <w:spacing w:after="0"/>
              <w:rPr>
                <w:sz w:val="1"/>
                <w:szCs w:val="1"/>
                <w:color w:val="auto"/>
              </w:rPr>
            </w:pPr>
          </w:p>
        </w:tc>
      </w:tr>
      <w:tr>
        <w:trPr>
          <w:trHeight w:val="23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Firm capital commitments </w:t>
            </w:r>
            <w:r>
              <w:rPr>
                <w:rFonts w:ascii="Times New Roman" w:cs="Times New Roman" w:eastAsia="Times New Roman" w:hAnsi="Times New Roman"/>
                <w:sz w:val="14"/>
                <w:szCs w:val="14"/>
                <w:i w:val="1"/>
                <w:iCs w:val="1"/>
                <w:color w:val="auto"/>
              </w:rPr>
              <w:t>(6)</w:t>
            </w:r>
          </w:p>
        </w:tc>
        <w:tc>
          <w:tcPr>
            <w:tcW w:w="1060" w:type="dxa"/>
            <w:vAlign w:val="bottom"/>
          </w:tcPr>
          <w:p>
            <w:pPr>
              <w:spacing w:after="0"/>
              <w:rPr>
                <w:sz w:val="20"/>
                <w:szCs w:val="20"/>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6,027</w:t>
            </w:r>
          </w:p>
        </w:tc>
        <w:tc>
          <w:tcPr>
            <w:tcW w:w="10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4,469</w:t>
            </w:r>
          </w:p>
        </w:tc>
        <w:tc>
          <w:tcPr>
            <w:tcW w:w="92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1,689</w:t>
            </w:r>
          </w:p>
        </w:tc>
        <w:tc>
          <w:tcPr>
            <w:tcW w:w="10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599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12,784</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table excludes commodity purchase obligations (volumetric commitments but no fixed or minimum price) which are resold shortly after purchase, either in an active, highly liquid market or under long-term, unconditional sales contracts with similar pricing terms. Examples include long-term, noncancelable LNG and natural gas purchase commitments and commitments to purchase refinery products at market prices. Inclusion of such commitments would not be meaningful in assessing liquidity and cash flow, because these purchases will be offset in the same periods by cash received from the related sales transactions. The table also excludes unrecognized tax benefits totaling $8.8 billion as of December 31, 2020, because the Corporation is unable to make reasonably reliable estimates of the timing of cash settlements with the respective taxing authorities. Further details on the unrecognized tax benefits can be found in “Note 19: Income and Other Taxes”.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61" w:lineRule="exact"/>
        <w:rPr>
          <w:sz w:val="20"/>
          <w:szCs w:val="20"/>
          <w:color w:val="auto"/>
        </w:rPr>
      </w:pPr>
    </w:p>
    <w:p>
      <w:pPr>
        <w:ind w:left="340" w:hanging="332"/>
        <w:spacing w:after="0" w:line="281" w:lineRule="auto"/>
        <w:tabs>
          <w:tab w:leader="none" w:pos="334"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amount due in 2021 is included in Notes and loans payable of $20,458 million. The amounts due 2022 and beyond are included in Long-term debt of $47,182 million.</w:t>
      </w:r>
    </w:p>
    <w:p>
      <w:pPr>
        <w:spacing w:after="0" w:line="1"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Asset retirement obligations are primarily upstream asset removal costs at the end of field life.</w:t>
      </w:r>
    </w:p>
    <w:p>
      <w:pPr>
        <w:spacing w:after="0" w:line="63" w:lineRule="exact"/>
        <w:rPr>
          <w:rFonts w:ascii="Times New Roman" w:cs="Times New Roman" w:eastAsia="Times New Roman" w:hAnsi="Times New Roman"/>
          <w:sz w:val="18"/>
          <w:szCs w:val="18"/>
          <w:i w:val="1"/>
          <w:iCs w:val="1"/>
          <w:color w:val="auto"/>
        </w:rPr>
      </w:pPr>
    </w:p>
    <w:p>
      <w:pPr>
        <w:jc w:val="both"/>
        <w:ind w:left="340" w:hanging="332"/>
        <w:spacing w:after="0" w:line="267" w:lineRule="auto"/>
        <w:tabs>
          <w:tab w:leader="none" w:pos="334"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amount by which the benefit obligations exceeded the fair value of fund assets for U.S. and non-U.S. pension and other postretirement plans at year-end. The payments by period include expected contributions to funded pension plans in 2021 and estimated benefit payments for unfunded plans in all years.</w:t>
      </w:r>
    </w:p>
    <w:p>
      <w:pPr>
        <w:spacing w:after="0" w:line="11"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Commitments for operating and finance leases cover drilling equipment, tankers and other assets.</w:t>
      </w:r>
    </w:p>
    <w:p>
      <w:pPr>
        <w:spacing w:after="0" w:line="63" w:lineRule="exact"/>
        <w:rPr>
          <w:rFonts w:ascii="Times New Roman" w:cs="Times New Roman" w:eastAsia="Times New Roman" w:hAnsi="Times New Roman"/>
          <w:sz w:val="18"/>
          <w:szCs w:val="18"/>
          <w:i w:val="1"/>
          <w:iCs w:val="1"/>
          <w:color w:val="auto"/>
        </w:rPr>
      </w:pPr>
    </w:p>
    <w:p>
      <w:pPr>
        <w:jc w:val="both"/>
        <w:ind w:left="340" w:hanging="332"/>
        <w:spacing w:after="0" w:line="267" w:lineRule="auto"/>
        <w:tabs>
          <w:tab w:leader="none" w:pos="334"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Take-or-pay obligations are noncancelable, long-term commitments for goods and services. Unconditional purchase obligations are those long-term commitments that are noncancelable or cancelable only under certain conditions, and that third parties have used to secure financing for the facilities that will provide the contracted goods or services. The obligations mainly pertain to pipeline, manufacturing supply and terminal agreements.</w:t>
      </w:r>
    </w:p>
    <w:p>
      <w:pPr>
        <w:spacing w:after="0" w:line="11" w:lineRule="exact"/>
        <w:rPr>
          <w:rFonts w:ascii="Times New Roman" w:cs="Times New Roman" w:eastAsia="Times New Roman" w:hAnsi="Times New Roman"/>
          <w:sz w:val="18"/>
          <w:szCs w:val="18"/>
          <w:i w:val="1"/>
          <w:iCs w:val="1"/>
          <w:color w:val="auto"/>
        </w:rPr>
      </w:pPr>
    </w:p>
    <w:p>
      <w:pPr>
        <w:jc w:val="both"/>
        <w:ind w:left="340" w:hanging="332"/>
        <w:spacing w:after="0" w:line="261" w:lineRule="auto"/>
        <w:tabs>
          <w:tab w:leader="none" w:pos="334"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Firm capital commitments represent legally binding payment obligations to third parties where agreements specifying all significant terms have been executed for the construction and purchase of fixed assets and other permanent investments. In certain cases where the Corporation executes contracts requiring commitments to a work scope, those commitments have been included to the extent that the amounts and timing of payments can be reliably estimated. Firm capital commitments, shown on an undiscounted basis, totaled $12.8 billion, including $5.3 billion in the U.S.</w:t>
      </w:r>
    </w:p>
    <w:p>
      <w:pPr>
        <w:spacing w:after="0" w:line="17" w:lineRule="exact"/>
        <w:rPr>
          <w:rFonts w:ascii="Times New Roman" w:cs="Times New Roman" w:eastAsia="Times New Roman" w:hAnsi="Times New Roman"/>
          <w:sz w:val="18"/>
          <w:szCs w:val="18"/>
          <w:i w:val="1"/>
          <w:iCs w:val="1"/>
          <w:color w:val="auto"/>
        </w:rPr>
      </w:pPr>
    </w:p>
    <w:p>
      <w:pPr>
        <w:jc w:val="both"/>
        <w:ind w:left="340"/>
        <w:spacing w:after="0" w:line="26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Firm capital commitments for the non-U.S. Upstream of $5.9 billion were primarily associated with projects in Guyana, Angola, Malaysia, United Kingdom, Canada, Australia, Brazil and United Arab Emirates. The Corporation expects to fund the majority of these commitments with internally generated funds, supplemented by short-term and long-term debt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Corporation and certain of its consolidated subsidiaries were contingently liable at December 31, 2020, for guarantees relating to notes, loans and performance under contracts (Note 16). Where guarantees for environmental remediation and other similar matters do not include a stated cap, the amounts reflect management’s estimate of the maximum potential exposure. These guarantees are not reasonably likely to have a material effect on the Corporation’s financial condition, changes in financial condition, revenues or expenses, results of operations, liquidity, capital expenditures or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Strength</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December 31, 2020, the Corporation had total unused short-term committed lines of credit of $11.3 billion (Note 6) and no unused long-term lines of credit (Note 14). The table below shows the Corporation’s consolidated debt to capital ratios.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41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37"/>
        </w:trPr>
        <w:tc>
          <w:tcPr>
            <w:tcW w:w="554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1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to capital (percent)</w:t>
            </w:r>
          </w:p>
        </w:tc>
        <w:tc>
          <w:tcPr>
            <w:tcW w:w="41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29.2</w:t>
            </w:r>
          </w:p>
        </w:tc>
        <w:tc>
          <w:tcPr>
            <w:tcW w:w="96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19.1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4"/>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debt to capital (percent)</w:t>
            </w:r>
          </w:p>
        </w:tc>
        <w:tc>
          <w:tcPr>
            <w:tcW w:w="41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27.8</w:t>
            </w:r>
          </w:p>
        </w:tc>
        <w:tc>
          <w:tcPr>
            <w:tcW w:w="96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18.1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views the Corporation’s financial strength to be a competitive advantage of strategic importance. The Corporation’s financial position gives it the opportunity to access the world’s capital markets in the full range of market conditions, and enables the Corporation to take on large, long-term capital commitments in the pursuit of maximizing shareholder value.</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Industry conditions in 2020 led to lower realized prices for the Corporation’s products which resulted in substantially lower earnings and operating cash flow in comparison to 2019. The Corporation took steps to strengthen its liquidity in 2020, including issuing $23 billion of long-term debt and implementing significant capital and operating cost reductions. The Corporation ended the year with $68 billion in gross debt and intends to reduce debt over time.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and Other Contingencies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 16, a variety of claims have been made against ExxonMobil and certain of its consolidated subsidiaries in a number of pending lawsuits. Based on a consideration of all relevant facts and circumstances, the Corporation does not believe the ultimate outcome of any currently pending lawsuit against ExxonMobil will have a material adverse effect upon the Corporation’s operations, financial condition, or financial statements taken as a whole. There are no events or uncertainties beyond those already included in reported financial information that would indicate a material change in future operating results or financial condition. Refer to Note 16 for additional information on legal proceedings and other contingencies.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AND EXPLORATION EXPENDITURES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 and exploration expenditures (Capex) represents the combined total of additions at cost to property, plant and equipment, and exploration expenses on a before-tax basis from the Consolidated Statement of Income. ExxonMobil’s Capex includes its share of similar costs for equity companies. Capex excludes assets acquired in nonmonetary exchanges, the value of ExxonMobil shares used to acquire assets, and depreciation on the cost of exploration support equipment and facilities recorded to property, plant and equipment when acquired. While ExxonMobil’s management is responsible for all investments and elements of net income, particular focus is placed on managing the controllable aspects of this group of expenditures.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960" w:type="dxa"/>
            <w:vAlign w:val="bottom"/>
          </w:tcPr>
          <w:p>
            <w:pPr>
              <w:spacing w:after="0"/>
              <w:rPr>
                <w:sz w:val="16"/>
                <w:szCs w:val="16"/>
                <w:color w:val="auto"/>
              </w:rPr>
            </w:pPr>
          </w:p>
        </w:tc>
      </w:tr>
      <w:tr>
        <w:trPr>
          <w:trHeight w:val="37"/>
        </w:trPr>
        <w:tc>
          <w:tcPr>
            <w:tcW w:w="444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4440" w:type="dxa"/>
            <w:vAlign w:val="bottom"/>
          </w:tcPr>
          <w:p>
            <w:pPr>
              <w:spacing w:after="0"/>
              <w:rPr>
                <w:sz w:val="16"/>
                <w:szCs w:val="16"/>
                <w:color w:val="auto"/>
              </w:rPr>
            </w:pPr>
          </w:p>
        </w:tc>
        <w:tc>
          <w:tcPr>
            <w:tcW w:w="11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U.S.</w:t>
            </w:r>
          </w:p>
        </w:tc>
        <w:tc>
          <w:tcPr>
            <w:tcW w:w="12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1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U.S.</w:t>
            </w:r>
          </w:p>
        </w:tc>
        <w:tc>
          <w:tcPr>
            <w:tcW w:w="12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Non-U.S.</w:t>
            </w:r>
          </w:p>
        </w:tc>
        <w:tc>
          <w:tcPr>
            <w:tcW w:w="9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4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20" w:type="dxa"/>
            <w:vAlign w:val="bottom"/>
            <w:gridSpan w:val="2"/>
          </w:tcPr>
          <w:p>
            <w:pPr>
              <w:jc w:val="right"/>
              <w:ind w:right="553"/>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62"/>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Upstream </w:t>
            </w:r>
            <w:r>
              <w:rPr>
                <w:rFonts w:ascii="Times New Roman" w:cs="Times New Roman" w:eastAsia="Times New Roman" w:hAnsi="Times New Roman"/>
                <w:sz w:val="14"/>
                <w:szCs w:val="14"/>
                <w:i w:val="1"/>
                <w:iCs w:val="1"/>
                <w:color w:val="auto"/>
              </w:rPr>
              <w:t>(1)</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6,817</w:t>
            </w: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7,614</w:t>
            </w:r>
          </w:p>
        </w:tc>
        <w:tc>
          <w:tcPr>
            <w:tcW w:w="11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14,431</w:t>
            </w: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11,653</w:t>
            </w: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11,832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23,485</w:t>
            </w: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Downstream</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2,344</w:t>
            </w: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1,877</w:t>
            </w:r>
          </w:p>
        </w:tc>
        <w:tc>
          <w:tcPr>
            <w:tcW w:w="11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4,221</w:t>
            </w: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2,353</w:t>
            </w: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2,018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4,371</w:t>
            </w:r>
          </w:p>
        </w:tc>
      </w:tr>
      <w:tr>
        <w:trPr>
          <w:trHeight w:val="23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w:t>
            </w:r>
          </w:p>
        </w:tc>
        <w:tc>
          <w:tcPr>
            <w:tcW w:w="11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2,002</w:t>
            </w: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714</w:t>
            </w:r>
          </w:p>
        </w:tc>
        <w:tc>
          <w:tcPr>
            <w:tcW w:w="11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2,716</w:t>
            </w:r>
          </w:p>
        </w:tc>
        <w:tc>
          <w:tcPr>
            <w:tcW w:w="10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2,547</w:t>
            </w:r>
          </w:p>
        </w:tc>
        <w:tc>
          <w:tcPr>
            <w:tcW w:w="12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718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w:t>
            </w: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6</w:t>
            </w:r>
          </w:p>
        </w:tc>
        <w:tc>
          <w:tcPr>
            <w:tcW w:w="10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27</w:t>
            </w:r>
          </w:p>
        </w:tc>
        <w:tc>
          <w:tcPr>
            <w:tcW w:w="12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11,169</w:t>
            </w:r>
          </w:p>
        </w:tc>
        <w:tc>
          <w:tcPr>
            <w:tcW w:w="12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10,205</w:t>
            </w:r>
          </w:p>
        </w:tc>
        <w:tc>
          <w:tcPr>
            <w:tcW w:w="11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21,374</w:t>
            </w:r>
          </w:p>
        </w:tc>
        <w:tc>
          <w:tcPr>
            <w:tcW w:w="10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16,580</w:t>
            </w:r>
          </w:p>
        </w:tc>
        <w:tc>
          <w:tcPr>
            <w:tcW w:w="12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14,568</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31,148</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Exploration expenses included.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Capex in 2020 was $21.4 billion, as the Corporation continued to pursue opportunities to find and produce new supplies of oil and natural gas to meet global demand for energy. The Corporation is prioritizing opportunities to hold 2021 capital spending in a range of $16 billion to $19 billion. Actual spending could vary depending on the progress of individual projects and property acquisitions.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Upstream spending of $14.4 billion in 2020 was down 39 percent from 2019 in response to market conditions. Investments in 2020 included the U.S. Permian Basin and key development projects in Guyana. Development projects typically take several years from the time of recording proved undeveloped reserves to the start of production and can exceed five years for large and complex projects. The percentage of proved developed reserves was 67 percent of total proved reserves at year-end 2020, and has been over 60 percent for the last ten years.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investments in the Downstream totaled $4.2 billion in 2020, a decrease of $0.2 billion from 2019, reflecting lower global project spending.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Chemical capital expenditures of $2.7 billion, decreased $0.5 billion, representing reduced spend on growth projects.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5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37"/>
        </w:trPr>
        <w:tc>
          <w:tcPr>
            <w:tcW w:w="74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74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20" w:type="dxa"/>
            <w:vAlign w:val="bottom"/>
          </w:tcPr>
          <w:p>
            <w:pPr>
              <w:jc w:val="right"/>
              <w:ind w:right="216"/>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000" w:type="dxa"/>
            <w:vAlign w:val="bottom"/>
          </w:tcPr>
          <w:p>
            <w:pPr>
              <w:spacing w:after="0"/>
              <w:rPr>
                <w:sz w:val="16"/>
                <w:szCs w:val="16"/>
                <w:color w:val="auto"/>
              </w:rPr>
            </w:pPr>
          </w:p>
        </w:tc>
      </w:tr>
      <w:tr>
        <w:trPr>
          <w:trHeight w:val="26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(5,632)</w:t>
            </w:r>
          </w:p>
        </w:tc>
        <w:tc>
          <w:tcPr>
            <w:tcW w:w="152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5,282</w:t>
            </w:r>
          </w:p>
        </w:tc>
        <w:tc>
          <w:tcPr>
            <w:tcW w:w="10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9,532</w:t>
            </w:r>
          </w:p>
        </w:tc>
      </w:tr>
      <w:tr>
        <w:trPr>
          <w:trHeight w:val="231"/>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17 %</w:t>
            </w:r>
          </w:p>
        </w:tc>
        <w:tc>
          <w:tcPr>
            <w:tcW w:w="1520" w:type="dxa"/>
            <w:vAlign w:val="bottom"/>
          </w:tcPr>
          <w:p>
            <w:pPr>
              <w:jc w:val="right"/>
              <w:ind w:right="236"/>
              <w:spacing w:after="0"/>
              <w:rPr>
                <w:sz w:val="20"/>
                <w:szCs w:val="20"/>
                <w:color w:val="auto"/>
              </w:rPr>
            </w:pPr>
            <w:r>
              <w:rPr>
                <w:rFonts w:ascii="Times New Roman" w:cs="Times New Roman" w:eastAsia="Times New Roman" w:hAnsi="Times New Roman"/>
                <w:sz w:val="18"/>
                <w:szCs w:val="18"/>
                <w:i w:val="1"/>
                <w:iCs w:val="1"/>
                <w:color w:val="auto"/>
              </w:rPr>
              <w:t>34 %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37 %</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taxes and duties</w:t>
            </w:r>
          </w:p>
        </w:tc>
        <w:tc>
          <w:tcPr>
            <w:tcW w:w="12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28,425</w:t>
            </w:r>
          </w:p>
        </w:tc>
        <w:tc>
          <w:tcPr>
            <w:tcW w:w="15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rPr>
              <w:t>33,186</w:t>
            </w:r>
          </w:p>
        </w:tc>
        <w:tc>
          <w:tcPr>
            <w:tcW w:w="10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35,230</w:t>
            </w:r>
          </w:p>
        </w:tc>
      </w:tr>
      <w:tr>
        <w:trPr>
          <w:trHeight w:val="223"/>
        </w:trPr>
        <w:tc>
          <w:tcPr>
            <w:tcW w:w="7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22,793</w:t>
            </w:r>
          </w:p>
        </w:tc>
        <w:tc>
          <w:tcPr>
            <w:tcW w:w="15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rPr>
              <w:t>38,468</w:t>
            </w:r>
          </w:p>
        </w:tc>
        <w:tc>
          <w:tcPr>
            <w:tcW w:w="10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44,762</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taxes on the Corporation’s income statement were $22.8 billion in 2020, a decrease of $15.7 billion from 2019. Income tax expense, both current and deferred, was a benefit of $5.6 billion compared to $5.3 billion expense in 2019. The relative benefit is driven by asset impairments recorded in 2020. The effective tax rate, which is calculated based on consolidated company income taxes and ExxonMobil’s share of equity company income taxes, was 17 percent compared to 34 percent in the prior year due primarily to a change in mix of results in jurisdictions with varying tax rates. Total other taxes and duties of $28.4 billion in 2020 decreased $4.8 billion.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taxes on the Corporation’s income statement were $38.5 billion in 2019, a decrease of $6.3 billion from 2018. Income tax expense, both current and deferred, was $5.3 billion compared to $9.5 billion in 2018. The effective tax rate, which is calculated based on consolidated company income taxes and ExxonMobil’s share of equity company income taxes, was 34 percent compared to 37 percent in the prior year due primarily to the impact of the divestment of non-operated upstream assets in Norway. Total other taxes and duties of $33.2 billion in 2019 decreased $2.0 billion.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Expenditures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20" w:type="dxa"/>
            <w:vAlign w:val="bottom"/>
          </w:tcPr>
          <w:p>
            <w:pPr>
              <w:spacing w:after="0"/>
              <w:rPr>
                <w:sz w:val="16"/>
                <w:szCs w:val="16"/>
                <w:color w:val="auto"/>
              </w:rPr>
            </w:pPr>
          </w:p>
        </w:tc>
        <w:tc>
          <w:tcPr>
            <w:tcW w:w="172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37"/>
        </w:trPr>
        <w:tc>
          <w:tcPr>
            <w:tcW w:w="90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186"/>
        </w:trPr>
        <w:tc>
          <w:tcPr>
            <w:tcW w:w="90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500" w:type="dxa"/>
            <w:vAlign w:val="bottom"/>
          </w:tcPr>
          <w:p>
            <w:pPr>
              <w:spacing w:after="0"/>
              <w:rPr>
                <w:sz w:val="16"/>
                <w:szCs w:val="16"/>
                <w:color w:val="auto"/>
              </w:rPr>
            </w:pPr>
          </w:p>
        </w:tc>
      </w:tr>
      <w:tr>
        <w:trPr>
          <w:trHeight w:val="262"/>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72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rPr>
              <w:t>1,087</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1,276</w:t>
            </w:r>
          </w:p>
        </w:tc>
      </w:tr>
      <w:tr>
        <w:trPr>
          <w:trHeight w:val="234"/>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expenditures</w:t>
            </w:r>
          </w:p>
        </w:tc>
        <w:tc>
          <w:tcPr>
            <w:tcW w:w="172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8"/>
                <w:szCs w:val="18"/>
                <w:color w:val="auto"/>
              </w:rPr>
              <w:t>3,389</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3,969</w:t>
            </w:r>
          </w:p>
        </w:tc>
      </w:tr>
      <w:tr>
        <w:trPr>
          <w:trHeight w:val="223"/>
        </w:trPr>
        <w:tc>
          <w:tcPr>
            <w:tcW w:w="9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8"/>
                <w:szCs w:val="18"/>
                <w:color w:val="auto"/>
              </w:rPr>
              <w:t>4,476</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5,245</w:t>
            </w:r>
          </w:p>
        </w:tc>
      </w:tr>
    </w:tbl>
    <w:p>
      <w:pPr>
        <w:spacing w:after="0" w:line="2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Throughout ExxonMobil’s businesses, new and ongoing measures are taken to prevent and minimize the impact of our operations on air, water and ground. These include a significant investment in refining infrastructure and technology to manufacture clean fuels, as well as projects to monitor and reduce nitrogen oxide, sulfur oxide and greenhouse gas emissions, and expenditures for asset retirement obligations. Using definitions and guidelines established by the American Petroleum Institute, ExxonMobil’s 2020 worldwide environmental expenditures for all such preventative and remediation steps, including ExxonMobil’s share of equity company expenditures, were $4.5 billion, of which $3.4 billion were included in expenses with the remainder in capital expenditures. The total cost for such activities is expected to increase to approximately $4.9 billion in 2021 and 2022. Capital expenditures are expected to account for approximately 25 percent of the total.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Liabilities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Corporation accrues environmental liabilities when it is probable that obligations have been incurred and the amounts can be reasonably estimated. This policy applies to assets or businesses currently owned or previously disposed. ExxonMobil has accrued liabilities for probable environmental remediation obligations at various sites, including multiparty sites where the U.S. Environmental Protection Agency has identified ExxonMobil as one of the potentially responsible parties. The involvement of other financially responsible companies at these multiparty sites could mitigate ExxonMobil’s actual joint and several liability exposure. At present, no individual site is expected to have losses material to ExxonMobil’s operations or financial condition. Consolidated company provisions made in 2020 for environmental liabilities were $263 million ($290 million in 2019) and the balance sheet reflects liabilities of $902 million as of December 31, 2020, and $835 million as of December 31,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MARKET RISKS, INFLATION AND OTHER UNCERTAINTIES</w:t>
            </w:r>
          </w:p>
        </w:tc>
        <w:tc>
          <w:tcPr>
            <w:tcW w:w="2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Worldwide Average Realizations </w:t>
            </w:r>
            <w:r>
              <w:rPr>
                <w:rFonts w:ascii="Times New Roman" w:cs="Times New Roman" w:eastAsia="Times New Roman" w:hAnsi="Times New Roman"/>
                <w:sz w:val="14"/>
                <w:szCs w:val="14"/>
                <w:i w:val="1"/>
                <w:iCs w:val="1"/>
                <w:color w:val="auto"/>
              </w:rPr>
              <w:t>(1)</w:t>
            </w:r>
          </w:p>
        </w:tc>
        <w:tc>
          <w:tcPr>
            <w:tcW w:w="24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 and NGL ($ per barrel)</w:t>
            </w:r>
          </w:p>
        </w:tc>
        <w:tc>
          <w:tcPr>
            <w:tcW w:w="246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35.41</w:t>
            </w:r>
          </w:p>
        </w:tc>
        <w:tc>
          <w:tcPr>
            <w:tcW w:w="116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56.32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w:t>
            </w: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 per thousand cubic feet)</w:t>
            </w:r>
          </w:p>
        </w:tc>
        <w:tc>
          <w:tcPr>
            <w:tcW w:w="246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2.01</w:t>
            </w:r>
          </w:p>
        </w:tc>
        <w:tc>
          <w:tcPr>
            <w:tcW w:w="116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3.05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Consolidated subsidiaries.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Crude oil, natural gas, petroleum product and chemical prices have fluctuated in response to changing market forces. The impacts of these price fluctuations on earnings from Upstream, Downstream and Chemical operations have varied. In the Upstream, a $1 per barrel change in the weighted-average realized price of oil would have approximately a $475 million annual after-tax effect on Upstream consolidated plus equity company earnings, excluding the impact of derivatives. Similarly, a $0.10 per thousand cubic feet change in the worldwide average gas realization would have approximately a $165 million annual after-tax effect on Upstream consolidated plus equity company earnings, excluding the impact of derivatives. For any given period, the extent of actual benefit or detriment will be dependent on the price movements of individual types of crude oil, results of trading activities, taxes and other government take impacts, price adjustment lags in long-term gas contracts, and crude and gas production volumes. Accordingly, changes in benchmark prices for crude oil and natural gas only provide broad indicators of changes in the earnings experienced in any particular period.</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very competitive downstream and chemical environments, earnings are primarily determined by margin capture rather than absolute price levels of products sold. Refining margins are a function of the difference between what a refiner pays for its raw materials (primarily crude oil) and the market prices for the range of products produced. These prices in turn depend on global and regional supply/demand balances, inventory levels, refinery operations, import/export balances and weather.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global energy markets can give rise to extended periods in which market conditions are adverse to one or more of the Corporation’s businesses. Such conditions, along with the capital-intensive nature of the industry and very long lead times associated with many of our projects, underscore the importance of maintaining a strong financial position. Management views the Corporation’s financial strength as a competitive advantage.</w:t>
      </w:r>
    </w:p>
    <w:p>
      <w:pPr>
        <w:spacing w:after="0" w:line="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segment results are not dependent on the ability to sell and/or purchase products to/from other segments. Instead, where such sales take place, they are the result of efficiencies and competitive advantages of integrated refinery/chemical complexes. Additionally, intersegment sales are at market-based prices. The products bought and sold between segments can also be acquired in worldwide markets that have substantial liquidity, capacity, and transportation capabilities. Refer to Note 18 for additional information on intersegment revenue.</w:t>
      </w:r>
    </w:p>
    <w:p>
      <w:pPr>
        <w:spacing w:after="0" w:line="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price levels of crude oil and natural gas may rise or fall significantly over the short to medium term due to global economic conditions, political events, decisions by OPEC and other major government resource owners and other factors, industry economics over the long term will continue to be driven by market supply and demand. Accordingly, the Corporation evaluates the viability of its major investments over a range of prices.</w:t>
      </w:r>
    </w:p>
    <w:p>
      <w:pPr>
        <w:spacing w:after="0" w:line="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has an active asset management program in which underperforming assets are either improved to acceptable levels or considered for divestment. The asset management program includes a disciplined, regular review to ensure that assets are contributing to the Corporation’s strategic objectives.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Corporation’s size, strong capital structure, geographic diversity and the complementary nature of the Upstream, Downstream and Chemical businesses reduce the Corporation’s enterprise-wide risk from changes in commodity prices, currency rates and interest rates. In addition, the Corporation uses commodity-based contracts, including derivatives, to manage commodity price risk and for trading purposes. The Corporation’s commodity derivatives are not accounted for under hedge accounting. At times, the Corporation also enters into currency and interest rate derivatives, none of which are material to the Corporation’s financial position as of December 31, 2020 and 2019, or results of operations for the years ended 2020, 2019 and 2018. Credit risk associated with the Corporation’s derivative position is mitigated by several factors, including the use of derivative clearing exchanges and the quality of and financial limits placed on derivative counterparties. No material market or credit risks to the Corporation’s financial position, results of operations or liquidity exist as a result of the derivatives described in Note 13. The Corporation maintains a system of controls that includes the authorization, reporting and monitoring of derivative activity.</w:t>
      </w:r>
    </w:p>
    <w:p>
      <w:pPr>
        <w:spacing w:after="0" w:line="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Corporation is exposed to changes in interest rates, primarily on its short-term debt and the portion of long-term debt that carries floating interest rates. The impact of a 100-basis-point change in interest rates affecting the Corporation’s debt would not be material to earnings or cash flow. The Corporation has access to significant capacity of long-term and short-term liquidity. Internally generated funds are generally expected to cover financial requirements, supplemented by long-term and short-term debt as required. Commercial paper is used to balance short-term liquidity requirements. Some joint-venture partners are dependent on the credit markets, and their funding ability may impact the development pace of joint-venture projects.</w:t>
      </w:r>
    </w:p>
    <w:p>
      <w:pPr>
        <w:spacing w:after="0" w:line="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conducts business in many foreign currencies and is subject to exchange rate risk on cash flows related to sales, expenses, financing and investment transactions. Fluctuations in exchange rates are often offsetting and the impacts on ExxonMobil’s geographically and functionally diverse operations are varied. The Corporation makes limited use of currency exchange contracts to mitigate the impact of changes in currency values, and exposures related to the Corporation’s use of these contracts are not material.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Other Uncertainties</w:t>
      </w:r>
    </w:p>
    <w:p>
      <w:pPr>
        <w:spacing w:after="0" w:line="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general rate of inflation in many major countries of operation has remained moderate over the past few years, and the associated impact on non-energy costs has generally been mitigated by cost reductions from efficiency and productivity improvements. Prices for services and materials continue to evolve in response to constant changes in commodity markets and industry activities, impacting operating and capital costs. However, the global COVID-19 pandemic since early 2020 has brought unprecedented uncertainties to near-term economic outlooks. The Corporation continues to monitor market trends and works to minimize costs in all commodity price environments through its economies of scale in global procurement and its efficient project management practices.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ACTIVITIES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2020, ExxonMobil conducted an extensive global review of staffing levels and subsequently commenced targeted workforce reductions within a number of countries to improve efficiency and reduce costs. The programs, which are expected to be substantially complete by the end of 2021, include both voluntary and involuntary employee separations and reductions in contractors.</w:t>
      </w:r>
    </w:p>
    <w:p>
      <w:pPr>
        <w:spacing w:after="0" w:line="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2020 the Corporation recorded before-tax charges of $450 million ($349 million after tax), consisting primarily of employee separation costs, associated with announced workforce reduction programs in Europe, North America, and Australia. These costs are captured in “Selling, general and administrative expenses” on the Statement of Income and reported in the Corporate and financing segment. Before-tax cash outflows in 2020 associated with these activities were $47 million. The Corporation estimates additional charges of up to $200 million in 2021 related to planned workforce reduction programs with cash outflows ranging between $400 million and $600 million. Before-tax workforce reduction savings, including employees and contractors, are estimated to range between $1 billion and $2 billion per year after program completion when compared to 2019 levels.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Corporation’s accounting and financial reporting fairly reflect its integrated business model involving exploration for, and production of, crude oil and natural gas and manufacture, trade, transport and sale of crude oil, natural gas, petroleum products, petrochemicals and a wide variety of specialty products. The preparation of financial statements in conformity with U.S. Generally Accepted Accounting Principles (GAAP) requires management to make estimates and judgments that affect the reported amounts of assets, liabilities, revenues and expenses and the disclosure of contingent assets and liabilities. The Corporation’s accounting policies are summarized in Note 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Natural Gas Reserves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estimation of proved oil and natural gas reserve volumes is an ongoing process based on rigorous technical evaluations, commercial and market assessments and detailed analysis of well information such as flow rates and reservoir pressure declines, development and production costs, among other factors. The estimation of proved reserves is controlled by the Corporation through long-standing approval guidelines. Reserve changes are made within a well-established, disciplined process driven by senior level geoscience and engineering professionals, assisted by the Global Reserves and Resources Group which has significant technical experience, culminating in reviews with and approval by senior management. Notably, the Corporation does not use specific quantitative reserve targets to determine compensation. Key features of the reserve estimation process are covered in Disclosure of Reserves in Item 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 and natural gas reserves include both proved and unproved reserves.</w:t>
      </w:r>
    </w:p>
    <w:p>
      <w:pPr>
        <w:spacing w:after="0" w:line="90" w:lineRule="exact"/>
        <w:rPr>
          <w:sz w:val="20"/>
          <w:szCs w:val="20"/>
          <w:color w:val="auto"/>
        </w:rPr>
      </w:pPr>
    </w:p>
    <w:p>
      <w:pPr>
        <w:jc w:val="both"/>
        <w:ind w:left="500" w:hanging="330"/>
        <w:spacing w:after="0" w:line="261" w:lineRule="auto"/>
        <w:tabs>
          <w:tab w:leader="none" w:pos="4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Proved oil and natural gas reserves are determined in accordance with Securities and Exchange Commission (SEC) requirements. Proved reserves are those quantities of oil and natural gas which, by analysis of geoscience and engineering data, can be estimated with reasonable certainty to be economically producible under existing economic and operating conditions and government regulations. Proved reserves are determined using the average of first-of-month oil and natural gas prices during the reporting year.</w:t>
      </w:r>
    </w:p>
    <w:p>
      <w:pPr>
        <w:spacing w:after="0" w:line="58" w:lineRule="exact"/>
        <w:rPr>
          <w:rFonts w:ascii="Times New Roman" w:cs="Times New Roman" w:eastAsia="Times New Roman" w:hAnsi="Times New Roman"/>
          <w:sz w:val="18"/>
          <w:szCs w:val="18"/>
          <w:color w:val="auto"/>
        </w:rPr>
      </w:pPr>
    </w:p>
    <w:p>
      <w:pPr>
        <w:jc w:val="both"/>
        <w:ind w:left="5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Proved reserves can be further subdivided into developed and undeveloped reserves. Proved developed reserves include amounts which are expected to be recovered through existing wells with existing equipment and operating methods. Proved undeveloped reserves include amounts expected to be recovered from new wells on undrilled proved acreage or from existing wells where a relatively major expenditure is required for completion. Proved undeveloped reserves are recognized only if a development plan has been adopted indicating that the reserves are scheduled to be drilled within five years, unless specific circumstances support a longer period of time.</w:t>
      </w:r>
    </w:p>
    <w:p>
      <w:pPr>
        <w:spacing w:after="0" w:line="61" w:lineRule="exact"/>
        <w:rPr>
          <w:rFonts w:ascii="Times New Roman" w:cs="Times New Roman" w:eastAsia="Times New Roman" w:hAnsi="Times New Roman"/>
          <w:sz w:val="18"/>
          <w:szCs w:val="18"/>
          <w:color w:val="auto"/>
        </w:rPr>
      </w:pPr>
    </w:p>
    <w:p>
      <w:pPr>
        <w:jc w:val="both"/>
        <w:ind w:left="5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proved developed reserves was 67 percent of total proved reserves at year-end 2020 (including both consolidated and equity company reserves), an increase from 66 percent in 2019, and has been over 60 percent for the last ten years. Although the Corporation is reasonably certain that proved reserves will be produced, the timing and amount recovered can be affected by a number of factors including completion of development projects, reservoir performance, regulatory approvals, government policy, consumer preferences and significant changes in oil and natural gas price levels.</w:t>
      </w:r>
    </w:p>
    <w:p>
      <w:pPr>
        <w:spacing w:after="0" w:line="48"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Unproved reserves are quantities of oil and natural gas with less than reasonable certainty of recoverability and include probable reserves. Probable reserves are reserves that, together with proved reserves, are as likely as not to be recovered.</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Revisions in previously estimated volumes of proved reserves for existing fields can occur due to the evaluation or re-evaluation of (1) already available geologic, reservoir or production data, (2) new geologic, reservoir or production data or (3) changes in the average of first-of-month oil and natural gas prices and / or costs that are used in the estimation of reserves. Revisions can also result from significant changes in development strategy or production equipment and facility capacity.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Unit-of-Production Depreciation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Oil and natural gas reserve volumes are used as the basis to calculate unit-of-production depreciation rates for most upstream assets. Depreciation is calculated by taking the ratio of asset cost to total proved reserves or proved developed reserves applied to actual production. The volumes produced and asset cost are known, while proved reserves are based on estimates that are subject to some variability.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the unit-of-production method does not result in an equitable allocation of cost over the economic life of an upstream asset, an alternative method is used. The straight-line method may be used in limited situations where the expected life of the asset does not reasonably correlate with that of the underlying reserves. For example, certain assets used in the production of oil and natural gas have a shorter life than the reserves, and as such, the Corporation uses straight-line depreciation to ensure the asset is fully depreciated by the end of its useful life.</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proved reserves for a property are substantially de-booked and that property continues to produce such that the resulting depreciation charge does not result in an equitable allocation of cost over the expected life, assets will be depreciated using a unit-of-production method based on reserves determined at the most recent SEC price which results in a more meaningful quantity of proved reserves, appropriately adjusted for production and technical changes.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tests assets or groups of assets for recoverability on an ongoing basis whenever events or changes in circumstances indicate that the carrying amounts may not be recoverable. Among the events or changes in circumstances which could indicate that the carrying value of an asset or asset group may not be recoverable are the following:</w:t>
      </w:r>
    </w:p>
    <w:p>
      <w:pPr>
        <w:spacing w:after="0" w:line="54" w:lineRule="exact"/>
        <w:rPr>
          <w:sz w:val="20"/>
          <w:szCs w:val="20"/>
          <w:color w:val="auto"/>
        </w:rPr>
      </w:pPr>
    </w:p>
    <w:p>
      <w:pPr>
        <w:ind w:left="480" w:hanging="310"/>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decrease in the market price of a long-lived asset;</w:t>
      </w:r>
    </w:p>
    <w:p>
      <w:pPr>
        <w:spacing w:after="0" w:line="27" w:lineRule="exact"/>
        <w:rPr>
          <w:rFonts w:ascii="Times New Roman" w:cs="Times New Roman" w:eastAsia="Times New Roman" w:hAnsi="Times New Roman"/>
          <w:sz w:val="18"/>
          <w:szCs w:val="18"/>
          <w:color w:val="auto"/>
        </w:rPr>
      </w:pPr>
    </w:p>
    <w:p>
      <w:pPr>
        <w:ind w:left="500" w:hanging="330"/>
        <w:spacing w:after="0" w:line="250" w:lineRule="auto"/>
        <w:tabs>
          <w:tab w:leader="none" w:pos="4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the extent or manner in which an asset is being used or in its physical condition including a significant decrease in current and projected reserve volumes;</w:t>
      </w:r>
    </w:p>
    <w:p>
      <w:pPr>
        <w:ind w:left="500" w:hanging="330"/>
        <w:spacing w:after="0" w:line="250" w:lineRule="auto"/>
        <w:tabs>
          <w:tab w:leader="none" w:pos="4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factors or in the business climate that could affect the value, including an adverse action or assessment by a regulator;</w:t>
      </w:r>
    </w:p>
    <w:p>
      <w:pPr>
        <w:ind w:left="480" w:hanging="310"/>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accumulation of project costs significantly in excess of the amount originally expected;</w:t>
      </w:r>
    </w:p>
    <w:p>
      <w:pPr>
        <w:spacing w:after="0" w:line="9"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current-period operating loss combined with a history and forecast of operating or cash flow losses; and</w:t>
      </w:r>
    </w:p>
    <w:p>
      <w:pPr>
        <w:spacing w:after="0" w:line="9" w:lineRule="exact"/>
        <w:rPr>
          <w:rFonts w:ascii="Times New Roman" w:cs="Times New Roman" w:eastAsia="Times New Roman" w:hAnsi="Times New Roman"/>
          <w:sz w:val="18"/>
          <w:szCs w:val="18"/>
          <w:color w:val="auto"/>
        </w:rPr>
      </w:pPr>
    </w:p>
    <w:p>
      <w:pPr>
        <w:ind w:left="500" w:right="20" w:hanging="330"/>
        <w:spacing w:after="0" w:line="260" w:lineRule="auto"/>
        <w:tabs>
          <w:tab w:leader="none" w:pos="4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expectation that, more likely than not, a long-lived asset will be sold or otherwise disposed of significantly before the end of its previously estimated useful life.</w:t>
      </w:r>
    </w:p>
    <w:p>
      <w:pPr>
        <w:spacing w:after="0" w:line="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Asset valuation analyses, profitability reviews and other periodic control processes assist the Corporation in assessing whether events or changes in circumstances indicate the carrying amounts of any of its assets may not be recoverable.</w:t>
      </w:r>
    </w:p>
    <w:p>
      <w:pPr>
        <w:spacing w:after="0" w:line="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the Corporation does not view temporarily low prices or margins as an indication of impairment. Management believes that prices over the long term must be sufficient to generate investments in energy supply to meet global demand. Although prices will occasionally drop significantly, industry prices over the long term will continue to be driven by market supply and demand fundamentals. On the supply side, industry production from mature fields is declining. This is being offset by investments to generate production from new discoveries, field developments and technology and efficiency advancements. OPEC investment activities and production policies also have an impact on world oil supplies. The demand side is largely a function of general economic activities and levels of prosperity. Because the lifespans of the vast majority of the Corporation’s major assets are measured in decades, the value of these assets is predominantly based on long-term views of future commodity prices and development and production costs. During the lifespan of these major assets, the Corporation expects that oil and gas prices will experience significant volatility, and consequently these assets will experience periods of higher earnings and periods of lower earnings, or even losses.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assessing whether events or changes in circumstances indicate the carrying value of an asset may not be recoverable, the Corporation considers recent periods of operating losses in the context of its longer-term view of prices. While near-term prices are subject to wide fluctuations, longer-term price views are more stable and meaningful for purposes of assessing future cash flows.</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industry experiences a prolonged and deep reduction in commodity prices, the market supply and demand conditions may result in changes to the Corporation’s price or margin assumptions it uses for its capital investment decisions. To the extent those changes result in a significant reduction to its oil price, natural gas price or margin ranges, the Corporation may consider that situation, in conjunction with other events or changes in circumstances such as a history of operating losses, an indicator of potential impairment for certain assets.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Upstream, the standardized measure of discounted cash flows included in the Supplemental Information on Oil and Gas Exploration and Production Activities is required to use prices based on the average of first-of-month prices. These prices represent discrete points in time and could be higher or lower than the Corporation’s price assumptions which are used for impairment assessments. The Corporation believes the standardized measure does not provide a reliable estimate of the expected future cash flows to be obtained from the development and production of its oil and gas properties or of the value of its oil and gas reserves and therefore does not consider it relevant in determining whether events or changes in circumstances indicate the need for an impairment assessment.</w:t>
      </w:r>
    </w:p>
    <w:p>
      <w:pPr>
        <w:spacing w:after="0" w:line="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Corporation has a robust process to monitor for indicators of potential impairment across its asset groups throughout the year. This process is aligned with the requirements of ASC 360 and ASC 932, and relies in part on the Corporation’s planning and budgeting cycle. If events or changes in circumstances indicate that the carrying value of an asset may not be recoverable, the Corporation estimates the future undiscounted cash flows of the affected properties to judge the recoverability of carrying amounts. In performing this assessment, assets are grouped at the lowest level for which there are identifiable cash flows that are largely independent of the cash flows of other groups of assets. Cash flows used in recoverability assessments are based on the Corporation’s assumptions which are developed in the annual planning and budgeting process, and are consistent with the criteria management uses to evaluate investment opportunities. These evaluations make use of the Corporation’s assumptions of future capital allocations, crude oil and natural gas commodity prices including price differentials, refining and chemical margins, volumes, development and operating costs, and foreign currency exchange rates. Volumes are based on projected field and facility production profiles, throughput, or sales. Management’s estimate of upstream production volumes used for projected cash flows makes use of proved reserve quantities and may include risk-adjusted unproved reserve quantities. Cash flow estimates for impairment testing exclude the effects of derivative instruments.</w:t>
      </w:r>
    </w:p>
    <w:p>
      <w:pPr>
        <w:spacing w:after="0" w:line="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asset group is impaired if its estimated undiscounted cash flows are less than the asset’s carrying value. Impairments are measured by the amount by which the carrying value exceeds fair value. The assessment of fair value requires the use of Level 3 inputs and assumptions that are based upon the views of a likely market participant. The principal parameters used to establish fair value include estimates of acreage values and flowing production metrics from comparable market transactions, market-based estimates of historical cash flow multiples, and discounted cash flows. Inputs and assumptions used in discounted cash flow models include estimates of future production volumes, commodity prices which are consistent with the average of third-party industry experts and government agencies, drilling and development costs, and discount rates ranging from 6 percent to 8 percent which are reflective of the characteristics of the asset group.</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Unproved properties are assessed periodically to determine whether they have been impaired. Significant unproved properties are assessed for impairment individually, and valuation allowances against the capitalized costs are recorded based on the Corporation's future development plans, the estimated economic chance of success and the length of time that the Corporation expects to hold the properties. Properties that are not individually significant are aggregated by groups and amortized based on development risk and average holding period.</w:t>
      </w:r>
    </w:p>
    <w:p>
      <w:pPr>
        <w:spacing w:after="0" w:line="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2020, the Corporation identified a number of situations where events or changes in circumstances indicated that the carrying value of certain long-lived assets may not be recoverable. Those situations primarily related to the annual review and approval of the Corporation's business and strategic plan. As part of the planning process, the Corporation assessed its full portfolio to prioritize assets with the highest future value potential within its broad range of available opportunities in order to optimize resources within current levels of debt and operating cash flow, as well as identify potential asset divestment candidates. This effort included a re-assessment of dry gas assets, primarily in North America, which previously had been included in the Corporation’s future development plans. Under the plan as approved, the Corporation no longer plans to develop a significant portion of its dry gas portfolio, including a portion of its resources in the Appalachian, Rocky Mountains, Oklahoma, Texas, Louisiana, and Arkansas regions of the U.S. as well as resources in Western Canada and Argentina. The decision not to develop these assets resulted in non-cash, after-tax charges of $18.4 billion in Upstream to reduce the carrying value of those assets to fair value. Other after-tax impairment charges in 2020 include $0.5 billion in Upstream and $0.3 billion in Downstream. As a result of these impairments, the Corporation expects lower 2021 depreciation and depletion charges in Upstream for most of these asset groups. However, largely due to the impact of lower 2020 proved reserves resulting from low prices, higher unit-of-production rates on certain assets in 2021 are expected to offset the effect of lower depreciation and depletion charges related to 2020 impairments. For further discussion on proved reserves, see Summary of Oil and Gas Reserves in the Disclosure of Reserves section in Item 2.</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Factors which could put further assets at risk of impairment in the future include reductions in the Corporation’s price outlooks, changes in the allocation of capital, and operating cost increases which exceed the pace of efficiencies or the pace of oil and natural gas price increases. However, due to the inherent difficulty in predicting future commodity prices, and the relationship between industry prices and costs, it is not practicable to reasonably estimate the existence or range of any potential future impairment charges related to the Corporation’s long-lived assets. For discussion of goodwill and equity company impairments, see Note 3 and Note 7 to the financial statements,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incurs retirement obligations for certain assets. The fair values of these obligations are recorded as liabilities on a discounted basis, which is typically at the time the assets are installed. In the estimation of fair value, the Corporation uses assumptions and judgments regarding such factors as the existence of a legal obligation for an asset retirement obligation; technical assessments of the assets; estimated amounts and timing of settlements; discount rates; and inflation rates. Asset retirement obligations are disclosed in Note 9 to the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Suspended Exploratory Well Costs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continues capitalization of exploratory well costs when the well has found a sufficient quantity of reserves to justify its completion as a producing well and the Corporation is making sufficient progress assessing the reserves and the economic and operating viability of the project. Exploratory well costs not meeting these criteria are charged to expense. The facts and circumstances that support continued capitalization of suspended wells at year-end are disclosed in Note 10 to the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subsidiaries the Corporation controls. They also include the Corporation’s share of the undivided interest in certain upstream assets, liabilities, revenues and expenses. Amounts representing the Corporation’s interest in entities that it does not control, but over which it exercises significant influence, are accounted for using the equity method of accounting.</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Investments in companies that are partially owned by the Corporation are integral to the Corporation’s operations. In some cases they serve to balance worldwide risks, and in others they provide the only available means of entry into a particular market or area of interest. The other parties, who also have an equity interest in these companies, are either independent third parties or host governments that share in the business results according to their ownership. The Corporation does not invest in these companies in order to remove liabilities from its balance sheet. In fact, the Corporation has long been on record supporting an alternative accounting method that would require each investor to consolidate its share of all assets and liabilities in these partially-owned companies rather than only its interest in net equity. This method of accounting for investments in partially-owned companies is not permitted by U.S. GAAP except where the investments are in the direct ownership of a share of upstream assets and liabilities. However, for purposes of calculating return on average capital employed, which is not covered by U.S. GAAP standards, the Corporation includes its share of debt of these partially-owned companies in the determination of average capital employed.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Corporation and its affiliates sponsor about 80 defined benefit (pension) plans in over 40 countries. The Pension and Other Postretirement Benefits footnote (Note 17) provides details on pension obligations, fund assets and pension expense.</w:t>
      </w:r>
    </w:p>
    <w:p>
      <w:pPr>
        <w:spacing w:after="0" w:line="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these plans (primarily non-U.S.) provide pension benefits that are paid directly by their sponsoring affiliates out of corporate cash flow rather than a separate pension fund because applicable tax rules and regulatory practices do not encourage advance funding. Book reserves are established for these plans. The portion of the pension cost attributable to employee service is expensed as services are rendered. The portion attributable to the increase in pension obligations due to the passage of time is expensed over the term of the obligations, which ends when all benefits are paid. The primary difference in pension expense for unfunded versus funded plans is that pension expense for funded plans also includes a credit for the expected long-term return on fund assets.</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funded plans, including those in the U.S., pension obligations are financed in advance through segregated assets or insurance arrangements. These plans are managed in compliance with the requirements of governmental authorities and meet or exceed required funding levels as measured by relevant actuarial and government standards at the mandated measurement dates. In determining liabilities and required contributions, these standards often require approaches and assumptions that differ from those used for accounting purposes.</w:t>
      </w:r>
    </w:p>
    <w:p>
      <w:pPr>
        <w:spacing w:after="0" w:line="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Corporation will continue to make contributions to these funded plans as necessary. All defined-benefit pension obligations, regardless of the funding status of the underlying plans, are fully supported by the financial strength of the Corporation or the respective sponsoring affiliate.</w:t>
      </w:r>
    </w:p>
    <w:p>
      <w:pPr>
        <w:spacing w:after="0" w:line="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Pension accounting requires explicit assumptions regarding, among others, the long-term expected earnings rate on fund assets, the discount rate for the benefit obligations and the long-term rate for future salary increases. Pension assumptions are reviewed annually by outside actuaries and senior management. These assumptions are adjusted as appropriate to reflect changes in market rates and outlook. The long-term expected earnings rate on U.S. pension plan assets in 2020 was 5.3 percent. The 10-year and 20-year actual returns on U.S. pension plan assets were 9 percent and 7 percent, respectively. The Corporation establishes the long-term expected rate of return by developing a forward-looking, long-term return assumption for each pension fund asset class, taking into account factors such as the expected real return for the specific asset class and inflation. A single, long-term rate of return is then calculated as the weighted average of the target asset allocation percentages and the long-term return assumption for each asset class. A worldwide reduction of 0.5 percent in the long-term rate of return on assets would increase annual pension expense by approximately $210 million before tax.</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Differences between actual returns on fund assets and the long-term expected return are not recognized in pension expense in the year that the difference occurs. Such differences are deferred, along with other actuarial gains and losses, and are amortized into pension expense over the expected remaining service life of employees.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Contingencies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variety of claims have been made against the Corporation and certain of its consolidated subsidiaries in a number of pending lawsuits. Management has regular litigation reviews, including updates from corporate and outside counsel, to assess the need for accounting recognition or disclosure of these contingencies. The status of significant claims is summarized in Note 16.</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Corporation accrues an undiscounted liability for those contingencies where the incurrence of a loss is probable, and the amount can be reasonably estimated. These accrued liabilities are not reduced by amounts that may be recovered under insurance or claims against third parties, but undiscounted receivables from insurers or other third parties may be accrued separately. The Corporation revises such accruals in light of new information. For contingencies where an unfavorable outcome is reasonably possible and which are significant, the Corporation discloses the nature of the contingency and, where feasible, an estimate of the possible loss. For purposes of our litigation contingency disclosures, “significant” includes material matters as well as other items which management believes should be disclosed.</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judgment is required related to contingent liabilities and the outcome of litigation because both are difficult to predict. However, the Corporation has been successful in defending litigation in the past. Payments have not had a material adverse effect on operations or financial condition. In the Corporation’s experience, large claims often do not result in large awards. Large awards are often reversed or substantially reduced as a result of appeal or settlement.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Contingencies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Corporation is subject to income taxation in many jurisdictions around the world. Significant management judgment is required in the accounting for income tax contingencies and tax disputes because the outcomes are often difficult to predict.</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benefits of uncertain tax positions that the Corporation has taken or expects to take in its income tax returns are recognized in the financial statements if management concludes that it is more likely than not that the position will be sustained with the tax authorities. For a position that is likely to be sustained, the benefit recognized in the financial statements is measured at the largest amount that is greater than 50 percent likely of being realized. A reserve is established for the difference between a position taken or expected to be taken in an income tax return and the amount recognized in the financial statements. The Corporation’s unrecognized tax benefits and a description of open tax years are summarized in Note 19.</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method of translating the foreign currency financial statements of the Corporation’s international subsidiaries into U.S. dollars is prescribed by U.S. GAAP. Under these principles, it is necessary to select the functional currency of these subsidiaries. The functional currency is the currency of the primary economic environment in which the subsidiary operates. Management selects the functional currency after evaluating this economic environment.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Factors considered by management when determining the functional currency for a subsidiary include the currency used for cash flows related to individual assets and liabilities; the responsiveness of sales prices to changes in exchange rates; the history of inflation in the country; whether sales are into local markets or exported; the currency used to acquire raw materials, labor, services and supplies; sources of financing; and significance of intercompany transactions.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Management, including the Corporation’s Chief Executive Officer, Principal Financial Officer, and Principal Accounting Officer, is responsible for establishing and maintaining adequate internal control over the Corporation’s financial reporting. Management conducted an evaluation of the effectiveness of internal control over financial reporting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evaluation, management concluded that Exxon Mobil Corporation’s internal control over financial reporting was effective as of December 31, 2020.</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audited the effectiveness of the Corporation’s internal control over financial reporting as of December 31, 2020, as stated in their report included in the Financial Section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285750</wp:posOffset>
            </wp:positionV>
            <wp:extent cx="1217295" cy="420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17295" cy="42037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328295</wp:posOffset>
            </wp:positionV>
            <wp:extent cx="1062990" cy="3429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62990" cy="34290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251460</wp:posOffset>
            </wp:positionV>
            <wp:extent cx="1525905" cy="4972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259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Darren W. Woods</w:t>
            </w:r>
          </w:p>
        </w:tc>
        <w:tc>
          <w:tcPr>
            <w:tcW w:w="37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Andrew P. Swiger</w:t>
            </w:r>
          </w:p>
        </w:tc>
        <w:tc>
          <w:tcPr>
            <w:tcW w:w="2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David S. Rosenthal</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37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Senior Vice President</w:t>
            </w:r>
          </w:p>
        </w:tc>
        <w:tc>
          <w:tcPr>
            <w:tcW w:w="29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Vice President and Controller</w:t>
            </w:r>
          </w:p>
        </w:tc>
      </w:tr>
      <w:tr>
        <w:trPr>
          <w:trHeight w:val="234"/>
        </w:trPr>
        <w:tc>
          <w:tcPr>
            <w:tcW w:w="2660" w:type="dxa"/>
            <w:vAlign w:val="bottom"/>
          </w:tcPr>
          <w:p>
            <w:pPr>
              <w:spacing w:after="0"/>
              <w:rPr>
                <w:sz w:val="20"/>
                <w:szCs w:val="20"/>
                <w:color w:val="auto"/>
              </w:rPr>
            </w:pPr>
          </w:p>
        </w:tc>
        <w:tc>
          <w:tcPr>
            <w:tcW w:w="37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98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54380" cy="5657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5438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Exxon Mobil Corporation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 of Exxon Mobil Corporation and its subsidiaries (the “Corporation”) as of December 31, 2020 and 2019, and the related consolidated statements of income, of comprehensive income, of changes in equity and of cash flows for each of the three years in the period ended December 31, 2020, including the related notes (collectively referred to as the “consolidated financial statements”). We also have audited the Corporation's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Corporation as of December 31, 2020 and 2019, and the results of its operations and its cash flows for each of the three years in the period ended December 31, 2020 in conformity with accounting principles generally accepted in the United States of America. Also in our opinion, the Corporation maintained, in all material respects, effective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Corporation's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Corporation’s consolidated financial statements and on the Corporation's internal control over financial reporting based on our audits.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0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Impact of Proved Oil and Natural Gas Reserves on Upstream Property, Plant and Equipment, Net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Notes 1, 9 and 18 to the consolidated financial statements, the Corporation’s consolidated upstream property, plant and equipment (PP&amp;E), net balance was $167.5 billion as of December 31, 2020, and the related depreciation and depletion expense for the year ended December 31, 2020 was $41.4 billion. Management uses the successful efforts method to account for its exploration and production activities. Costs incurred to purchase, lease, or otherwise acquire a property (whether unproved or proved) are capitalized when incurred. As disclosed by management, proved oil and natural gas reserve volumes are used as the basis to calculate unit-of-production depreciation rates for most upstream assets. The estimation of proved oil and natural gas reserve volumes is an ongoing process based on technical evaluations, commercial and market assessments, and detailed analysis of well information such as flow rates and reservoir pressure declines, development and production costs, among other factors. As further disclosed by management, reserve changes are made within a well-established, disciplined process driven by senior level geoscience and engineering professionals, assisted by the Global Reserves and Resources Group (together “management’s specialists”).</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impact of proved oil and natural gas reserves on upstream PP&amp;E, net is a critical audit matter are (i) the significant judgment by management, including the use of management’s specialists, when developing the estimates of proved oil and natural gas reserve volumes, as the reserve volumes are based on engineering assumptions and methods, which in turn led to (ii) a high degree of auditor judgment, subjectivity, and effort in performing procedures and evaluating audit evidence related to the data, methods, and assumptions used by management and its specialists in developing the estimates of oil and natural gas reserve volumes and the assumptions applied to the data related to future development costs and production costs, as applicable.</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estimates of proved oil and natural gas reserve volumes. The work of management's specialists was used in performing the procedures to evaluate the reasonableness of the proved oil and natural gas reserve volumes. As a basis for using this work, the specialists' qualifications were understood and the Company's relationship with the specialists was assessed. The procedures performed also included evaluation of the methods and assumptions used by the specialists, tests of the data used by the specialists, and an evaluation of the specialists' findings. These procedures also included, among others, testing the completeness and accuracy of the data related to future development costs and production costs. Additionally, these procedures included evaluating whether the assumptions applied to the data related to future development costs and production costs were reasonable considering the past performance of the Company.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Assessment of Certain Upstream Property, Plant and Equipment, Net</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Notes 1, 9, and 18 to the consolidated financial statements, the Corporation’s consolidated upstream property, plant and equipment (PP&amp;E), net balance was $167.5 billion as of December 31, 2020, and related impairment expense for the year ended December 31, 2020 was $25.3 billion. If events or changes in circumstances indicate that the carrying value of an asset may not be recoverable, management estimates the future undiscounted cash flows of the affected properties to judge the recoverability of carrying amounts. In performing this assessment, assets are grouped at the lowest level for which identifiable cash flows are largely independent of cash flows of other groups of assets. These evaluations make use of management’s assumptions of future capital allocations, crude oil and natural gas commodity prices including price differentials, volumes, development and operating costs, and foreign currency exchange rates. An asset group is impaired if its estimated undiscounted cash flows are less than the asset’s carrying value. Impairments are measured by the amount by which the carrying value exceeds fair value. Management’s estimate of upstream production volumes used for projected cash flows makes use of proved reserve quantities and may include risk-adjusted unproved reserve quantities.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impairment assessment of certain upstream PP&amp;E, net is a critical audit matter are (i) the significant judgment by management, including the use of specialists, when developing the estimates of future undiscounted cash flows and (ii) a high degree of auditor judgment, subjectivity, and effort in performing procedures and evaluating management’s significant assumptions related to future crude oil and natural gas commodity prices, production volumes, and development costs, as applicable.</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upstream PP&amp;E, net impairment assessment. These procedures also included, among others (i) testing management’s process for assessing the recoverability of carrying amounts of upstream PP&amp;E, net; (ii) evaluating the appropriateness of the undiscounted cash flow models; (iii) testing the completeness and accuracy of underlying data used in the models; and (iv) evaluating the reasonableness of significant assumptions used by management related to future crude oil and natural gas commodity prices, production volumes, and development costs. Evaluating the reasonableness of management’s assumptions related to future crude oil and natural gas commodity prices involved comparing the assumption against observable market data. Evaluating future development costs involved evaluating the reasonableness of the assumptions as compared to the past performance of the Company. The work of management’s specialists was used in performing the procedures to evaluate the reasonableness of the proved oil and natural gas reserve volumes as stated in the Critical Audit Matter titled “Impact of Proved Oil and Natural Gas Reserves on Upstream Property, Plant and Equipment, Net” and the reasonableness of the future production volumes. As a basis for using this work, the specialists’ qualifications were understood and the Company’s relationship with the specialists was assessed. The procedures performed also included evaluation of the methods and assumptions used by the specialists, tests of the data used by the specialists and an evaluation of the specialists’ findings.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Corporation’s auditor since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920" w:type="dxa"/>
            <w:vAlign w:val="bottom"/>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2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1920" w:type="dxa"/>
            <w:vAlign w:val="bottom"/>
          </w:tcPr>
          <w:p>
            <w:pPr>
              <w:jc w:val="center"/>
              <w:ind w:left="468"/>
              <w:spacing w:after="0" w:line="135"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5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89"/>
        </w:trPr>
        <w:tc>
          <w:tcPr>
            <w:tcW w:w="55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2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5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jc w:val="right"/>
              <w:ind w:right="232"/>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and other income</w:t>
            </w:r>
          </w:p>
        </w:tc>
        <w:tc>
          <w:tcPr>
            <w:tcW w:w="1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other operating revenue</w:t>
            </w:r>
          </w:p>
        </w:tc>
        <w:tc>
          <w:tcPr>
            <w:tcW w:w="192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178,574</w:t>
            </w:r>
          </w:p>
        </w:tc>
        <w:tc>
          <w:tcPr>
            <w:tcW w:w="15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255,583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279,332</w:t>
            </w:r>
          </w:p>
        </w:tc>
        <w:tc>
          <w:tcPr>
            <w:tcW w:w="0" w:type="dxa"/>
            <w:vAlign w:val="bottom"/>
          </w:tcPr>
          <w:p>
            <w:pPr>
              <w:spacing w:after="0"/>
              <w:rPr>
                <w:sz w:val="1"/>
                <w:szCs w:val="1"/>
                <w:color w:val="auto"/>
              </w:rPr>
            </w:pPr>
          </w:p>
        </w:tc>
      </w:tr>
      <w:tr>
        <w:trPr>
          <w:trHeight w:val="22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192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7</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1,732</w:t>
            </w:r>
          </w:p>
        </w:tc>
        <w:tc>
          <w:tcPr>
            <w:tcW w:w="15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5,441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w:t>
            </w:r>
          </w:p>
        </w:tc>
        <w:tc>
          <w:tcPr>
            <w:tcW w:w="0" w:type="dxa"/>
            <w:vAlign w:val="bottom"/>
          </w:tcPr>
          <w:p>
            <w:pPr>
              <w:spacing w:after="0"/>
              <w:rPr>
                <w:sz w:val="1"/>
                <w:szCs w:val="1"/>
                <w:color w:val="auto"/>
              </w:rPr>
            </w:pPr>
          </w:p>
        </w:tc>
      </w:tr>
      <w:tr>
        <w:trPr>
          <w:trHeight w:val="234"/>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1920" w:type="dxa"/>
            <w:vAlign w:val="bottom"/>
          </w:tcPr>
          <w:p>
            <w:pPr>
              <w:spacing w:after="0"/>
              <w:rPr>
                <w:sz w:val="20"/>
                <w:szCs w:val="20"/>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1,196</w:t>
            </w:r>
          </w:p>
        </w:tc>
        <w:tc>
          <w:tcPr>
            <w:tcW w:w="15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3,914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0" w:type="dxa"/>
            <w:vAlign w:val="bottom"/>
          </w:tcPr>
          <w:p>
            <w:pPr>
              <w:spacing w:after="0"/>
              <w:rPr>
                <w:sz w:val="1"/>
                <w:szCs w:val="1"/>
                <w:color w:val="auto"/>
              </w:rPr>
            </w:pPr>
          </w:p>
        </w:tc>
      </w:tr>
      <w:tr>
        <w:trPr>
          <w:trHeight w:val="223"/>
        </w:trPr>
        <w:tc>
          <w:tcPr>
            <w:tcW w:w="5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revenues and other income</w:t>
            </w:r>
          </w:p>
        </w:tc>
        <w:tc>
          <w:tcPr>
            <w:tcW w:w="1920" w:type="dxa"/>
            <w:vAlign w:val="bottom"/>
          </w:tcPr>
          <w:p>
            <w:pPr>
              <w:spacing w:after="0"/>
              <w:rPr>
                <w:sz w:val="19"/>
                <w:szCs w:val="19"/>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181,502</w:t>
            </w:r>
          </w:p>
        </w:tc>
        <w:tc>
          <w:tcPr>
            <w:tcW w:w="15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264,938</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290,212</w:t>
            </w:r>
          </w:p>
        </w:tc>
        <w:tc>
          <w:tcPr>
            <w:tcW w:w="0" w:type="dxa"/>
            <w:vAlign w:val="bottom"/>
          </w:tcPr>
          <w:p>
            <w:pPr>
              <w:spacing w:after="0"/>
              <w:rPr>
                <w:sz w:val="1"/>
                <w:szCs w:val="1"/>
                <w:color w:val="auto"/>
              </w:rPr>
            </w:pPr>
          </w:p>
        </w:tc>
      </w:tr>
      <w:tr>
        <w:trPr>
          <w:trHeight w:val="205"/>
        </w:trPr>
        <w:tc>
          <w:tcPr>
            <w:tcW w:w="55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Costs and other deductions</w:t>
            </w:r>
          </w:p>
        </w:tc>
        <w:tc>
          <w:tcPr>
            <w:tcW w:w="1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Crude oil and product purchases</w:t>
            </w:r>
          </w:p>
        </w:tc>
        <w:tc>
          <w:tcPr>
            <w:tcW w:w="192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94,007</w:t>
            </w:r>
          </w:p>
        </w:tc>
        <w:tc>
          <w:tcPr>
            <w:tcW w:w="15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143,801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156,172</w:t>
            </w:r>
          </w:p>
        </w:tc>
        <w:tc>
          <w:tcPr>
            <w:tcW w:w="0" w:type="dxa"/>
            <w:vAlign w:val="bottom"/>
          </w:tcPr>
          <w:p>
            <w:pPr>
              <w:spacing w:after="0"/>
              <w:rPr>
                <w:sz w:val="1"/>
                <w:szCs w:val="1"/>
                <w:color w:val="auto"/>
              </w:rPr>
            </w:pPr>
          </w:p>
        </w:tc>
      </w:tr>
      <w:tr>
        <w:trPr>
          <w:trHeight w:val="22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Production and manufacturing expenses</w:t>
            </w:r>
          </w:p>
        </w:tc>
        <w:tc>
          <w:tcPr>
            <w:tcW w:w="192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30,431</w:t>
            </w:r>
          </w:p>
        </w:tc>
        <w:tc>
          <w:tcPr>
            <w:tcW w:w="15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36,826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36,682</w:t>
            </w:r>
          </w:p>
        </w:tc>
        <w:tc>
          <w:tcPr>
            <w:tcW w:w="0" w:type="dxa"/>
            <w:vAlign w:val="bottom"/>
          </w:tcPr>
          <w:p>
            <w:pPr>
              <w:spacing w:after="0"/>
              <w:rPr>
                <w:sz w:val="1"/>
                <w:szCs w:val="1"/>
                <w:color w:val="auto"/>
              </w:rPr>
            </w:pPr>
          </w:p>
        </w:tc>
      </w:tr>
      <w:tr>
        <w:trPr>
          <w:trHeight w:val="230"/>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92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10,168</w:t>
            </w:r>
          </w:p>
        </w:tc>
        <w:tc>
          <w:tcPr>
            <w:tcW w:w="15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11,398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0" w:type="dxa"/>
            <w:vAlign w:val="bottom"/>
          </w:tcPr>
          <w:p>
            <w:pPr>
              <w:spacing w:after="0"/>
              <w:rPr>
                <w:sz w:val="1"/>
                <w:szCs w:val="1"/>
                <w:color w:val="auto"/>
              </w:rPr>
            </w:pPr>
          </w:p>
        </w:tc>
      </w:tr>
      <w:tr>
        <w:trPr>
          <w:trHeight w:val="22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depletion (includes impairments)</w:t>
            </w:r>
          </w:p>
        </w:tc>
        <w:tc>
          <w:tcPr>
            <w:tcW w:w="192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3, 9</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46,009</w:t>
            </w:r>
          </w:p>
        </w:tc>
        <w:tc>
          <w:tcPr>
            <w:tcW w:w="15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18,998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18,745</w:t>
            </w:r>
          </w:p>
        </w:tc>
        <w:tc>
          <w:tcPr>
            <w:tcW w:w="0" w:type="dxa"/>
            <w:vAlign w:val="bottom"/>
          </w:tcPr>
          <w:p>
            <w:pPr>
              <w:spacing w:after="0"/>
              <w:rPr>
                <w:sz w:val="1"/>
                <w:szCs w:val="1"/>
                <w:color w:val="auto"/>
              </w:rPr>
            </w:pPr>
          </w:p>
        </w:tc>
      </w:tr>
      <w:tr>
        <w:trPr>
          <w:trHeight w:val="22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Exploration expenses, including dry holes</w:t>
            </w:r>
          </w:p>
        </w:tc>
        <w:tc>
          <w:tcPr>
            <w:tcW w:w="192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1,285</w:t>
            </w:r>
          </w:p>
        </w:tc>
        <w:tc>
          <w:tcPr>
            <w:tcW w:w="15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1,269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30"/>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Non-service pension and postretirement benefit expense</w:t>
            </w:r>
          </w:p>
        </w:tc>
        <w:tc>
          <w:tcPr>
            <w:tcW w:w="192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w w:val="99"/>
              </w:rPr>
              <w:t>17</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1,205</w:t>
            </w:r>
          </w:p>
        </w:tc>
        <w:tc>
          <w:tcPr>
            <w:tcW w:w="15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1,235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29"/>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920" w:type="dxa"/>
            <w:vAlign w:val="bottom"/>
          </w:tcPr>
          <w:p>
            <w:pPr>
              <w:spacing w:after="0"/>
              <w:rPr>
                <w:sz w:val="19"/>
                <w:szCs w:val="19"/>
                <w:color w:val="auto"/>
              </w:rPr>
            </w:pP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1,158</w:t>
            </w:r>
          </w:p>
        </w:tc>
        <w:tc>
          <w:tcPr>
            <w:tcW w:w="15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830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34"/>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taxes and duties</w:t>
            </w:r>
          </w:p>
        </w:tc>
        <w:tc>
          <w:tcPr>
            <w:tcW w:w="192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w w:val="99"/>
              </w:rPr>
              <w:t>19</w:t>
            </w: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26,122</w:t>
            </w:r>
          </w:p>
        </w:tc>
        <w:tc>
          <w:tcPr>
            <w:tcW w:w="15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30,525</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32,663</w:t>
            </w:r>
          </w:p>
        </w:tc>
        <w:tc>
          <w:tcPr>
            <w:tcW w:w="0" w:type="dxa"/>
            <w:vAlign w:val="bottom"/>
          </w:tcPr>
          <w:p>
            <w:pPr>
              <w:spacing w:after="0"/>
              <w:rPr>
                <w:sz w:val="1"/>
                <w:szCs w:val="1"/>
                <w:color w:val="auto"/>
              </w:rPr>
            </w:pPr>
          </w:p>
        </w:tc>
      </w:tr>
      <w:tr>
        <w:trPr>
          <w:trHeight w:val="223"/>
        </w:trPr>
        <w:tc>
          <w:tcPr>
            <w:tcW w:w="5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costs and other deductions</w:t>
            </w:r>
          </w:p>
        </w:tc>
        <w:tc>
          <w:tcPr>
            <w:tcW w:w="1920" w:type="dxa"/>
            <w:vAlign w:val="bottom"/>
          </w:tcPr>
          <w:p>
            <w:pPr>
              <w:spacing w:after="0"/>
              <w:rPr>
                <w:sz w:val="19"/>
                <w:szCs w:val="19"/>
                <w:color w:val="auto"/>
              </w:rPr>
            </w:pPr>
          </w:p>
        </w:tc>
        <w:tc>
          <w:tcPr>
            <w:tcW w:w="1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210,385</w:t>
            </w:r>
          </w:p>
        </w:tc>
        <w:tc>
          <w:tcPr>
            <w:tcW w:w="15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244,882</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259,259</w:t>
            </w:r>
          </w:p>
        </w:tc>
        <w:tc>
          <w:tcPr>
            <w:tcW w:w="0" w:type="dxa"/>
            <w:vAlign w:val="bottom"/>
          </w:tcPr>
          <w:p>
            <w:pPr>
              <w:spacing w:after="0"/>
              <w:rPr>
                <w:sz w:val="1"/>
                <w:szCs w:val="1"/>
                <w:color w:val="auto"/>
              </w:rPr>
            </w:pPr>
          </w:p>
        </w:tc>
      </w:tr>
      <w:tr>
        <w:trPr>
          <w:trHeight w:val="218"/>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9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(28,883)</w:t>
            </w:r>
          </w:p>
        </w:tc>
        <w:tc>
          <w:tcPr>
            <w:tcW w:w="15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20,056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0" w:type="dxa"/>
            <w:vAlign w:val="bottom"/>
          </w:tcPr>
          <w:p>
            <w:pPr>
              <w:spacing w:after="0"/>
              <w:rPr>
                <w:sz w:val="1"/>
                <w:szCs w:val="1"/>
                <w:color w:val="auto"/>
              </w:rPr>
            </w:pPr>
          </w:p>
        </w:tc>
      </w:tr>
      <w:tr>
        <w:trPr>
          <w:trHeight w:val="234"/>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92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w w:val="99"/>
              </w:rPr>
              <w:t>19</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15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5,282</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9,532</w:t>
            </w:r>
          </w:p>
        </w:tc>
        <w:tc>
          <w:tcPr>
            <w:tcW w:w="0" w:type="dxa"/>
            <w:vAlign w:val="bottom"/>
          </w:tcPr>
          <w:p>
            <w:pPr>
              <w:spacing w:after="0"/>
              <w:rPr>
                <w:sz w:val="1"/>
                <w:szCs w:val="1"/>
                <w:color w:val="auto"/>
              </w:rPr>
            </w:pPr>
          </w:p>
        </w:tc>
      </w:tr>
      <w:tr>
        <w:trPr>
          <w:trHeight w:val="218"/>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tc>
        <w:tc>
          <w:tcPr>
            <w:tcW w:w="19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(23,251)</w:t>
            </w:r>
          </w:p>
        </w:tc>
        <w:tc>
          <w:tcPr>
            <w:tcW w:w="15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14,774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21,421</w:t>
            </w:r>
          </w:p>
        </w:tc>
        <w:tc>
          <w:tcPr>
            <w:tcW w:w="0" w:type="dxa"/>
            <w:vAlign w:val="bottom"/>
          </w:tcPr>
          <w:p>
            <w:pPr>
              <w:spacing w:after="0"/>
              <w:rPr>
                <w:sz w:val="1"/>
                <w:szCs w:val="1"/>
                <w:color w:val="auto"/>
              </w:rPr>
            </w:pPr>
          </w:p>
        </w:tc>
      </w:tr>
      <w:tr>
        <w:trPr>
          <w:trHeight w:val="234"/>
        </w:trPr>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9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5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434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ExxonMobil</w:t>
            </w:r>
          </w:p>
        </w:tc>
        <w:tc>
          <w:tcPr>
            <w:tcW w:w="19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(22,440)</w:t>
            </w:r>
          </w:p>
        </w:tc>
        <w:tc>
          <w:tcPr>
            <w:tcW w:w="15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14,340</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20,840</w:t>
            </w:r>
          </w:p>
        </w:tc>
        <w:tc>
          <w:tcPr>
            <w:tcW w:w="0" w:type="dxa"/>
            <w:vAlign w:val="bottom"/>
          </w:tcPr>
          <w:p>
            <w:pPr>
              <w:spacing w:after="0"/>
              <w:rPr>
                <w:sz w:val="1"/>
                <w:szCs w:val="1"/>
                <w:color w:val="auto"/>
              </w:rPr>
            </w:pPr>
          </w:p>
        </w:tc>
      </w:tr>
      <w:tr>
        <w:trPr>
          <w:trHeight w:val="48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Earnings (Loss) per common share </w:t>
            </w:r>
            <w:r>
              <w:rPr>
                <w:rFonts w:ascii="Times New Roman" w:cs="Times New Roman" w:eastAsia="Times New Roman" w:hAnsi="Times New Roman"/>
                <w:sz w:val="18"/>
                <w:szCs w:val="18"/>
                <w:i w:val="1"/>
                <w:iCs w:val="1"/>
                <w:color w:val="auto"/>
              </w:rPr>
              <w:t>(dollars)</w:t>
            </w:r>
          </w:p>
        </w:tc>
        <w:tc>
          <w:tcPr>
            <w:tcW w:w="192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w w:val="99"/>
              </w:rPr>
              <w:t>12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5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3.36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50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Earnings (Loss) per common share - assuming dilution </w:t>
            </w:r>
            <w:r>
              <w:rPr>
                <w:rFonts w:ascii="Times New Roman" w:cs="Times New Roman" w:eastAsia="Times New Roman" w:hAnsi="Times New Roman"/>
                <w:sz w:val="18"/>
                <w:szCs w:val="18"/>
                <w:i w:val="1"/>
                <w:iCs w:val="1"/>
                <w:color w:val="auto"/>
              </w:rPr>
              <w:t>(dollars)</w:t>
            </w:r>
          </w:p>
        </w:tc>
        <w:tc>
          <w:tcPr>
            <w:tcW w:w="192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w w:val="99"/>
              </w:rPr>
              <w:t>12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54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3.36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information in the Notes to Consolidated Financial Statements is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5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1"/>
        </w:trPr>
        <w:tc>
          <w:tcPr>
            <w:tcW w:w="7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80" w:type="dxa"/>
            <w:vAlign w:val="bottom"/>
          </w:tcPr>
          <w:p>
            <w:pPr>
              <w:jc w:val="right"/>
              <w:ind w:right="273"/>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(23,251)</w:t>
            </w:r>
          </w:p>
        </w:tc>
        <w:tc>
          <w:tcPr>
            <w:tcW w:w="158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14,774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21,421</w:t>
            </w:r>
          </w:p>
        </w:tc>
        <w:tc>
          <w:tcPr>
            <w:tcW w:w="0" w:type="dxa"/>
            <w:vAlign w:val="bottom"/>
          </w:tcPr>
          <w:p>
            <w:pPr>
              <w:spacing w:after="0"/>
              <w:rPr>
                <w:sz w:val="1"/>
                <w:szCs w:val="1"/>
                <w:color w:val="auto"/>
              </w:rPr>
            </w:pP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1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exchange translation adjustment</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1,916</w:t>
            </w:r>
          </w:p>
        </w:tc>
        <w:tc>
          <w:tcPr>
            <w:tcW w:w="158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1,735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0" w:type="dxa"/>
            <w:vAlign w:val="bottom"/>
          </w:tcPr>
          <w:p>
            <w:pPr>
              <w:spacing w:after="0"/>
              <w:rPr>
                <w:sz w:val="1"/>
                <w:szCs w:val="1"/>
                <w:color w:val="auto"/>
              </w:rPr>
            </w:pPr>
          </w:p>
        </w:tc>
      </w:tr>
      <w:tr>
        <w:trPr>
          <w:trHeight w:val="229"/>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 for foreign exchange translation (gain)/loss included in net income</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58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0"/>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Postretirement benefits reserves adjustment (excluding amortization)</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5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(2,092)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180"/>
        </w:trPr>
        <w:tc>
          <w:tcPr>
            <w:tcW w:w="750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Amortization and settlement of postretirement benefits reserves adjustment included in net periodic</w:t>
            </w:r>
          </w:p>
        </w:tc>
        <w:tc>
          <w:tcPr>
            <w:tcW w:w="12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896</w:t>
            </w:r>
          </w:p>
        </w:tc>
        <w:tc>
          <w:tcPr>
            <w:tcW w:w="1580" w:type="dxa"/>
            <w:vAlign w:val="bottom"/>
            <w:vMerge w:val="restart"/>
          </w:tcPr>
          <w:p>
            <w:pPr>
              <w:jc w:val="right"/>
              <w:ind w:right="333"/>
              <w:spacing w:after="0"/>
              <w:rPr>
                <w:sz w:val="20"/>
                <w:szCs w:val="20"/>
                <w:color w:val="auto"/>
              </w:rPr>
            </w:pPr>
            <w:r>
              <w:rPr>
                <w:rFonts w:ascii="Times New Roman" w:cs="Times New Roman" w:eastAsia="Times New Roman" w:hAnsi="Times New Roman"/>
                <w:sz w:val="18"/>
                <w:szCs w:val="18"/>
                <w:color w:val="auto"/>
              </w:rPr>
              <w:t>582</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34"/>
        </w:trPr>
        <w:tc>
          <w:tcPr>
            <w:tcW w:w="7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benefit costs</w:t>
            </w:r>
          </w:p>
        </w:tc>
        <w:tc>
          <w:tcPr>
            <w:tcW w:w="1220" w:type="dxa"/>
            <w:vAlign w:val="bottom"/>
            <w:tcBorders>
              <w:bottom w:val="single" w:sz="8" w:color="auto"/>
            </w:tcBorders>
            <w:vMerge w:val="continue"/>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2,856</w:t>
            </w:r>
          </w:p>
        </w:tc>
        <w:tc>
          <w:tcPr>
            <w:tcW w:w="15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225</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0" w:type="dxa"/>
            <w:vAlign w:val="bottom"/>
          </w:tcPr>
          <w:p>
            <w:pPr>
              <w:spacing w:after="0"/>
              <w:rPr>
                <w:sz w:val="1"/>
                <w:szCs w:val="1"/>
                <w:color w:val="auto"/>
              </w:rPr>
            </w:pPr>
          </w:p>
        </w:tc>
      </w:tr>
      <w:tr>
        <w:trPr>
          <w:trHeight w:val="21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including noncontrolling interests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(20,395)</w:t>
            </w:r>
          </w:p>
        </w:tc>
        <w:tc>
          <w:tcPr>
            <w:tcW w:w="158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14,999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17,751</w:t>
            </w:r>
          </w:p>
        </w:tc>
        <w:tc>
          <w:tcPr>
            <w:tcW w:w="0" w:type="dxa"/>
            <w:vAlign w:val="bottom"/>
          </w:tcPr>
          <w:p>
            <w:pPr>
              <w:spacing w:after="0"/>
              <w:rPr>
                <w:sz w:val="1"/>
                <w:szCs w:val="1"/>
                <w:color w:val="auto"/>
              </w:rPr>
            </w:pPr>
          </w:p>
        </w:tc>
      </w:tr>
      <w:tr>
        <w:trPr>
          <w:trHeight w:val="234"/>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5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588</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ExxonMobil</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(19,652)</w:t>
            </w:r>
          </w:p>
        </w:tc>
        <w:tc>
          <w:tcPr>
            <w:tcW w:w="15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8"/>
                <w:szCs w:val="18"/>
                <w:color w:val="auto"/>
              </w:rPr>
              <w:t>14,411</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17,577</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information in the Notes to Consolidated Financial Statements is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17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Note</w:t>
            </w:r>
          </w:p>
        </w:tc>
        <w:tc>
          <w:tcPr>
            <w:tcW w:w="13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5"/>
        </w:trPr>
        <w:tc>
          <w:tcPr>
            <w:tcW w:w="7000" w:type="dxa"/>
            <w:vAlign w:val="bottom"/>
          </w:tcPr>
          <w:p>
            <w:pPr>
              <w:spacing w:after="0"/>
              <w:rPr>
                <w:sz w:val="11"/>
                <w:szCs w:val="11"/>
                <w:color w:val="auto"/>
              </w:rPr>
            </w:pPr>
          </w:p>
        </w:tc>
        <w:tc>
          <w:tcPr>
            <w:tcW w:w="1780" w:type="dxa"/>
            <w:vAlign w:val="bottom"/>
          </w:tcPr>
          <w:p>
            <w:pPr>
              <w:jc w:val="center"/>
              <w:ind w:left="328"/>
              <w:spacing w:after="0" w:line="135" w:lineRule="exact"/>
              <w:rPr>
                <w:sz w:val="20"/>
                <w:szCs w:val="20"/>
                <w:color w:val="auto"/>
              </w:rPr>
            </w:pPr>
            <w:r>
              <w:rPr>
                <w:rFonts w:ascii="Times New Roman" w:cs="Times New Roman" w:eastAsia="Times New Roman" w:hAnsi="Times New Roman"/>
                <w:sz w:val="14"/>
                <w:szCs w:val="14"/>
                <w:b w:val="1"/>
                <w:bCs w:val="1"/>
                <w:color w:val="auto"/>
              </w:rPr>
              <w:t>Reference</w:t>
            </w:r>
          </w:p>
        </w:tc>
        <w:tc>
          <w:tcPr>
            <w:tcW w:w="130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0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6"/>
        </w:trPr>
        <w:tc>
          <w:tcPr>
            <w:tcW w:w="70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60" w:type="dxa"/>
            <w:vAlign w:val="bottom"/>
            <w:gridSpan w:val="2"/>
          </w:tcPr>
          <w:p>
            <w:pPr>
              <w:jc w:val="right"/>
              <w:ind w:right="571"/>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0" w:type="dxa"/>
            <w:vAlign w:val="bottom"/>
          </w:tcPr>
          <w:p>
            <w:pPr>
              <w:spacing w:after="0"/>
              <w:rPr>
                <w:sz w:val="1"/>
                <w:szCs w:val="1"/>
                <w:color w:val="auto"/>
              </w:rPr>
            </w:pPr>
          </w:p>
        </w:tc>
      </w:tr>
      <w:tr>
        <w:trPr>
          <w:trHeight w:val="262"/>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7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assets</w:t>
            </w:r>
          </w:p>
        </w:tc>
        <w:tc>
          <w:tcPr>
            <w:tcW w:w="1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8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4,364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0" w:type="dxa"/>
            <w:vAlign w:val="bottom"/>
          </w:tcPr>
          <w:p>
            <w:pPr>
              <w:spacing w:after="0"/>
              <w:rPr>
                <w:sz w:val="1"/>
                <w:szCs w:val="1"/>
                <w:color w:val="auto"/>
              </w:rPr>
            </w:pPr>
          </w:p>
        </w:tc>
      </w:tr>
      <w:tr>
        <w:trPr>
          <w:trHeight w:val="230"/>
        </w:trPr>
        <w:tc>
          <w:tcPr>
            <w:tcW w:w="7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Notes and accounts receivable - net</w:t>
            </w:r>
          </w:p>
        </w:tc>
        <w:tc>
          <w:tcPr>
            <w:tcW w:w="178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w w:val="85"/>
              </w:rPr>
              <w:t>6</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20,581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26,966</w:t>
            </w:r>
          </w:p>
        </w:tc>
        <w:tc>
          <w:tcPr>
            <w:tcW w:w="0" w:type="dxa"/>
            <w:vAlign w:val="bottom"/>
          </w:tcPr>
          <w:p>
            <w:pPr>
              <w:spacing w:after="0"/>
              <w:rPr>
                <w:sz w:val="1"/>
                <w:szCs w:val="1"/>
                <w:color w:val="auto"/>
              </w:rPr>
            </w:pPr>
          </w:p>
        </w:tc>
      </w:tr>
      <w:tr>
        <w:trPr>
          <w:trHeight w:val="229"/>
        </w:trPr>
        <w:tc>
          <w:tcPr>
            <w:tcW w:w="7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1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Crude oil, products and merchandise</w:t>
            </w:r>
          </w:p>
        </w:tc>
        <w:tc>
          <w:tcPr>
            <w:tcW w:w="178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w w:val="85"/>
              </w:rPr>
              <w:t>3</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14,169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14,010</w:t>
            </w:r>
          </w:p>
        </w:tc>
        <w:tc>
          <w:tcPr>
            <w:tcW w:w="0" w:type="dxa"/>
            <w:vAlign w:val="bottom"/>
          </w:tcPr>
          <w:p>
            <w:pPr>
              <w:spacing w:after="0"/>
              <w:rPr>
                <w:sz w:val="1"/>
                <w:szCs w:val="1"/>
                <w:color w:val="auto"/>
              </w:rPr>
            </w:pPr>
          </w:p>
        </w:tc>
      </w:tr>
      <w:tr>
        <w:trPr>
          <w:trHeight w:val="230"/>
        </w:trPr>
        <w:tc>
          <w:tcPr>
            <w:tcW w:w="7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Materials and supplies</w:t>
            </w:r>
          </w:p>
        </w:tc>
        <w:tc>
          <w:tcPr>
            <w:tcW w:w="178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4,681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0" w:type="dxa"/>
            <w:vAlign w:val="bottom"/>
          </w:tcPr>
          <w:p>
            <w:pPr>
              <w:spacing w:after="0"/>
              <w:rPr>
                <w:sz w:val="1"/>
                <w:szCs w:val="1"/>
                <w:color w:val="auto"/>
              </w:rPr>
            </w:pPr>
          </w:p>
        </w:tc>
      </w:tr>
      <w:tr>
        <w:trPr>
          <w:trHeight w:val="234"/>
        </w:trPr>
        <w:tc>
          <w:tcPr>
            <w:tcW w:w="7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 current assets</w:t>
            </w:r>
          </w:p>
        </w:tc>
        <w:tc>
          <w:tcPr>
            <w:tcW w:w="1780" w:type="dxa"/>
            <w:vAlign w:val="bottom"/>
          </w:tcPr>
          <w:p>
            <w:pPr>
              <w:spacing w:after="0"/>
              <w:rPr>
                <w:sz w:val="20"/>
                <w:szCs w:val="20"/>
                <w:color w:val="auto"/>
              </w:rPr>
            </w:pPr>
          </w:p>
        </w:tc>
        <w:tc>
          <w:tcPr>
            <w:tcW w:w="1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1,098</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18"/>
        </w:trPr>
        <w:tc>
          <w:tcPr>
            <w:tcW w:w="7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178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44,893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50,052</w:t>
            </w: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advances and long-term receivables</w:t>
            </w:r>
          </w:p>
        </w:tc>
        <w:tc>
          <w:tcPr>
            <w:tcW w:w="178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w w:val="85"/>
              </w:rPr>
              <w:t>8</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43,515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43,164</w:t>
            </w: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at cost, less accumulated depreciation and depletion</w:t>
            </w:r>
          </w:p>
        </w:tc>
        <w:tc>
          <w:tcPr>
            <w:tcW w:w="178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w w:val="85"/>
              </w:rPr>
              <w:t>9</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227,553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253,018</w:t>
            </w:r>
          </w:p>
        </w:tc>
        <w:tc>
          <w:tcPr>
            <w:tcW w:w="0" w:type="dxa"/>
            <w:vAlign w:val="bottom"/>
          </w:tcPr>
          <w:p>
            <w:pPr>
              <w:spacing w:after="0"/>
              <w:rPr>
                <w:sz w:val="1"/>
                <w:szCs w:val="1"/>
                <w:color w:val="auto"/>
              </w:rPr>
            </w:pPr>
          </w:p>
        </w:tc>
      </w:tr>
      <w:tr>
        <w:trPr>
          <w:trHeight w:val="234"/>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 including intangibles - net</w:t>
            </w:r>
          </w:p>
        </w:tc>
        <w:tc>
          <w:tcPr>
            <w:tcW w:w="1780" w:type="dxa"/>
            <w:vAlign w:val="bottom"/>
          </w:tcPr>
          <w:p>
            <w:pPr>
              <w:spacing w:after="0"/>
              <w:rPr>
                <w:sz w:val="20"/>
                <w:szCs w:val="20"/>
                <w:color w:val="auto"/>
              </w:rPr>
            </w:pPr>
          </w:p>
        </w:tc>
        <w:tc>
          <w:tcPr>
            <w:tcW w:w="1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16,789</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16,363</w:t>
            </w:r>
          </w:p>
        </w:tc>
        <w:tc>
          <w:tcPr>
            <w:tcW w:w="0" w:type="dxa"/>
            <w:vAlign w:val="bottom"/>
          </w:tcPr>
          <w:p>
            <w:pPr>
              <w:spacing w:after="0"/>
              <w:rPr>
                <w:sz w:val="1"/>
                <w:szCs w:val="1"/>
                <w:color w:val="auto"/>
              </w:rPr>
            </w:pPr>
          </w:p>
        </w:tc>
      </w:tr>
      <w:tr>
        <w:trPr>
          <w:trHeight w:val="223"/>
        </w:trPr>
        <w:tc>
          <w:tcPr>
            <w:tcW w:w="7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1780" w:type="dxa"/>
            <w:vAlign w:val="bottom"/>
          </w:tcPr>
          <w:p>
            <w:pPr>
              <w:spacing w:after="0"/>
              <w:rPr>
                <w:sz w:val="19"/>
                <w:szCs w:val="19"/>
                <w:color w:val="auto"/>
              </w:rPr>
            </w:pPr>
          </w:p>
        </w:tc>
        <w:tc>
          <w:tcPr>
            <w:tcW w:w="1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332,750</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362,597</w:t>
            </w:r>
          </w:p>
        </w:tc>
        <w:tc>
          <w:tcPr>
            <w:tcW w:w="0" w:type="dxa"/>
            <w:vAlign w:val="bottom"/>
          </w:tcPr>
          <w:p>
            <w:pPr>
              <w:spacing w:after="0"/>
              <w:rPr>
                <w:sz w:val="1"/>
                <w:szCs w:val="1"/>
                <w:color w:val="auto"/>
              </w:rPr>
            </w:pPr>
          </w:p>
        </w:tc>
      </w:tr>
      <w:tr>
        <w:trPr>
          <w:trHeight w:val="475"/>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1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Notes and loans payable</w:t>
            </w:r>
          </w:p>
        </w:tc>
        <w:tc>
          <w:tcPr>
            <w:tcW w:w="178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w w:val="85"/>
              </w:rPr>
              <w:t>6</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20,458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20,578</w:t>
            </w:r>
          </w:p>
        </w:tc>
        <w:tc>
          <w:tcPr>
            <w:tcW w:w="0" w:type="dxa"/>
            <w:vAlign w:val="bottom"/>
          </w:tcPr>
          <w:p>
            <w:pPr>
              <w:spacing w:after="0"/>
              <w:rPr>
                <w:sz w:val="1"/>
                <w:szCs w:val="1"/>
                <w:color w:val="auto"/>
              </w:rPr>
            </w:pPr>
          </w:p>
        </w:tc>
      </w:tr>
      <w:tr>
        <w:trPr>
          <w:trHeight w:val="229"/>
        </w:trPr>
        <w:tc>
          <w:tcPr>
            <w:tcW w:w="7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78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w w:val="85"/>
              </w:rPr>
              <w:t>6</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35,221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41,831</w:t>
            </w:r>
          </w:p>
        </w:tc>
        <w:tc>
          <w:tcPr>
            <w:tcW w:w="0" w:type="dxa"/>
            <w:vAlign w:val="bottom"/>
          </w:tcPr>
          <w:p>
            <w:pPr>
              <w:spacing w:after="0"/>
              <w:rPr>
                <w:sz w:val="1"/>
                <w:szCs w:val="1"/>
                <w:color w:val="auto"/>
              </w:rPr>
            </w:pPr>
          </w:p>
        </w:tc>
      </w:tr>
      <w:tr>
        <w:trPr>
          <w:trHeight w:val="234"/>
        </w:trPr>
        <w:tc>
          <w:tcPr>
            <w:tcW w:w="7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Income taxes payable</w:t>
            </w:r>
          </w:p>
        </w:tc>
        <w:tc>
          <w:tcPr>
            <w:tcW w:w="1780" w:type="dxa"/>
            <w:vAlign w:val="bottom"/>
          </w:tcPr>
          <w:p>
            <w:pPr>
              <w:spacing w:after="0"/>
              <w:rPr>
                <w:sz w:val="20"/>
                <w:szCs w:val="20"/>
                <w:color w:val="auto"/>
              </w:rPr>
            </w:pPr>
          </w:p>
        </w:tc>
        <w:tc>
          <w:tcPr>
            <w:tcW w:w="1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684</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18"/>
        </w:trPr>
        <w:tc>
          <w:tcPr>
            <w:tcW w:w="7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78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56,363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63,989</w:t>
            </w: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178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w w:val="99"/>
              </w:rPr>
              <w:t>14</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47,182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26,342</w:t>
            </w:r>
          </w:p>
        </w:tc>
        <w:tc>
          <w:tcPr>
            <w:tcW w:w="0" w:type="dxa"/>
            <w:vAlign w:val="bottom"/>
          </w:tcPr>
          <w:p>
            <w:pPr>
              <w:spacing w:after="0"/>
              <w:rPr>
                <w:sz w:val="1"/>
                <w:szCs w:val="1"/>
                <w:color w:val="auto"/>
              </w:rPr>
            </w:pPr>
          </w:p>
        </w:tc>
      </w:tr>
      <w:tr>
        <w:trPr>
          <w:trHeight w:val="229"/>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Postretirement benefits reserves</w:t>
            </w:r>
          </w:p>
        </w:tc>
        <w:tc>
          <w:tcPr>
            <w:tcW w:w="178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w w:val="99"/>
              </w:rPr>
              <w:t>17</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22,415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22,304</w:t>
            </w: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78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w w:val="99"/>
              </w:rPr>
              <w:t>19</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18,165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25,620</w:t>
            </w: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obligations to equity companies</w:t>
            </w:r>
          </w:p>
        </w:tc>
        <w:tc>
          <w:tcPr>
            <w:tcW w:w="178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3,253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0" w:type="dxa"/>
            <w:vAlign w:val="bottom"/>
          </w:tcPr>
          <w:p>
            <w:pPr>
              <w:spacing w:after="0"/>
              <w:rPr>
                <w:sz w:val="1"/>
                <w:szCs w:val="1"/>
                <w:color w:val="auto"/>
              </w:rPr>
            </w:pPr>
          </w:p>
        </w:tc>
      </w:tr>
      <w:tr>
        <w:trPr>
          <w:trHeight w:val="234"/>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780" w:type="dxa"/>
            <w:vAlign w:val="bottom"/>
          </w:tcPr>
          <w:p>
            <w:pPr>
              <w:spacing w:after="0"/>
              <w:rPr>
                <w:sz w:val="20"/>
                <w:szCs w:val="20"/>
                <w:color w:val="auto"/>
              </w:rPr>
            </w:pPr>
          </w:p>
        </w:tc>
        <w:tc>
          <w:tcPr>
            <w:tcW w:w="1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21,242</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21,416</w:t>
            </w:r>
          </w:p>
        </w:tc>
        <w:tc>
          <w:tcPr>
            <w:tcW w:w="0" w:type="dxa"/>
            <w:vAlign w:val="bottom"/>
          </w:tcPr>
          <w:p>
            <w:pPr>
              <w:spacing w:after="0"/>
              <w:rPr>
                <w:sz w:val="1"/>
                <w:szCs w:val="1"/>
                <w:color w:val="auto"/>
              </w:rPr>
            </w:pPr>
          </w:p>
        </w:tc>
      </w:tr>
      <w:tr>
        <w:trPr>
          <w:trHeight w:val="223"/>
        </w:trPr>
        <w:tc>
          <w:tcPr>
            <w:tcW w:w="7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1780" w:type="dxa"/>
            <w:vAlign w:val="bottom"/>
          </w:tcPr>
          <w:p>
            <w:pPr>
              <w:spacing w:after="0"/>
              <w:rPr>
                <w:sz w:val="19"/>
                <w:szCs w:val="19"/>
                <w:color w:val="auto"/>
              </w:rPr>
            </w:pPr>
          </w:p>
        </w:tc>
        <w:tc>
          <w:tcPr>
            <w:tcW w:w="1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168,620</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163,659</w:t>
            </w:r>
          </w:p>
        </w:tc>
        <w:tc>
          <w:tcPr>
            <w:tcW w:w="0" w:type="dxa"/>
            <w:vAlign w:val="bottom"/>
          </w:tcPr>
          <w:p>
            <w:pPr>
              <w:spacing w:after="0"/>
              <w:rPr>
                <w:sz w:val="1"/>
                <w:szCs w:val="1"/>
                <w:color w:val="auto"/>
              </w:rPr>
            </w:pPr>
          </w:p>
        </w:tc>
      </w:tr>
      <w:tr>
        <w:trPr>
          <w:trHeight w:val="48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780" w:type="dxa"/>
            <w:vAlign w:val="bottom"/>
          </w:tcPr>
          <w:p>
            <w:pPr>
              <w:jc w:val="center"/>
              <w:ind w:left="328"/>
              <w:spacing w:after="0"/>
              <w:rPr>
                <w:sz w:val="20"/>
                <w:szCs w:val="20"/>
                <w:color w:val="auto"/>
              </w:rPr>
            </w:pPr>
            <w:r>
              <w:rPr>
                <w:rFonts w:ascii="Times New Roman" w:cs="Times New Roman" w:eastAsia="Times New Roman" w:hAnsi="Times New Roman"/>
                <w:sz w:val="14"/>
                <w:szCs w:val="14"/>
                <w:color w:val="auto"/>
                <w:w w:val="99"/>
              </w:rPr>
              <w:t>16</w:t>
            </w: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00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Common stock without par value</w:t>
            </w:r>
          </w:p>
        </w:tc>
        <w:tc>
          <w:tcPr>
            <w:tcW w:w="1780" w:type="dxa"/>
            <w:vAlign w:val="bottom"/>
          </w:tcPr>
          <w:p>
            <w:pPr>
              <w:spacing w:after="0"/>
              <w:rPr>
                <w:sz w:val="15"/>
                <w:szCs w:val="15"/>
                <w:color w:val="auto"/>
              </w:rPr>
            </w:pP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15,688</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15,637</w:t>
            </w:r>
          </w:p>
        </w:tc>
        <w:tc>
          <w:tcPr>
            <w:tcW w:w="0" w:type="dxa"/>
            <w:vAlign w:val="bottom"/>
          </w:tcPr>
          <w:p>
            <w:pPr>
              <w:spacing w:after="0"/>
              <w:rPr>
                <w:sz w:val="1"/>
                <w:szCs w:val="1"/>
                <w:color w:val="auto"/>
              </w:rPr>
            </w:pPr>
          </w:p>
        </w:tc>
      </w:tr>
      <w:tr>
        <w:trPr>
          <w:trHeight w:val="225"/>
        </w:trPr>
        <w:tc>
          <w:tcPr>
            <w:tcW w:w="7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(9,000 million shares authorized, 8,019 million shares issued)</w:t>
            </w:r>
          </w:p>
        </w:tc>
        <w:tc>
          <w:tcPr>
            <w:tcW w:w="17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Earnings reinvested</w:t>
            </w:r>
          </w:p>
        </w:tc>
        <w:tc>
          <w:tcPr>
            <w:tcW w:w="1780" w:type="dxa"/>
            <w:vAlign w:val="bottom"/>
          </w:tcPr>
          <w:p>
            <w:pPr>
              <w:spacing w:after="0"/>
              <w:rPr>
                <w:sz w:val="19"/>
                <w:szCs w:val="19"/>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383,943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421,341</w:t>
            </w:r>
          </w:p>
        </w:tc>
        <w:tc>
          <w:tcPr>
            <w:tcW w:w="0" w:type="dxa"/>
            <w:vAlign w:val="bottom"/>
          </w:tcPr>
          <w:p>
            <w:pPr>
              <w:spacing w:after="0"/>
              <w:rPr>
                <w:sz w:val="1"/>
                <w:szCs w:val="1"/>
                <w:color w:val="auto"/>
              </w:rPr>
            </w:pPr>
          </w:p>
        </w:tc>
      </w:tr>
      <w:tr>
        <w:trPr>
          <w:trHeight w:val="230"/>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780" w:type="dxa"/>
            <w:vAlign w:val="bottom"/>
          </w:tcPr>
          <w:p>
            <w:pPr>
              <w:spacing w:after="0"/>
              <w:rPr>
                <w:sz w:val="19"/>
                <w:szCs w:val="19"/>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(16,705)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(19,493)</w:t>
            </w:r>
          </w:p>
        </w:tc>
        <w:tc>
          <w:tcPr>
            <w:tcW w:w="0" w:type="dxa"/>
            <w:vAlign w:val="bottom"/>
          </w:tcPr>
          <w:p>
            <w:pPr>
              <w:spacing w:after="0"/>
              <w:rPr>
                <w:sz w:val="1"/>
                <w:szCs w:val="1"/>
                <w:color w:val="auto"/>
              </w:rPr>
            </w:pPr>
          </w:p>
        </w:tc>
      </w:tr>
      <w:tr>
        <w:trPr>
          <w:trHeight w:val="180"/>
        </w:trPr>
        <w:tc>
          <w:tcPr>
            <w:tcW w:w="700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Common stock held in treasury</w:t>
            </w:r>
          </w:p>
        </w:tc>
        <w:tc>
          <w:tcPr>
            <w:tcW w:w="1780" w:type="dxa"/>
            <w:vAlign w:val="bottom"/>
          </w:tcPr>
          <w:p>
            <w:pPr>
              <w:spacing w:after="0"/>
              <w:rPr>
                <w:sz w:val="15"/>
                <w:szCs w:val="15"/>
                <w:color w:val="auto"/>
              </w:rPr>
            </w:pPr>
          </w:p>
        </w:tc>
        <w:tc>
          <w:tcPr>
            <w:tcW w:w="130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(225,776)</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(225,835)</w:t>
            </w:r>
          </w:p>
        </w:tc>
        <w:tc>
          <w:tcPr>
            <w:tcW w:w="0" w:type="dxa"/>
            <w:vAlign w:val="bottom"/>
          </w:tcPr>
          <w:p>
            <w:pPr>
              <w:spacing w:after="0"/>
              <w:rPr>
                <w:sz w:val="1"/>
                <w:szCs w:val="1"/>
                <w:color w:val="auto"/>
              </w:rPr>
            </w:pPr>
          </w:p>
        </w:tc>
      </w:tr>
      <w:tr>
        <w:trPr>
          <w:trHeight w:val="235"/>
        </w:trPr>
        <w:tc>
          <w:tcPr>
            <w:tcW w:w="7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(3,786 million shares in 2020 and 3,785 million shares in 2019)</w:t>
            </w:r>
          </w:p>
        </w:tc>
        <w:tc>
          <w:tcPr>
            <w:tcW w:w="1780" w:type="dxa"/>
            <w:vAlign w:val="bottom"/>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ExxonMobil share of equity</w:t>
            </w:r>
          </w:p>
        </w:tc>
        <w:tc>
          <w:tcPr>
            <w:tcW w:w="1780" w:type="dxa"/>
            <w:vAlign w:val="bottom"/>
          </w:tcPr>
          <w:p>
            <w:pPr>
              <w:spacing w:after="0"/>
              <w:rPr>
                <w:sz w:val="18"/>
                <w:szCs w:val="18"/>
                <w:color w:val="auto"/>
              </w:rPr>
            </w:pP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157,150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191,650</w:t>
            </w:r>
          </w:p>
        </w:tc>
        <w:tc>
          <w:tcPr>
            <w:tcW w:w="0" w:type="dxa"/>
            <w:vAlign w:val="bottom"/>
          </w:tcPr>
          <w:p>
            <w:pPr>
              <w:spacing w:after="0"/>
              <w:rPr>
                <w:sz w:val="1"/>
                <w:szCs w:val="1"/>
                <w:color w:val="auto"/>
              </w:rPr>
            </w:pPr>
          </w:p>
        </w:tc>
      </w:tr>
      <w:tr>
        <w:trPr>
          <w:trHeight w:val="234"/>
        </w:trPr>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780" w:type="dxa"/>
            <w:vAlign w:val="bottom"/>
          </w:tcPr>
          <w:p>
            <w:pPr>
              <w:spacing w:after="0"/>
              <w:rPr>
                <w:sz w:val="20"/>
                <w:szCs w:val="20"/>
                <w:color w:val="auto"/>
              </w:rPr>
            </w:pPr>
          </w:p>
        </w:tc>
        <w:tc>
          <w:tcPr>
            <w:tcW w:w="1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6,980</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0" w:type="dxa"/>
            <w:vAlign w:val="bottom"/>
          </w:tcPr>
          <w:p>
            <w:pPr>
              <w:spacing w:after="0"/>
              <w:rPr>
                <w:sz w:val="1"/>
                <w:szCs w:val="1"/>
                <w:color w:val="auto"/>
              </w:rPr>
            </w:pPr>
          </w:p>
        </w:tc>
      </w:tr>
      <w:tr>
        <w:trPr>
          <w:trHeight w:val="223"/>
        </w:trPr>
        <w:tc>
          <w:tcPr>
            <w:tcW w:w="7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1780" w:type="dxa"/>
            <w:vAlign w:val="bottom"/>
          </w:tcPr>
          <w:p>
            <w:pPr>
              <w:spacing w:after="0"/>
              <w:rPr>
                <w:sz w:val="19"/>
                <w:szCs w:val="19"/>
                <w:color w:val="auto"/>
              </w:rPr>
            </w:pPr>
          </w:p>
        </w:tc>
        <w:tc>
          <w:tcPr>
            <w:tcW w:w="1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164,130</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198,938</w:t>
            </w:r>
          </w:p>
        </w:tc>
        <w:tc>
          <w:tcPr>
            <w:tcW w:w="0" w:type="dxa"/>
            <w:vAlign w:val="bottom"/>
          </w:tcPr>
          <w:p>
            <w:pPr>
              <w:spacing w:after="0"/>
              <w:rPr>
                <w:sz w:val="1"/>
                <w:szCs w:val="1"/>
                <w:color w:val="auto"/>
              </w:rPr>
            </w:pPr>
          </w:p>
        </w:tc>
      </w:tr>
      <w:tr>
        <w:trPr>
          <w:trHeight w:val="223"/>
        </w:trPr>
        <w:tc>
          <w:tcPr>
            <w:tcW w:w="7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780" w:type="dxa"/>
            <w:vAlign w:val="bottom"/>
          </w:tcPr>
          <w:p>
            <w:pPr>
              <w:spacing w:after="0"/>
              <w:rPr>
                <w:sz w:val="19"/>
                <w:szCs w:val="19"/>
                <w:color w:val="auto"/>
              </w:rPr>
            </w:pPr>
          </w:p>
        </w:tc>
        <w:tc>
          <w:tcPr>
            <w:tcW w:w="1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332,750</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362,597</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information in the Notes to Consolidated Financial Statements is an integral part of these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72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Note Reference</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56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89"/>
        </w:trPr>
        <w:tc>
          <w:tcPr>
            <w:tcW w:w="3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80" w:type="dxa"/>
            <w:vAlign w:val="bottom"/>
            <w:tcBorders>
              <w:bottom w:val="single" w:sz="8" w:color="auto"/>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60" w:type="dxa"/>
            <w:vAlign w:val="bottom"/>
          </w:tcPr>
          <w:p>
            <w:pPr>
              <w:jc w:val="right"/>
              <w:ind w:right="26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income (loss) including noncontrolling interests</w:t>
            </w:r>
          </w:p>
        </w:tc>
        <w:tc>
          <w:tcPr>
            <w:tcW w:w="1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(23,251)</w:t>
            </w:r>
          </w:p>
        </w:tc>
        <w:tc>
          <w:tcPr>
            <w:tcW w:w="15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14,774</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21,421</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for noncash transactions</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Depreciation and depletion (includes impairments)</w:t>
            </w:r>
          </w:p>
        </w:tc>
        <w:tc>
          <w:tcPr>
            <w:tcW w:w="17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3, 9</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46,009</w:t>
            </w:r>
          </w:p>
        </w:tc>
        <w:tc>
          <w:tcPr>
            <w:tcW w:w="15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18,998</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18,745</w:t>
            </w:r>
          </w:p>
        </w:tc>
        <w:tc>
          <w:tcPr>
            <w:tcW w:w="0" w:type="dxa"/>
            <w:vAlign w:val="bottom"/>
          </w:tcPr>
          <w:p>
            <w:pPr>
              <w:spacing w:after="0"/>
              <w:rPr>
                <w:sz w:val="1"/>
                <w:szCs w:val="1"/>
                <w:color w:val="auto"/>
              </w:rPr>
            </w:pPr>
          </w:p>
        </w:tc>
      </w:tr>
      <w:tr>
        <w:trPr>
          <w:trHeight w:val="216"/>
        </w:trPr>
        <w:tc>
          <w:tcPr>
            <w:tcW w:w="3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income tax charges/(credits)</w:t>
            </w:r>
          </w:p>
        </w:tc>
        <w:tc>
          <w:tcPr>
            <w:tcW w:w="2660" w:type="dxa"/>
            <w:vAlign w:val="bottom"/>
          </w:tcPr>
          <w:p>
            <w:pPr>
              <w:spacing w:after="0"/>
              <w:rPr>
                <w:sz w:val="18"/>
                <w:szCs w:val="18"/>
                <w:color w:val="auto"/>
              </w:rPr>
            </w:pPr>
          </w:p>
        </w:tc>
        <w:tc>
          <w:tcPr>
            <w:tcW w:w="17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99"/>
              </w:rPr>
              <w:t>19</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(8,856)</w:t>
            </w:r>
          </w:p>
        </w:tc>
        <w:tc>
          <w:tcPr>
            <w:tcW w:w="15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(944)</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68"/>
        </w:trPr>
        <w:tc>
          <w:tcPr>
            <w:tcW w:w="3180" w:type="dxa"/>
            <w:vAlign w:val="bottom"/>
          </w:tcPr>
          <w:p>
            <w:pPr>
              <w:ind w:left="480"/>
              <w:spacing w:after="0" w:line="168" w:lineRule="exact"/>
              <w:rPr>
                <w:sz w:val="20"/>
                <w:szCs w:val="20"/>
                <w:color w:val="auto"/>
              </w:rPr>
            </w:pPr>
            <w:r>
              <w:rPr>
                <w:rFonts w:ascii="Times New Roman" w:cs="Times New Roman" w:eastAsia="Times New Roman" w:hAnsi="Times New Roman"/>
                <w:sz w:val="16"/>
                <w:szCs w:val="16"/>
                <w:color w:val="auto"/>
              </w:rPr>
              <w:t>Postretirement benefits expense</w:t>
            </w:r>
          </w:p>
        </w:tc>
        <w:tc>
          <w:tcPr>
            <w:tcW w:w="2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498</w:t>
            </w:r>
          </w:p>
        </w:tc>
        <w:tc>
          <w:tcPr>
            <w:tcW w:w="1560" w:type="dxa"/>
            <w:vAlign w:val="bottom"/>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109</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0" w:type="dxa"/>
            <w:vAlign w:val="bottom"/>
          </w:tcPr>
          <w:p>
            <w:pPr>
              <w:spacing w:after="0"/>
              <w:rPr>
                <w:sz w:val="1"/>
                <w:szCs w:val="1"/>
                <w:color w:val="auto"/>
              </w:rPr>
            </w:pPr>
          </w:p>
        </w:tc>
      </w:tr>
      <w:tr>
        <w:trPr>
          <w:trHeight w:val="210"/>
        </w:trPr>
        <w:tc>
          <w:tcPr>
            <w:tcW w:w="31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in excess of/(less than) net payments</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180" w:type="dxa"/>
            <w:vAlign w:val="bottom"/>
          </w:tcPr>
          <w:p>
            <w:pPr>
              <w:ind w:left="480"/>
              <w:spacing w:after="0" w:line="168" w:lineRule="exact"/>
              <w:rPr>
                <w:sz w:val="20"/>
                <w:szCs w:val="20"/>
                <w:color w:val="auto"/>
              </w:rPr>
            </w:pPr>
            <w:r>
              <w:rPr>
                <w:rFonts w:ascii="Times New Roman" w:cs="Times New Roman" w:eastAsia="Times New Roman" w:hAnsi="Times New Roman"/>
                <w:sz w:val="16"/>
                <w:szCs w:val="16"/>
                <w:color w:val="auto"/>
              </w:rPr>
              <w:t>Other long-term obligation provisions</w:t>
            </w:r>
          </w:p>
        </w:tc>
        <w:tc>
          <w:tcPr>
            <w:tcW w:w="26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1560" w:type="dxa"/>
            <w:vAlign w:val="bottom"/>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(3,038)</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10"/>
        </w:trPr>
        <w:tc>
          <w:tcPr>
            <w:tcW w:w="318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in excess of/(less than) payments</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840" w:type="dxa"/>
            <w:vAlign w:val="bottom"/>
            <w:gridSpan w:val="2"/>
          </w:tcPr>
          <w:p>
            <w:pPr>
              <w:ind w:left="220"/>
              <w:spacing w:after="0" w:line="168" w:lineRule="exact"/>
              <w:rPr>
                <w:sz w:val="20"/>
                <w:szCs w:val="20"/>
                <w:color w:val="auto"/>
              </w:rPr>
            </w:pPr>
            <w:r>
              <w:rPr>
                <w:rFonts w:ascii="Times New Roman" w:cs="Times New Roman" w:eastAsia="Times New Roman" w:hAnsi="Times New Roman"/>
                <w:sz w:val="16"/>
                <w:szCs w:val="16"/>
                <w:color w:val="auto"/>
              </w:rPr>
              <w:t>Dividends received greater than/(less than) equity in current</w:t>
            </w:r>
          </w:p>
        </w:tc>
        <w:tc>
          <w:tcPr>
            <w:tcW w:w="1720" w:type="dxa"/>
            <w:vAlign w:val="bottom"/>
          </w:tcPr>
          <w:p>
            <w:pPr>
              <w:spacing w:after="0"/>
              <w:rPr>
                <w:sz w:val="14"/>
                <w:szCs w:val="14"/>
                <w:color w:val="auto"/>
              </w:rPr>
            </w:pPr>
          </w:p>
        </w:tc>
        <w:tc>
          <w:tcPr>
            <w:tcW w:w="1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979</w:t>
            </w:r>
          </w:p>
        </w:tc>
        <w:tc>
          <w:tcPr>
            <w:tcW w:w="1560" w:type="dxa"/>
            <w:vAlign w:val="bottom"/>
            <w:vMerge w:val="restart"/>
          </w:tcPr>
          <w:p>
            <w:pPr>
              <w:jc w:val="right"/>
              <w:ind w:right="280"/>
              <w:spacing w:after="0"/>
              <w:rPr>
                <w:sz w:val="20"/>
                <w:szCs w:val="20"/>
                <w:color w:val="auto"/>
              </w:rPr>
            </w:pPr>
            <w:r>
              <w:rPr>
                <w:rFonts w:ascii="Times New Roman" w:cs="Times New Roman" w:eastAsia="Times New Roman" w:hAnsi="Times New Roman"/>
                <w:sz w:val="16"/>
                <w:szCs w:val="16"/>
                <w:color w:val="auto"/>
              </w:rPr>
              <w:t>(936)</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0" w:type="dxa"/>
            <w:vAlign w:val="bottom"/>
          </w:tcPr>
          <w:p>
            <w:pPr>
              <w:spacing w:after="0"/>
              <w:rPr>
                <w:sz w:val="1"/>
                <w:szCs w:val="1"/>
                <w:color w:val="auto"/>
              </w:rPr>
            </w:pPr>
          </w:p>
        </w:tc>
      </w:tr>
      <w:tr>
        <w:trPr>
          <w:trHeight w:val="210"/>
        </w:trPr>
        <w:tc>
          <w:tcPr>
            <w:tcW w:w="318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earnings of equity companies</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Changes in operational working capital, excluding cash and debt</w:t>
            </w:r>
          </w:p>
        </w:tc>
        <w:tc>
          <w:tcPr>
            <w:tcW w:w="1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Reduction/(increase)</w:t>
            </w:r>
          </w:p>
        </w:tc>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 Notes and accounts receivable</w:t>
            </w:r>
          </w:p>
        </w:tc>
        <w:tc>
          <w:tcPr>
            <w:tcW w:w="17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5,384</w:t>
            </w:r>
          </w:p>
        </w:tc>
        <w:tc>
          <w:tcPr>
            <w:tcW w:w="15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(2,640)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 Inventories</w:t>
            </w:r>
          </w:p>
        </w:tc>
        <w:tc>
          <w:tcPr>
            <w:tcW w:w="1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5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72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 Other current assets</w:t>
            </w:r>
          </w:p>
        </w:tc>
        <w:tc>
          <w:tcPr>
            <w:tcW w:w="17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420</w:t>
            </w:r>
          </w:p>
        </w:tc>
        <w:tc>
          <w:tcPr>
            <w:tcW w:w="15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(234)</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6"/>
        </w:trPr>
        <w:tc>
          <w:tcPr>
            <w:tcW w:w="3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Increase/(reduction)</w:t>
            </w:r>
          </w:p>
        </w:tc>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 Accounts and other payables</w:t>
            </w:r>
          </w:p>
        </w:tc>
        <w:tc>
          <w:tcPr>
            <w:tcW w:w="1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(7,142)</w:t>
            </w:r>
          </w:p>
        </w:tc>
        <w:tc>
          <w:tcPr>
            <w:tcW w:w="15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3,725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(gain)/loss on asset sales</w:t>
            </w:r>
          </w:p>
        </w:tc>
        <w:tc>
          <w:tcPr>
            <w:tcW w:w="2660" w:type="dxa"/>
            <w:vAlign w:val="bottom"/>
          </w:tcPr>
          <w:p>
            <w:pPr>
              <w:spacing w:after="0"/>
              <w:rPr>
                <w:sz w:val="18"/>
                <w:szCs w:val="18"/>
                <w:color w:val="auto"/>
              </w:rPr>
            </w:pPr>
          </w:p>
        </w:tc>
        <w:tc>
          <w:tcPr>
            <w:tcW w:w="17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85"/>
              </w:rPr>
              <w:t>5</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15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(1,710)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(1,993)</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All other items - net</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2,207</w:t>
            </w:r>
          </w:p>
        </w:tc>
        <w:tc>
          <w:tcPr>
            <w:tcW w:w="15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1,540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0"/>
        </w:trPr>
        <w:tc>
          <w:tcPr>
            <w:tcW w:w="31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14,668</w:t>
            </w:r>
          </w:p>
        </w:tc>
        <w:tc>
          <w:tcPr>
            <w:tcW w:w="15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29,716</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36,014</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(17,282)</w:t>
            </w:r>
          </w:p>
        </w:tc>
        <w:tc>
          <w:tcPr>
            <w:tcW w:w="15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(24,361)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(19,574)</w:t>
            </w:r>
          </w:p>
        </w:tc>
        <w:tc>
          <w:tcPr>
            <w:tcW w:w="0" w:type="dxa"/>
            <w:vAlign w:val="bottom"/>
          </w:tcPr>
          <w:p>
            <w:pPr>
              <w:spacing w:after="0"/>
              <w:rPr>
                <w:sz w:val="1"/>
                <w:szCs w:val="1"/>
                <w:color w:val="auto"/>
              </w:rPr>
            </w:pPr>
          </w:p>
        </w:tc>
      </w:tr>
      <w:tr>
        <w:trPr>
          <w:trHeight w:val="168"/>
        </w:trPr>
        <w:tc>
          <w:tcPr>
            <w:tcW w:w="5840" w:type="dxa"/>
            <w:vAlign w:val="bottom"/>
            <w:gridSpan w:val="2"/>
          </w:tcPr>
          <w:p>
            <w:pPr>
              <w:ind w:left="220"/>
              <w:spacing w:after="0" w:line="168" w:lineRule="exact"/>
              <w:rPr>
                <w:sz w:val="20"/>
                <w:szCs w:val="20"/>
                <w:color w:val="auto"/>
              </w:rPr>
            </w:pPr>
            <w:r>
              <w:rPr>
                <w:rFonts w:ascii="Times New Roman" w:cs="Times New Roman" w:eastAsia="Times New Roman" w:hAnsi="Times New Roman"/>
                <w:sz w:val="16"/>
                <w:szCs w:val="16"/>
                <w:color w:val="auto"/>
              </w:rPr>
              <w:t>Proceeds associated with sales of subsidiaries, property, plant</w:t>
            </w:r>
          </w:p>
        </w:tc>
        <w:tc>
          <w:tcPr>
            <w:tcW w:w="1720" w:type="dxa"/>
            <w:vAlign w:val="bottom"/>
          </w:tcPr>
          <w:p>
            <w:pPr>
              <w:spacing w:after="0"/>
              <w:rPr>
                <w:sz w:val="14"/>
                <w:szCs w:val="14"/>
                <w:color w:val="auto"/>
              </w:rPr>
            </w:pPr>
          </w:p>
        </w:tc>
        <w:tc>
          <w:tcPr>
            <w:tcW w:w="1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999</w:t>
            </w:r>
          </w:p>
        </w:tc>
        <w:tc>
          <w:tcPr>
            <w:tcW w:w="1560" w:type="dxa"/>
            <w:vAlign w:val="bottom"/>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3,692</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4,123</w:t>
            </w:r>
          </w:p>
        </w:tc>
        <w:tc>
          <w:tcPr>
            <w:tcW w:w="0" w:type="dxa"/>
            <w:vAlign w:val="bottom"/>
          </w:tcPr>
          <w:p>
            <w:pPr>
              <w:spacing w:after="0"/>
              <w:rPr>
                <w:sz w:val="1"/>
                <w:szCs w:val="1"/>
                <w:color w:val="auto"/>
              </w:rPr>
            </w:pPr>
          </w:p>
        </w:tc>
      </w:tr>
      <w:tr>
        <w:trPr>
          <w:trHeight w:val="210"/>
        </w:trPr>
        <w:tc>
          <w:tcPr>
            <w:tcW w:w="58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and equipment, and sales and returns of investments</w:t>
            </w:r>
          </w:p>
        </w:tc>
        <w:tc>
          <w:tcPr>
            <w:tcW w:w="17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investments and advances</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(4,857)</w:t>
            </w:r>
          </w:p>
        </w:tc>
        <w:tc>
          <w:tcPr>
            <w:tcW w:w="15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(3,905)</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0" w:type="dxa"/>
            <w:vAlign w:val="bottom"/>
          </w:tcPr>
          <w:p>
            <w:pPr>
              <w:spacing w:after="0"/>
              <w:rPr>
                <w:sz w:val="1"/>
                <w:szCs w:val="1"/>
                <w:color w:val="auto"/>
              </w:rPr>
            </w:pPr>
          </w:p>
        </w:tc>
      </w:tr>
      <w:tr>
        <w:trPr>
          <w:trHeight w:val="216"/>
        </w:trPr>
        <w:tc>
          <w:tcPr>
            <w:tcW w:w="58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investing activities including collection of advances</w:t>
            </w:r>
          </w:p>
        </w:tc>
        <w:tc>
          <w:tcPr>
            <w:tcW w:w="172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2,681</w:t>
            </w:r>
          </w:p>
        </w:tc>
        <w:tc>
          <w:tcPr>
            <w:tcW w:w="15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1,490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0" w:type="dxa"/>
            <w:vAlign w:val="bottom"/>
          </w:tcPr>
          <w:p>
            <w:pPr>
              <w:spacing w:after="0"/>
              <w:rPr>
                <w:sz w:val="1"/>
                <w:szCs w:val="1"/>
                <w:color w:val="auto"/>
              </w:rPr>
            </w:pPr>
          </w:p>
        </w:tc>
      </w:tr>
      <w:tr>
        <w:trPr>
          <w:trHeight w:val="210"/>
        </w:trPr>
        <w:tc>
          <w:tcPr>
            <w:tcW w:w="31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(18,459)</w:t>
            </w:r>
          </w:p>
        </w:tc>
        <w:tc>
          <w:tcPr>
            <w:tcW w:w="15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(23,084)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(16,446)</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Additions to long-term debt</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23,186</w:t>
            </w:r>
          </w:p>
        </w:tc>
        <w:tc>
          <w:tcPr>
            <w:tcW w:w="15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7,052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Reductions in long-term debt</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5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Reductions in short-term debt</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15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(4,043)</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(4,752)</w:t>
            </w:r>
          </w:p>
        </w:tc>
        <w:tc>
          <w:tcPr>
            <w:tcW w:w="0" w:type="dxa"/>
            <w:vAlign w:val="bottom"/>
          </w:tcPr>
          <w:p>
            <w:pPr>
              <w:spacing w:after="0"/>
              <w:rPr>
                <w:sz w:val="1"/>
                <w:szCs w:val="1"/>
                <w:color w:val="auto"/>
              </w:rPr>
            </w:pPr>
          </w:p>
        </w:tc>
      </w:tr>
      <w:tr>
        <w:trPr>
          <w:trHeight w:val="168"/>
        </w:trPr>
        <w:tc>
          <w:tcPr>
            <w:tcW w:w="5840" w:type="dxa"/>
            <w:vAlign w:val="bottom"/>
            <w:gridSpan w:val="2"/>
          </w:tcPr>
          <w:p>
            <w:pPr>
              <w:ind w:left="220"/>
              <w:spacing w:after="0" w:line="168" w:lineRule="exact"/>
              <w:rPr>
                <w:sz w:val="20"/>
                <w:szCs w:val="20"/>
                <w:color w:val="auto"/>
              </w:rPr>
            </w:pPr>
            <w:r>
              <w:rPr>
                <w:rFonts w:ascii="Times New Roman" w:cs="Times New Roman" w:eastAsia="Times New Roman" w:hAnsi="Times New Roman"/>
                <w:sz w:val="16"/>
                <w:szCs w:val="16"/>
                <w:color w:val="auto"/>
              </w:rPr>
              <w:t>Additions/(reductions) in commercial paper, and debt with</w:t>
            </w:r>
          </w:p>
        </w:tc>
        <w:tc>
          <w:tcPr>
            <w:tcW w:w="17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1560" w:type="dxa"/>
            <w:vAlign w:val="bottom"/>
            <w:vMerge w:val="restart"/>
          </w:tcPr>
          <w:p>
            <w:pPr>
              <w:jc w:val="right"/>
              <w:ind w:right="320"/>
              <w:spacing w:after="0"/>
              <w:rPr>
                <w:sz w:val="20"/>
                <w:szCs w:val="20"/>
                <w:color w:val="auto"/>
              </w:rPr>
            </w:pPr>
            <w:r>
              <w:rPr>
                <w:rFonts w:ascii="Times New Roman" w:cs="Times New Roman" w:eastAsia="Times New Roman" w:hAnsi="Times New Roman"/>
                <w:sz w:val="16"/>
                <w:szCs w:val="16"/>
                <w:color w:val="auto"/>
              </w:rPr>
              <w:t>5,654</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10"/>
        </w:trPr>
        <w:tc>
          <w:tcPr>
            <w:tcW w:w="3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three months or less maturity</w:t>
            </w:r>
          </w:p>
        </w:tc>
        <w:tc>
          <w:tcPr>
            <w:tcW w:w="2660" w:type="dxa"/>
            <w:vAlign w:val="bottom"/>
          </w:tcPr>
          <w:p>
            <w:pPr>
              <w:spacing w:after="0"/>
              <w:rPr>
                <w:sz w:val="18"/>
                <w:szCs w:val="18"/>
                <w:color w:val="auto"/>
              </w:rPr>
            </w:pPr>
          </w:p>
        </w:tc>
        <w:tc>
          <w:tcPr>
            <w:tcW w:w="17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w w:val="85"/>
              </w:rPr>
              <w:t>5</w:t>
            </w:r>
          </w:p>
        </w:tc>
        <w:tc>
          <w:tcPr>
            <w:tcW w:w="1180" w:type="dxa"/>
            <w:vAlign w:val="bottom"/>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Contingent consideration payments</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5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dividends to ExxonMobil shareholders</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(14,865)</w:t>
            </w:r>
          </w:p>
        </w:tc>
        <w:tc>
          <w:tcPr>
            <w:tcW w:w="15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(14,652)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(13,798)</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dividends to noncontrolling interests</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5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(192)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noncontrolling interests</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623</w:t>
            </w:r>
          </w:p>
        </w:tc>
        <w:tc>
          <w:tcPr>
            <w:tcW w:w="15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158</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acquired</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5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(594)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210"/>
        </w:trPr>
        <w:tc>
          <w:tcPr>
            <w:tcW w:w="58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72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5,285</w:t>
            </w:r>
          </w:p>
        </w:tc>
        <w:tc>
          <w:tcPr>
            <w:tcW w:w="15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(6,618)</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(19,446)</w:t>
            </w:r>
          </w:p>
        </w:tc>
        <w:tc>
          <w:tcPr>
            <w:tcW w:w="0" w:type="dxa"/>
            <w:vAlign w:val="bottom"/>
          </w:tcPr>
          <w:p>
            <w:pPr>
              <w:spacing w:after="0"/>
              <w:rPr>
                <w:sz w:val="1"/>
                <w:szCs w:val="1"/>
                <w:color w:val="auto"/>
              </w:rPr>
            </w:pPr>
          </w:p>
        </w:tc>
      </w:tr>
      <w:tr>
        <w:trPr>
          <w:trHeight w:val="209"/>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5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33</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10"/>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Increase/(decrease) in cash and cash equivalents</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1,275</w:t>
            </w:r>
          </w:p>
        </w:tc>
        <w:tc>
          <w:tcPr>
            <w:tcW w:w="156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47</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3,089</w:t>
            </w:r>
          </w:p>
        </w:tc>
        <w:tc>
          <w:tcPr>
            <w:tcW w:w="15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3,042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3,177</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year</w:t>
            </w:r>
          </w:p>
        </w:tc>
        <w:tc>
          <w:tcPr>
            <w:tcW w:w="26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4,364</w:t>
            </w:r>
          </w:p>
        </w:tc>
        <w:tc>
          <w:tcPr>
            <w:tcW w:w="15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3,089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3,042</w:t>
            </w: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information in the Notes to Consolidated Financial Statements is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3"/>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ExxonMobil Share of Equity</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63"/>
        </w:trPr>
        <w:tc>
          <w:tcPr>
            <w:tcW w:w="3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ExxonMobil</w:t>
            </w: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Held in</w:t>
            </w:r>
          </w:p>
        </w:tc>
        <w:tc>
          <w:tcPr>
            <w:tcW w:w="240" w:type="dxa"/>
            <w:vAlign w:val="bottom"/>
          </w:tcPr>
          <w:p>
            <w:pPr>
              <w:spacing w:after="0"/>
              <w:rPr>
                <w:sz w:val="14"/>
                <w:szCs w:val="14"/>
                <w:color w:val="auto"/>
              </w:rPr>
            </w:pPr>
          </w:p>
        </w:tc>
        <w:tc>
          <w:tcPr>
            <w:tcW w:w="8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Share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3200" w:type="dxa"/>
            <w:vAlign w:val="bottom"/>
          </w:tcPr>
          <w:p>
            <w:pPr>
              <w:spacing w:after="0"/>
              <w:rPr>
                <w:sz w:val="16"/>
                <w:szCs w:val="16"/>
                <w:color w:val="auto"/>
              </w:rPr>
            </w:pPr>
          </w:p>
        </w:tc>
        <w:tc>
          <w:tcPr>
            <w:tcW w:w="11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Reinvested</w:t>
            </w:r>
          </w:p>
        </w:tc>
        <w:tc>
          <w:tcPr>
            <w:tcW w:w="13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40" w:type="dxa"/>
            <w:vAlign w:val="bottom"/>
          </w:tcPr>
          <w:p>
            <w:pPr>
              <w:spacing w:after="0"/>
              <w:rPr>
                <w:sz w:val="16"/>
                <w:szCs w:val="16"/>
                <w:color w:val="auto"/>
              </w:rPr>
            </w:pPr>
          </w:p>
        </w:tc>
        <w:tc>
          <w:tcPr>
            <w:tcW w:w="8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9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Equity</w:t>
            </w:r>
          </w:p>
        </w:tc>
      </w:tr>
      <w:tr>
        <w:trPr>
          <w:trHeight w:val="23"/>
        </w:trPr>
        <w:tc>
          <w:tcPr>
            <w:tcW w:w="3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3"/>
        </w:trPr>
        <w:tc>
          <w:tcPr>
            <w:tcW w:w="3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8"/>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2017</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14,656</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414,540</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(16,262)</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(225,246)</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187,688</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6,812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194,500</w:t>
            </w:r>
          </w:p>
        </w:tc>
      </w:tr>
      <w:tr>
        <w:trPr>
          <w:trHeight w:val="189"/>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stock-based awards</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758</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w:t>
            </w:r>
          </w:p>
        </w:tc>
      </w:tr>
      <w:tr>
        <w:trPr>
          <w:trHeight w:val="189"/>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(156)</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436</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189"/>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(loss) for the year</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20,840</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20,840</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581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21,421</w:t>
            </w:r>
          </w:p>
        </w:tc>
      </w:tr>
      <w:tr>
        <w:trPr>
          <w:trHeight w:val="189"/>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 - common shares</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(13,798)</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(13,798)</w:t>
            </w: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(243)</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(14,041)</w:t>
            </w:r>
          </w:p>
        </w:tc>
      </w:tr>
      <w:tr>
        <w:trPr>
          <w:trHeight w:val="189"/>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Cumulative effect of accounting change</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9"/>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(3,263)</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(3,263)</w:t>
            </w: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(407)</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(3,670)</w:t>
            </w:r>
          </w:p>
        </w:tc>
      </w:tr>
      <w:tr>
        <w:trPr>
          <w:trHeight w:val="189"/>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Acquisitions, at cost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(626)</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(460)</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w:t>
            </w:r>
          </w:p>
        </w:tc>
      </w:tr>
      <w:tr>
        <w:trPr>
          <w:trHeight w:val="193"/>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Dispositions</w:t>
            </w: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319</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w:t>
            </w:r>
          </w:p>
        </w:tc>
      </w:tr>
      <w:tr>
        <w:trPr>
          <w:trHeight w:val="18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2018</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15,258</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421,653</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(19,564)</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(225,553)</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191,794</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6,734</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198,528</w:t>
            </w:r>
          </w:p>
        </w:tc>
      </w:tr>
      <w:tr>
        <w:trPr>
          <w:trHeight w:val="188"/>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stock-based awards</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697</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w:t>
            </w:r>
          </w:p>
        </w:tc>
      </w:tr>
      <w:tr>
        <w:trPr>
          <w:trHeight w:val="189"/>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(318)</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489</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189"/>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(loss) for the year</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14,340</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14,340</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434</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14,774</w:t>
            </w:r>
          </w:p>
        </w:tc>
      </w:tr>
      <w:tr>
        <w:trPr>
          <w:trHeight w:val="189"/>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 - common shares</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(14,652)</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(14,652)</w:t>
            </w: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(14,844)</w:t>
            </w:r>
          </w:p>
        </w:tc>
      </w:tr>
      <w:tr>
        <w:trPr>
          <w:trHeight w:val="189"/>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154</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r>
      <w:tr>
        <w:trPr>
          <w:trHeight w:val="189"/>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Acquisitions, at cost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(594)</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(331)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w:t>
            </w:r>
          </w:p>
        </w:tc>
      </w:tr>
      <w:tr>
        <w:trPr>
          <w:trHeight w:val="193"/>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Dispositions</w:t>
            </w: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312</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w:t>
            </w:r>
          </w:p>
        </w:tc>
      </w:tr>
      <w:tr>
        <w:trPr>
          <w:trHeight w:val="18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2019</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15,637</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421,341</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(19,493)</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(225,835)</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191,650</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7,288</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198,938</w:t>
            </w:r>
          </w:p>
        </w:tc>
      </w:tr>
      <w:tr>
        <w:trPr>
          <w:trHeight w:val="188"/>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stock-based awards</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696</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r>
      <w:tr>
        <w:trPr>
          <w:trHeight w:val="189"/>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(645)</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692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9"/>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(loss) for the year</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(22,440)</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(22,440)</w:t>
            </w: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(811)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(23,251)</w:t>
            </w:r>
          </w:p>
        </w:tc>
      </w:tr>
      <w:tr>
        <w:trPr>
          <w:trHeight w:val="189"/>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 - common shares</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(14,865)</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(14,865)</w:t>
            </w: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(188)</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(15,053)</w:t>
            </w:r>
          </w:p>
        </w:tc>
      </w:tr>
      <w:tr>
        <w:trPr>
          <w:trHeight w:val="189"/>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Cumulative effect of accounting change</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89"/>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1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68</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2,856</w:t>
            </w:r>
          </w:p>
        </w:tc>
      </w:tr>
      <w:tr>
        <w:trPr>
          <w:trHeight w:val="189"/>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Acquisitions, at cost</w:t>
            </w:r>
          </w:p>
        </w:tc>
        <w:tc>
          <w:tcPr>
            <w:tcW w:w="11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(405)</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(68)</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w:t>
            </w:r>
          </w:p>
        </w:tc>
      </w:tr>
      <w:tr>
        <w:trPr>
          <w:trHeight w:val="192"/>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Dispositions</w:t>
            </w: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464</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w:t>
            </w:r>
          </w:p>
        </w:tc>
      </w:tr>
      <w:tr>
        <w:trPr>
          <w:trHeight w:val="189"/>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2020</w:t>
            </w:r>
          </w:p>
        </w:tc>
        <w:tc>
          <w:tcPr>
            <w:tcW w:w="11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15,688</w:t>
            </w: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383,943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(16,705)</w:t>
            </w: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(225,776)</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157,150</w:t>
            </w:r>
          </w:p>
        </w:tc>
        <w:tc>
          <w:tcPr>
            <w:tcW w:w="13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6,980</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164,130</w:t>
            </w:r>
          </w:p>
        </w:tc>
      </w:tr>
      <w:tr>
        <w:trPr>
          <w:trHeight w:val="496"/>
        </w:trPr>
        <w:tc>
          <w:tcPr>
            <w:tcW w:w="3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2"/>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Held in</w:t>
            </w:r>
          </w:p>
        </w:tc>
        <w:tc>
          <w:tcPr>
            <w:tcW w:w="960" w:type="dxa"/>
            <w:vAlign w:val="bottom"/>
          </w:tcPr>
          <w:p>
            <w:pPr>
              <w:spacing w:after="0"/>
              <w:rPr>
                <w:sz w:val="24"/>
                <w:szCs w:val="24"/>
                <w:color w:val="auto"/>
              </w:rPr>
            </w:pPr>
          </w:p>
        </w:tc>
      </w:tr>
      <w:tr>
        <w:trPr>
          <w:trHeight w:val="209"/>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 Share Activity</w:t>
            </w:r>
          </w:p>
        </w:tc>
        <w:tc>
          <w:tcPr>
            <w:tcW w:w="1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2"/>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178"/>
        </w:trPr>
        <w:tc>
          <w:tcPr>
            <w:tcW w:w="3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2"/>
          </w:tcPr>
          <w:p>
            <w:pPr>
              <w:jc w:val="center"/>
              <w:ind w:right="428"/>
              <w:spacing w:after="0"/>
              <w:rPr>
                <w:sz w:val="20"/>
                <w:szCs w:val="20"/>
                <w:color w:val="auto"/>
              </w:rPr>
            </w:pPr>
            <w:r>
              <w:rPr>
                <w:rFonts w:ascii="Times New Roman" w:cs="Times New Roman" w:eastAsia="Times New Roman" w:hAnsi="Times New Roman"/>
                <w:sz w:val="14"/>
                <w:szCs w:val="14"/>
                <w:i w:val="1"/>
                <w:iCs w:val="1"/>
                <w:color w:val="auto"/>
              </w:rPr>
              <w:t>(millions of shares)</w:t>
            </w:r>
          </w:p>
        </w:tc>
        <w:tc>
          <w:tcPr>
            <w:tcW w:w="960" w:type="dxa"/>
            <w:vAlign w:val="bottom"/>
          </w:tcPr>
          <w:p>
            <w:pPr>
              <w:spacing w:after="0"/>
              <w:rPr>
                <w:sz w:val="15"/>
                <w:szCs w:val="15"/>
                <w:color w:val="auto"/>
              </w:rPr>
            </w:pPr>
          </w:p>
        </w:tc>
      </w:tr>
      <w:tr>
        <w:trPr>
          <w:trHeight w:val="188"/>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2017</w:t>
            </w: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8,019</w:t>
            </w:r>
          </w:p>
        </w:tc>
        <w:tc>
          <w:tcPr>
            <w:tcW w:w="820" w:type="dxa"/>
            <w:vAlign w:val="bottom"/>
          </w:tcPr>
          <w:p>
            <w:pPr>
              <w:spacing w:after="0"/>
              <w:rPr>
                <w:sz w:val="16"/>
                <w:szCs w:val="16"/>
                <w:color w:val="auto"/>
              </w:rPr>
            </w:pPr>
          </w:p>
        </w:tc>
        <w:tc>
          <w:tcPr>
            <w:tcW w:w="13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(3,780)</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4,239</w:t>
            </w:r>
          </w:p>
        </w:tc>
      </w:tr>
      <w:tr>
        <w:trPr>
          <w:trHeight w:val="189"/>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Acquisitions</w:t>
            </w: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13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(8)</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3"/>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Dispositions</w:t>
            </w: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2018</w:t>
            </w: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8,019</w:t>
            </w:r>
          </w:p>
        </w:tc>
        <w:tc>
          <w:tcPr>
            <w:tcW w:w="820" w:type="dxa"/>
            <w:vAlign w:val="bottom"/>
          </w:tcPr>
          <w:p>
            <w:pPr>
              <w:spacing w:after="0"/>
              <w:rPr>
                <w:sz w:val="15"/>
                <w:szCs w:val="15"/>
                <w:color w:val="auto"/>
              </w:rPr>
            </w:pPr>
          </w:p>
        </w:tc>
        <w:tc>
          <w:tcPr>
            <w:tcW w:w="13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(3,782)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4,237</w:t>
            </w:r>
          </w:p>
        </w:tc>
      </w:tr>
      <w:tr>
        <w:trPr>
          <w:trHeight w:val="188"/>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Acquisitions</w:t>
            </w: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13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(8)</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3"/>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Dispositions</w:t>
            </w: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2019</w:t>
            </w: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8,019</w:t>
            </w:r>
          </w:p>
        </w:tc>
        <w:tc>
          <w:tcPr>
            <w:tcW w:w="820" w:type="dxa"/>
            <w:vAlign w:val="bottom"/>
          </w:tcPr>
          <w:p>
            <w:pPr>
              <w:spacing w:after="0"/>
              <w:rPr>
                <w:sz w:val="15"/>
                <w:szCs w:val="15"/>
                <w:color w:val="auto"/>
              </w:rPr>
            </w:pPr>
          </w:p>
        </w:tc>
        <w:tc>
          <w:tcPr>
            <w:tcW w:w="13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(3,785)</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4,234</w:t>
            </w:r>
          </w:p>
        </w:tc>
      </w:tr>
      <w:tr>
        <w:trPr>
          <w:trHeight w:val="188"/>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Acquisitions</w:t>
            </w: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6"/>
                <w:szCs w:val="16"/>
                <w:color w:val="auto"/>
              </w:rPr>
            </w:pPr>
          </w:p>
        </w:tc>
        <w:tc>
          <w:tcPr>
            <w:tcW w:w="136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(8)</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3"/>
        </w:trPr>
        <w:tc>
          <w:tcPr>
            <w:tcW w:w="32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Dispositions</w:t>
            </w: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9"/>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2020</w:t>
            </w:r>
          </w:p>
        </w:tc>
        <w:tc>
          <w:tcPr>
            <w:tcW w:w="1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8,019</w:t>
            </w: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(3,786)</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4,233</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information in the Notes to Consolidated Financial Statements is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and the supporting and supplemental material are the responsibility of the management of Exxon Mobil Corporation.</w:t>
      </w:r>
    </w:p>
    <w:p>
      <w:pPr>
        <w:spacing w:after="0" w:line="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Corporation’s principal business involves exploration for, and production of, crude oil and natural gas and manufacture, trade, transport and sale of crude oil, natural gas, petroleum products, petrochemicals and a wide variety of specialty products.</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that affect the reported amounts of assets, liabilities, revenues and expenses and the disclosure of contingent assets and liabilities. Actual results could differ from these estimates. Prior years’ data has been reclassified in certain cases to conform to the 2020 presentation basis.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Accounting for Investments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subsidiaries the Corporation controls. They also include the Corporation’s share of the undivided interest in certain upstream assets, liabilities, revenues and expenses. Amounts representing the Corporation’s interest in entities that it does not control, but over which it exercises significant influence, are included in “Investments, advances and long-term receivables”. The Corporation’s share of the net income of these companies is included in the Consolidated Statement of Income caption “Income from equity affiliates”.</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Majority ownership is normally the indicator of control that is the basis on which subsidiaries are consolidated. However, certain factors may indicate that a majority-owned investment is not controlled and therefore should be accounted for using the equity method of accounting. These factors occur where the minority shareholders are granted by law or by contract substantive participating rights. These include the right to approve operating policies, expense budgets, financing and investment plans, and management compensation and succession plans.</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Evidence of loss in value that might indicate impairment of investments in companies accounted for on the equity method is assessed to determine if such evidence represents a loss in value that is other than temporary. Examples of key indicators include a history of operating losses, negative earnings and cash flow outlook, significant downward revisions to oil and gas reserves, and the financial condition and prospects for the investee’s business segment or geographic region. If evidence of an other than temporary loss in fair value below carrying amount is determined, an impairment is recognized. In the absence of market prices for the investment, discounted cash flows are used to assess fair value.</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in equity securities other than consolidated subsidiaries and equity method investments are measured at fair value with changes in fair value recognized in net income. The Corporation uses the modified approach for equity securities that do not have a readily determinable fair value. This modified approach measures investments at cost minus impairment, if any, plus or minus changes resulting from observable price changes in orderly transactions in a similar investment of the same issuer.</w:t>
      </w:r>
    </w:p>
    <w:p>
      <w:pPr>
        <w:spacing w:after="0" w:line="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Corporation’s share of the cumulative foreign exchange translation adjustment for equity method investments is reported in “Accumulated other comprehensive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Corporation generally sells crude oil, natural gas and petroleum and chemical products under short-term agreements at prevailing market prices. In some cases (e.g., natural gas), products may be sold under long-term agreements, with periodic price adjustments to reflect market conditions. Revenue is recognized at the amount the Corporation expects to receive when the customer has taken control, which is typically when title transfers and the customer has assumed the risks and rewards of ownership. The prices of certain sales are based on price indices that are sometimes not available until the next period. In such cases, estimated realizations are accrued when the sale is recognized, and are finalized when the price is available. Such adjustments to revenue from performance obligations satisfied in previous periods are not significant. Payment for revenue transactions is typically due within 30 days. Future volume delivery obligations that are unsatisfied at the end of the period are expected to be fulfilled through ordinary production or purchases. These performance obligations are based on market prices at the time of the transaction and are fully constrained due to market price volatility.</w:t>
      </w:r>
    </w:p>
    <w:p>
      <w:pPr>
        <w:spacing w:after="0" w:line="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and sales of inventory with the same counterparty that are entered into in contemplation of one another are combined and recorded as exchanges measured at the book value of the item sold.</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other operating revenue” and “Notes and accounts receivable” primarily arise from contracts with customers. Long-term receivables are primarily from non-customers. Contract assets are mainly from marketing assistance programs and are not significant. Contract liabilities are mainly customer prepayments and accruals of expected volume discounts and are not significant.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and Other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excludes from the Consolidated Statement of Income certain sales and value-added taxes imposed on and concurrent with revenue-producing transactions with customers and collected on behalf of governmental authorities. Similar taxes, for which the Corporation is not considered to be an agent for the government, are reported on a gross basis (included in both “Sales and other operating revenue” and “Other taxes and duties”).</w:t>
      </w:r>
    </w:p>
    <w:p>
      <w:pPr>
        <w:spacing w:after="0" w:line="54" w:lineRule="exact"/>
        <w:rPr>
          <w:sz w:val="20"/>
          <w:szCs w:val="20"/>
          <w:color w:val="auto"/>
        </w:rPr>
      </w:pPr>
    </w:p>
    <w:p>
      <w:pPr>
        <w:ind w:right="1160"/>
        <w:spacing w:after="0" w:line="414" w:lineRule="auto"/>
        <w:rPr>
          <w:sz w:val="20"/>
          <w:szCs w:val="20"/>
          <w:color w:val="auto"/>
        </w:rPr>
      </w:pPr>
      <w:r>
        <w:rPr>
          <w:rFonts w:ascii="Times New Roman" w:cs="Times New Roman" w:eastAsia="Times New Roman" w:hAnsi="Times New Roman"/>
          <w:sz w:val="18"/>
          <w:szCs w:val="18"/>
          <w:color w:val="auto"/>
        </w:rPr>
        <w:t xml:space="preserve">The Corporation accounts for U.S. tax on global intangible low-taxed income as an income tax expense in the period in which it is incurred. </w:t>
      </w:r>
      <w:r>
        <w:rPr>
          <w:rFonts w:ascii="Times New Roman" w:cs="Times New Roman" w:eastAsia="Times New Roman" w:hAnsi="Times New Roman"/>
          <w:sz w:val="18"/>
          <w:szCs w:val="18"/>
          <w:b w:val="1"/>
          <w:bCs w:val="1"/>
          <w:color w:val="auto"/>
        </w:rPr>
        <w:t>Derivative Instruments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Corporation may use derivative instruments for trading purposes and to offset exposures associated with commodity prices, foreign currency exchange rates and interest rates that arise from existing assets, liabilities, firm commitments and forecasted transactions. All derivative instruments, except those designated as normal purchase and normal sale, are recorded at fair value. Derivative assets and liabilities with the same counterparty are netted if the right of offset exists and certain other criteria are met. Collateral payables or receivables are netted against derivative assets and derivative liabilities, respectively.</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Recognition and classification of the gain or loss that results from adjusting a derivative to fair value depends on the purpose for the derivative. All gains and losses from derivative instruments for which the Corporation does not apply hedge accounting are immediately recognized in earnings. The Corporation may designate derivatives as fair value or cash flow hedges. For fair value hedges, the gain or loss from derivative instruments and the offsetting gain or loss from the hedged item are recognized in earnings. For cash flow hedges, the gain or loss from the derivative instrument is initially reported as a component of other comprehensive income and subsequently reclassified into earnings in the period that the forecasted transaction affects earnings.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Hierarchy Levels 1, 2 and 3 are terms for the priority of inputs to valuation techniques used to measure fair value. Hierarchy Level 1 inputs are quoted prices in active markets for identical assets or liabilities. Hierarchy Level 2 inputs are inputs other than quoted prices included within Level 1 that are directly or indirectly observable for the asset or liability. Hierarchy Level 3 inputs are inputs that are not observable in the market.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Crude oil, products and merchandise inventories are carried at the lower of current market value or cost (generally determined under the last-in, first-out method – LIFO). Inventory costs include expenditures and other charges (including depreciation) directly and indirectly incurred in bringing the inventory to its existing condition and location. Selling expenses and general and administrative expenses are reported as period costs and excluded from inventory cost. Inventories of materials and supplies are valued at cost or less.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Cost Basis. </w:t>
      </w:r>
      <w:r>
        <w:rPr>
          <w:rFonts w:ascii="Times New Roman" w:cs="Times New Roman" w:eastAsia="Times New Roman" w:hAnsi="Times New Roman"/>
          <w:sz w:val="18"/>
          <w:szCs w:val="18"/>
          <w:color w:val="auto"/>
        </w:rPr>
        <w:t>The Corporation uses the “successful efforts” method to account for its exploration and production activities. Under this method, costs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accumulated on a field-by-field basis. Costs incurred to purchase, lease, or otherwise acquire a property (whether unproved or proved) are capitalized when incurred. Exploratory well costs are carried as an asset when the well has found a sufficient quantity of reserves to justify its completion as a producing well and where the Corporation is making sufficient progress assessing the reserves and the economic and operating viability of the project. Exploratory well costs not meeting these criteria are charged to expense. Other exploratory expenditures, including geophysical costs and annual lease rentals, are expensed as incurred. Development costs, including costs of productive wells and development dry holes, are capitalized.</w:t>
      </w:r>
    </w:p>
    <w:p>
      <w:pPr>
        <w:spacing w:after="0" w:line="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Depreciation, Depletion and Amortization. </w:t>
      </w:r>
      <w:r>
        <w:rPr>
          <w:rFonts w:ascii="Times New Roman" w:cs="Times New Roman" w:eastAsia="Times New Roman" w:hAnsi="Times New Roman"/>
          <w:sz w:val="18"/>
          <w:szCs w:val="18"/>
          <w:color w:val="auto"/>
        </w:rPr>
        <w:t>Depreciation, depletion and amortization are primarily determined under either the unit-of-production method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straight-line method, which is based on estimated asset service life taking obsolescence into consideration.</w:t>
      </w:r>
    </w:p>
    <w:p>
      <w:pPr>
        <w:spacing w:after="0" w:line="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Acquisition costs of proved properties are amortized using a unit-of-production method, computed on the basis of total proved oil and natural gas reserve volumes. Capitalized exploratory drilling and development costs associated with productive depletable extractive properties are amortized using the unit-of-production rates based on the amount of proved developed reserves of oil and gas that are estimated to be recoverable from existing facilities using current operating methods. Under the unit-of-production method, oil and natural gas volumes are considered produced once they have been measured through meters at custody transfer or sales transaction points at the outlet valve on the lease or field storage tank. In the event that the unit-of-production method does not result in an equitable allocation of cost over the economic life of an upstream asset, an alternative method is used. The straight-line method is used in limited situations where the expected life of the asset does not reasonably correlate with that of the underlying reserves. For example, certain assets used in the production of oil and natural gas have a shorter life than the reserves, and as such, the Corporation uses straight-line depreciation to ensure the asset is fully depreciated by the end of its useful life.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proved reserves for a property are substantially de-booked and that property continues to produce such that the resulting depreciation charge does not result in an equitable allocation of cost over the expected life, assets will be depreciated using a unit-of-production method based on reserves determined at the most recent SEC price which results in a more meaningful quantity of proved reserves, appropriately adjusted for production and technical changes.</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in refinery, chemical process, and lubes basestock manufacturing equipment are generally depreciated on a straight-line basis over a 25-year life. Service station buildings and fixed improvements generally are depreciated over a 20-year life. Maintenance and repairs, including planned major maintenance, are expensed as incurred. Major renewals and improvements are capitalized and the assets replaced are retired.</w:t>
      </w:r>
    </w:p>
    <w:p>
      <w:pPr>
        <w:spacing w:after="0" w:line="3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Impairment Assessment. </w:t>
      </w:r>
      <w:r>
        <w:rPr>
          <w:rFonts w:ascii="Times New Roman" w:cs="Times New Roman" w:eastAsia="Times New Roman" w:hAnsi="Times New Roman"/>
          <w:sz w:val="18"/>
          <w:szCs w:val="18"/>
          <w:color w:val="auto"/>
        </w:rPr>
        <w:t>The Corporation tests assets or groups of assets for recoverability on an ongoing basis whenever events or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indicate that the carrying amounts may not be recoverable. Among the events or changes in circumstances which could indicate that the carrying value of an asset or asset group may not be recoverable are the following:</w:t>
      </w:r>
    </w:p>
    <w:p>
      <w:pPr>
        <w:spacing w:after="0" w:line="53"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decrease in the market price of a long-lived asset;</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the extent or manner in which an asset is being used or in its physical condition including a significant decrease in current and projected reserve volumes;</w:t>
      </w: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factors or in the business climate that could affect the value, including an adverse action or assessment by a regulator;</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accumulation of project costs significantly in excess of the amount originally expected;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current-period operating loss combined with a history and forecast of operating or cash flow losses;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expectation that, more likely than not, a long-lived asset will be sold or otherwise disposed of significantly before the end of its previously estimated useful life.</w:t>
      </w:r>
    </w:p>
    <w:p>
      <w:pPr>
        <w:spacing w:after="0" w:line="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Asset valuation analysis, profitability reviews and other periodic control processes assist the Corporation in assessing whether events or changes in circumstances indicate the carrying amounts of any of its assets may not be recoverable.</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the Corporation does not view temporarily low prices or margins as an indication of impairment. Management believes that prices over the long term must be sufficient to generate investments in energy supply to meet global demand. Although prices will occasionally drop significantly, industry prices over the long term will continue to be driven by market supply and demand fundamentals. On the supply side, industry production from mature fields is declining. This is being offset by investments to generate production from new discoveries, field developments and technology and efficiency advancements. OPEC investment activities and production policies also have an impact on world oil supplies. The demand side is largely a function of general economic activities and levels of prosperity. Because the lifespans of the vast majority of the Corporation’s major assets are measured in decades, the value of these assets is predominantly based on long-term views of future commodity prices and development and production costs. During the lifespan of these major assets, the Corporation expects that oil and gas prices will experience significant volatility, and consequently these assets will experience periods of higher earnings and periods of lower earnings, or even losses.</w:t>
      </w:r>
    </w:p>
    <w:p>
      <w:pPr>
        <w:spacing w:after="0" w:line="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assessing whether events or changes in circumstances indicate the carrying value of an asset may not be recoverable, the Corporation considers recent periods of operating losses in the context of its longer-term view of prices. While near-term prices are subject to wide fluctuations, longer-term price views are more stable and meaningful for purposes of assessing future cash flows.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industry experiences a prolonged and deep reduction in commodity prices, the market supply and demand conditions may result in changes to the Corporation’s price or margin assumptions it uses for its capital investment decisions. To the extent those changes result in a significant reduction to its oil price, natural gas price or margin ranges, the Corporation may consider that situation, in conjunction with other events or changes in circumstances such as a history of operating losses, an indicator of potential impairment for certain assets.</w:t>
      </w:r>
    </w:p>
    <w:p>
      <w:pPr>
        <w:spacing w:after="0" w:line="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Upstream, the standardized measure of discounted cash flows included in the Supplemental Information on Oil and Gas Exploration and Production Activities is required to use prices based on the average of first-of-month prices. These prices represent discrete points in time and could be higher or lower than the Corporation’s price assumptions which are used for impairment assessments. The Corporation believes the standardized measure does not provide a reliable estimate of the expected future cash flows to be obtained from the development and production of its oil and gas properties or of the value of its oil and gas reserves and therefore does not consider it relevant in determining whether events or changes in circumstances indicate the need for an impairment assessment.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Corporation has a robust process to monitor for indicators of potential impairment across its asset groups throughout the year. This process is aligned with the requirements of ASC 360 and ASC 932, and relies in part on the Corporation’s planning and budgeting cycle. If events or changes in circumstances indicate that the carrying value of an asset may not be recoverable, the Corporation estimates the future undiscounted cash flows of the affected properties to judge the recoverability of carrying amounts. In performing this assessment, assets are grouped at the lowest level for which there are identifiable cash flows that are largely independent of the cash flows of other groups of assets. Cash flows used in recoverability assessments are based on the Corporation’s assumptions which are developed in the annual planning and budgeting process, and are consistent with the criteria management uses to evaluate investment opportunities. These evaluations make use of the Corporation’s assumptions of future capital allocations, crude oil and natural gas commodity prices including price differentials, refining and chemical margins, volumes, development and operating costs, and foreign currency exchange rates. Volumes are based on projected field and facility production profiles, throughput, or sales. Management’s estimate of upstream production volumes used for projected cash flows makes use of proved reserve quantities and may include risk-adjusted unproved reserve quantities. Cash flow estimates for impairment testing exclude the effects of derivative instruments.</w:t>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asset group is impaired if its estimated undiscounted cash flows are less than the asset’s carrying value. Impairments are measured by the amount by which the carrying value exceeds fair value. Fair value is based on market prices if an active market exists for the asset group, or discounted cash flows using a discount rate commensurate with the risk.</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Unproved properties are assessed periodically to determine whether they have been impaired. Significant unproved properties are assessed for impairment individually, and valuation allowances against the capitalized costs are recorded based on the Corporation's future development plans, the estimated economic chance of success and the length of time that the Corporation expects to hold the properties. Properties that are not individually significant are aggregated by groups and amortized based on development risk and average holding period.</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Gains on sales of proved and unproved properties are only recognized when there is neither uncertainty about the recovery of costs applicable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retained nor any substantial obligation for future performance by the Corporation. Losses on properties sold are recognized when incurred or when the properties are held for sale and the fair value of the properties is less than the carrying value.</w:t>
      </w:r>
    </w:p>
    <w:p>
      <w:pPr>
        <w:spacing w:after="0" w:line="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costs incurred to finance expenditures during the construction phase of multiyear projects are capitalized as part of the historical cost of acquiring the constructed assets. The project construction phase commences with the development of the detailed engineering design and ends when the constructed assets are ready for their intended use. Capitalized interest costs are included in property, plant and equipment and are depreciated over the service life of the related assets.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Liabilities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Liabilities for environmental costs are recorded when it is probable that obligations have been incurred and the amounts can be reasonably estimated. These liabilities are not reduced by possible recoveries from third parties, and projected cash expenditures are not discounted.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Corporation selects the functional reporting currency for its international subsidiaries based on the currency of the primary economic environment in which each subsidiary operates.</w:t>
      </w:r>
    </w:p>
    <w:p>
      <w:pPr>
        <w:spacing w:after="0" w:line="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Downstream and Chemical operations primarily use the local currency. However, the U.S. dollar is used in countries with a history of high inflation (primarily in Latin America) and Singapore, which predominantly sells into the U.S. dollar export market. Upstream operations which are relatively self-contained and integrated within a particular country, such as Canada, the United Kingdom and continental Europe, use the local currency. Some Upstream operations, primarily in Asia and Africa, use the U.S. dollar because they predominantly sell crude and natural gas production into U.S. dollar-denominated markets.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operations, gains or losses from remeasuring foreign currency transactions into the functional currency are included in income.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Accounting Changes</w:t>
      </w:r>
    </w:p>
    <w:p>
      <w:pPr>
        <w:spacing w:after="0" w:line="1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2020, the Corporation adopted the Financial Accounting Standards Board’s update,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as amended. The standard requires a valuation allowance for credit losses be recognized for certain financial assets that reflects the current expected credit loss over the asset’s contractual life. The valuation allowance considers the risk of loss, even if remote, and considers past events, current conditions and reasonable and supportable forecasts. The standard requires this expected loss methodology for trade receivables, certain other financial assets and off-balance sheet credit exposures. The cumulative effect adjustment related to the adoption of this standard reduced ExxonMobil's share of equity by $93 million.</w:t>
      </w:r>
    </w:p>
    <w:p>
      <w:pPr>
        <w:spacing w:after="0" w:line="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is exposed to credit losses primarily through sales of petroleum products, crude oil, natural gas liquids and natural gas, as well as loans to equity companies and joint venture receivables. A counterparty’s ability to pay is assessed through a credit review process that considers payment terms, the counterparty’s established credit rating or the Corporation’s assessment of the counterparty’s credit worthiness, contract terms, country of operation, and other risks. The Corporation can require prepayment or collateral to mitigate certain credit risks.</w:t>
      </w:r>
    </w:p>
    <w:p>
      <w:pPr>
        <w:spacing w:after="0" w:line="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Corporation groups financial assets into portfolios that share similar risk characteristics for purposes of determining the allowance for credit losses and assesses if a significant change in the risk of credit loss has occurred. Among the quantitative and qualitative factors considered are historical financial data, current conditions, industry and country risk, current credit ratings and the quality of third-party guarantees secured from the counterparty. Financial assets are written off in whole, or in part, when practical recovery efforts have been exhausted and no reasonable expectation of recovery exists. Subsequent recoveries of amounts previously written off are recognized in earnings. The Corporation manages receivable portfolios using past due balances as a key credit quality indicator.</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recognizes a credit allowance for off-balance sheet credit exposures as a liability on the balance sheet, separate from the allowance for credit losses related to recognized financial assets. Among these exposures are unfunded loans to equity companies and financial guarantees that cannot be cancelled unilaterally by the Corporation.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Allowance for Current Expected Credit Losses</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20" w:type="dxa"/>
            <w:vAlign w:val="bottom"/>
          </w:tcPr>
          <w:p>
            <w:pPr>
              <w:spacing w:after="0"/>
              <w:rPr>
                <w:sz w:val="16"/>
                <w:szCs w:val="16"/>
                <w:color w:val="auto"/>
              </w:rPr>
            </w:pPr>
          </w:p>
        </w:tc>
        <w:tc>
          <w:tcPr>
            <w:tcW w:w="24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Notes and Accounts Receivable</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Advances and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Liabilities for</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512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restart"/>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1240" w:type="dxa"/>
            <w:vAlign w:val="bottom"/>
            <w:gridSpan w:val="2"/>
            <w:vMerge w:val="restart"/>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Off- Balance</w:t>
            </w: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120" w:type="dxa"/>
            <w:vAlign w:val="bottom"/>
          </w:tcPr>
          <w:p>
            <w:pPr>
              <w:spacing w:after="0"/>
              <w:rPr>
                <w:sz w:val="5"/>
                <w:szCs w:val="5"/>
                <w:color w:val="auto"/>
              </w:rPr>
            </w:pPr>
          </w:p>
        </w:tc>
        <w:tc>
          <w:tcPr>
            <w:tcW w:w="12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Trade</w:t>
            </w:r>
          </w:p>
        </w:tc>
        <w:tc>
          <w:tcPr>
            <w:tcW w:w="12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2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Sheet Assets</w:t>
            </w: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20"/>
                <w:szCs w:val="20"/>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effect of accounting change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provision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421"/>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Assets subject to credit losses standard - net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0"/>
        </w:trPr>
        <w:tc>
          <w:tcPr>
            <w:tcW w:w="5120" w:type="dxa"/>
            <w:vAlign w:val="bottom"/>
          </w:tcPr>
          <w:p>
            <w:pPr>
              <w:spacing w:after="0"/>
              <w:rPr>
                <w:sz w:val="24"/>
                <w:szCs w:val="24"/>
                <w:color w:val="auto"/>
              </w:rPr>
            </w:pPr>
          </w:p>
        </w:tc>
        <w:tc>
          <w:tcPr>
            <w:tcW w:w="112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Miscellaneous Financial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totaled $1,016 million in 2020, $1,214 million in 2019, and $1,116 million in 2018.</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included before-tax aggregate foreign exchange transaction losses of $24 million, $104 million and $138 million in 2020, 2019 and 2018, respectively.</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2020, 2019, and 2018, net income included gains of $41 million, $523 million, and $107 million, respectively, attributable to the combined effects of LIFO inventory accumulations and drawdowns. The aggregate replacement cost of inventories was estimated to exceed their LIFO carrying values by $5.4 billion and $9.7 billion at December 31, 2020, and 2019,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Crude oil, products and merchandise as of year-end 2020 and 2019 consist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162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 31,</w:t>
            </w:r>
          </w:p>
        </w:tc>
      </w:tr>
      <w:tr>
        <w:trPr>
          <w:trHeight w:val="189"/>
        </w:trPr>
        <w:tc>
          <w:tcPr>
            <w:tcW w:w="8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6"/>
        </w:trPr>
        <w:tc>
          <w:tcPr>
            <w:tcW w:w="8400" w:type="dxa"/>
            <w:vAlign w:val="bottom"/>
          </w:tcPr>
          <w:p>
            <w:pPr>
              <w:spacing w:after="0"/>
              <w:rPr>
                <w:sz w:val="16"/>
                <w:szCs w:val="16"/>
                <w:color w:val="auto"/>
              </w:rPr>
            </w:pPr>
          </w:p>
        </w:tc>
        <w:tc>
          <w:tcPr>
            <w:tcW w:w="2840" w:type="dxa"/>
            <w:vAlign w:val="bottom"/>
            <w:gridSpan w:val="2"/>
          </w:tcPr>
          <w:p>
            <w:pPr>
              <w:jc w:val="right"/>
              <w:ind w:right="755"/>
              <w:spacing w:after="0"/>
              <w:rPr>
                <w:sz w:val="20"/>
                <w:szCs w:val="20"/>
                <w:color w:val="auto"/>
              </w:rPr>
            </w:pPr>
            <w:r>
              <w:rPr>
                <w:rFonts w:ascii="Times New Roman" w:cs="Times New Roman" w:eastAsia="Times New Roman" w:hAnsi="Times New Roman"/>
                <w:sz w:val="14"/>
                <w:szCs w:val="14"/>
                <w:i w:val="1"/>
                <w:iCs w:val="1"/>
                <w:color w:val="auto"/>
              </w:rPr>
              <w:t>(millions of dollars)</w:t>
            </w:r>
          </w:p>
        </w:tc>
      </w:tr>
      <w:tr>
        <w:trPr>
          <w:trHeight w:val="262"/>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162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5,354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Petroleum products</w:t>
            </w:r>
          </w:p>
        </w:tc>
        <w:tc>
          <w:tcPr>
            <w:tcW w:w="162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5,138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products</w:t>
            </w:r>
          </w:p>
        </w:tc>
        <w:tc>
          <w:tcPr>
            <w:tcW w:w="162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3,023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w:t>
            </w:r>
          </w:p>
        </w:tc>
      </w:tr>
      <w:tr>
        <w:trPr>
          <w:trHeight w:val="234"/>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Gas/other</w:t>
            </w:r>
          </w:p>
        </w:tc>
        <w:tc>
          <w:tcPr>
            <w:tcW w:w="16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8"/>
                <w:szCs w:val="18"/>
                <w:color w:val="auto"/>
              </w:rPr>
              <w:t>654</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23"/>
        </w:trPr>
        <w:tc>
          <w:tcPr>
            <w:tcW w:w="8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8"/>
                <w:szCs w:val="18"/>
                <w:color w:val="auto"/>
              </w:rPr>
              <w:t>14,169</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14,010</w:t>
            </w:r>
          </w:p>
        </w:tc>
      </w:tr>
    </w:tbl>
    <w:p>
      <w:pPr>
        <w:spacing w:after="0" w:line="292"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Mainly as a result of declines in prices for crude oil, natural gas and petroleum products in 2020 and a significant decline in its market capitalization at the end of the first quarter, the Corporation recognized before-tax goodwill impairment charges of $611 million in Upstream, Downstream, and Chemical reporting units. Fair value of the goodwill reporting units primarily reflected market-based estimates of historical EBITDA multiples at the end of the first quarter. Charges related to goodwill impairments are included in “Depreciation and depletion” on the Statement of Income.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Other Comprehensive Income Information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3280" w:type="dxa"/>
            <w:vAlign w:val="bottom"/>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5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ExxonMobil Share of Accumulated Other</w:t>
            </w:r>
          </w:p>
        </w:tc>
        <w:tc>
          <w:tcPr>
            <w:tcW w:w="3280" w:type="dxa"/>
            <w:vAlign w:val="bottom"/>
          </w:tcPr>
          <w:p>
            <w:pPr>
              <w:jc w:val="center"/>
              <w:ind w:left="1848"/>
              <w:spacing w:after="0" w:line="135" w:lineRule="exact"/>
              <w:rPr>
                <w:sz w:val="20"/>
                <w:szCs w:val="20"/>
                <w:color w:val="auto"/>
              </w:rPr>
            </w:pPr>
            <w:r>
              <w:rPr>
                <w:rFonts w:ascii="Times New Roman" w:cs="Times New Roman" w:eastAsia="Times New Roman" w:hAnsi="Times New Roman"/>
                <w:sz w:val="14"/>
                <w:szCs w:val="14"/>
                <w:b w:val="1"/>
                <w:bCs w:val="1"/>
                <w:color w:val="auto"/>
              </w:rPr>
              <w:t>Foreign Exchange</w:t>
            </w:r>
          </w:p>
        </w:tc>
        <w:tc>
          <w:tcPr>
            <w:tcW w:w="15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80" w:type="dxa"/>
            <w:vAlign w:val="bottom"/>
            <w:vMerge w:val="continue"/>
          </w:tcPr>
          <w:p>
            <w:pPr>
              <w:spacing w:after="0"/>
              <w:rPr>
                <w:sz w:val="11"/>
                <w:szCs w:val="11"/>
                <w:color w:val="auto"/>
              </w:rPr>
            </w:pPr>
          </w:p>
        </w:tc>
        <w:tc>
          <w:tcPr>
            <w:tcW w:w="3280" w:type="dxa"/>
            <w:vAlign w:val="bottom"/>
          </w:tcPr>
          <w:p>
            <w:pPr>
              <w:jc w:val="center"/>
              <w:ind w:left="1868"/>
              <w:spacing w:after="0" w:line="135"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80" w:type="dxa"/>
            <w:vAlign w:val="bottom"/>
          </w:tcPr>
          <w:p>
            <w:pPr>
              <w:jc w:val="center"/>
              <w:ind w:right="128"/>
              <w:spacing w:after="0" w:line="135" w:lineRule="exact"/>
              <w:rPr>
                <w:sz w:val="20"/>
                <w:szCs w:val="20"/>
                <w:color w:val="auto"/>
              </w:rPr>
            </w:pPr>
            <w:r>
              <w:rPr>
                <w:rFonts w:ascii="Times New Roman" w:cs="Times New Roman" w:eastAsia="Times New Roman" w:hAnsi="Times New Roman"/>
                <w:sz w:val="14"/>
                <w:szCs w:val="14"/>
                <w:b w:val="1"/>
                <w:bCs w:val="1"/>
                <w:color w:val="auto"/>
              </w:rPr>
              <w:t>Benefits Reserves</w:t>
            </w:r>
          </w:p>
        </w:tc>
        <w:tc>
          <w:tcPr>
            <w:tcW w:w="11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Comprehensive Income</w:t>
            </w:r>
          </w:p>
        </w:tc>
        <w:tc>
          <w:tcPr>
            <w:tcW w:w="3280" w:type="dxa"/>
            <w:vAlign w:val="bottom"/>
            <w:tcBorders>
              <w:bottom w:val="single" w:sz="8" w:color="auto"/>
            </w:tcBorders>
          </w:tcPr>
          <w:p>
            <w:pPr>
              <w:jc w:val="center"/>
              <w:ind w:left="1848"/>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5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80" w:type="dxa"/>
            <w:vAlign w:val="bottom"/>
          </w:tcPr>
          <w:p>
            <w:pPr>
              <w:jc w:val="center"/>
              <w:ind w:right="128"/>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240"/>
          </w:cols>
          <w:pgMar w:left="320" w:top="117"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2017</w:t>
      </w:r>
    </w:p>
    <w:p>
      <w:pPr>
        <w:spacing w:after="0" w:line="27" w:lineRule="exact"/>
        <w:rPr>
          <w:sz w:val="20"/>
          <w:szCs w:val="20"/>
          <w:color w:val="auto"/>
        </w:rPr>
      </w:pPr>
    </w:p>
    <w:p>
      <w:pPr>
        <w:ind w:left="360" w:hanging="323"/>
        <w:spacing w:after="0" w:line="234" w:lineRule="auto"/>
        <w:rPr>
          <w:sz w:val="20"/>
          <w:szCs w:val="20"/>
          <w:color w:val="auto"/>
        </w:rPr>
      </w:pPr>
      <w:r>
        <w:rPr>
          <w:rFonts w:ascii="Times New Roman" w:cs="Times New Roman" w:eastAsia="Times New Roman" w:hAnsi="Times New Roman"/>
          <w:sz w:val="18"/>
          <w:szCs w:val="18"/>
          <w:color w:val="auto"/>
        </w:rPr>
        <w:t>Current period change excluding amounts reclassified from accumulated other comprehensive income</w:t>
      </w:r>
    </w:p>
    <w:p>
      <w:pPr>
        <w:spacing w:after="0" w:line="1" w:lineRule="exact"/>
        <w:rPr>
          <w:sz w:val="20"/>
          <w:szCs w:val="20"/>
          <w:color w:val="auto"/>
        </w:rPr>
      </w:pPr>
    </w:p>
    <w:p>
      <w:pPr>
        <w:ind w:left="20" w:right="1780"/>
        <w:spacing w:after="0" w:line="286"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Total change in accumulated other comprehensive income Balance as of December 31, 2018</w:t>
      </w:r>
    </w:p>
    <w:p>
      <w:pPr>
        <w:spacing w:after="0" w:line="241" w:lineRule="exact"/>
        <w:rPr>
          <w:sz w:val="20"/>
          <w:szCs w:val="20"/>
          <w:color w:val="auto"/>
        </w:rPr>
      </w:pPr>
    </w:p>
    <w:p>
      <w:pPr>
        <w:ind w:left="360" w:hanging="323"/>
        <w:spacing w:after="0" w:line="237" w:lineRule="auto"/>
        <w:rPr>
          <w:sz w:val="20"/>
          <w:szCs w:val="20"/>
          <w:color w:val="auto"/>
        </w:rPr>
      </w:pPr>
      <w:r>
        <w:rPr>
          <w:rFonts w:ascii="Times New Roman" w:cs="Times New Roman" w:eastAsia="Times New Roman" w:hAnsi="Times New Roman"/>
          <w:sz w:val="18"/>
          <w:szCs w:val="18"/>
          <w:color w:val="auto"/>
        </w:rPr>
        <w:t>Current period change excluding amounts reclassified from accumulated other comprehensive income</w:t>
      </w:r>
    </w:p>
    <w:p>
      <w:pPr>
        <w:spacing w:after="0" w:line="1" w:lineRule="exact"/>
        <w:rPr>
          <w:sz w:val="20"/>
          <w:szCs w:val="20"/>
          <w:color w:val="auto"/>
        </w:rPr>
      </w:pPr>
    </w:p>
    <w:p>
      <w:pPr>
        <w:ind w:left="20" w:right="1780"/>
        <w:spacing w:after="0" w:line="286"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Total change in accumulated other comprehensive income Balance as of December 31, 2019</w:t>
      </w:r>
    </w:p>
    <w:p>
      <w:pPr>
        <w:spacing w:after="0" w:line="241" w:lineRule="exact"/>
        <w:rPr>
          <w:sz w:val="20"/>
          <w:szCs w:val="20"/>
          <w:color w:val="auto"/>
        </w:rPr>
      </w:pPr>
    </w:p>
    <w:p>
      <w:pPr>
        <w:ind w:left="360" w:hanging="323"/>
        <w:spacing w:after="0" w:line="237" w:lineRule="auto"/>
        <w:rPr>
          <w:sz w:val="20"/>
          <w:szCs w:val="20"/>
          <w:color w:val="auto"/>
        </w:rPr>
      </w:pPr>
      <w:r>
        <w:rPr>
          <w:rFonts w:ascii="Times New Roman" w:cs="Times New Roman" w:eastAsia="Times New Roman" w:hAnsi="Times New Roman"/>
          <w:sz w:val="18"/>
          <w:szCs w:val="18"/>
          <w:color w:val="auto"/>
        </w:rPr>
        <w:t>Current period change excluding amounts reclassified from accumulated other comprehensive income (1)</w:t>
      </w:r>
    </w:p>
    <w:p>
      <w:pPr>
        <w:spacing w:after="0" w:line="1" w:lineRule="exact"/>
        <w:rPr>
          <w:sz w:val="20"/>
          <w:szCs w:val="20"/>
          <w:color w:val="auto"/>
        </w:rPr>
      </w:pPr>
    </w:p>
    <w:p>
      <w:pPr>
        <w:ind w:left="20" w:right="1780"/>
        <w:spacing w:after="0" w:line="286"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Total change in accumulated other comprehensive income Balance as of December 31,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(9,482)</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(6,780)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(16,262)</w:t>
            </w:r>
          </w:p>
        </w:tc>
      </w:tr>
      <w:tr>
        <w:trPr>
          <w:trHeight w:val="400"/>
        </w:trPr>
        <w:tc>
          <w:tcPr>
            <w:tcW w:w="1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(4,595)</w:t>
            </w: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w:t>
            </w:r>
          </w:p>
        </w:tc>
      </w:tr>
      <w:tr>
        <w:trPr>
          <w:trHeight w:val="234"/>
        </w:trPr>
        <w:tc>
          <w:tcPr>
            <w:tcW w:w="1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196</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896</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23"/>
        </w:trPr>
        <w:tc>
          <w:tcPr>
            <w:tcW w:w="1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(4,399)</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1,097</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w:t>
            </w:r>
          </w:p>
        </w:tc>
      </w:tr>
      <w:tr>
        <w:trPr>
          <w:trHeight w:val="228"/>
        </w:trPr>
        <w:tc>
          <w:tcPr>
            <w:tcW w:w="1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(13,881)</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(5,683)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(19,564)</w:t>
            </w:r>
          </w:p>
        </w:tc>
      </w:tr>
      <w:tr>
        <w:trPr>
          <w:trHeight w:val="665"/>
        </w:trPr>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1,435</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(1,927)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34"/>
        </w:trPr>
        <w:tc>
          <w:tcPr>
            <w:tcW w:w="1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563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23"/>
        </w:trPr>
        <w:tc>
          <w:tcPr>
            <w:tcW w:w="1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1,435</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(1,364)</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8"/>
        </w:trPr>
        <w:tc>
          <w:tcPr>
            <w:tcW w:w="1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(12,446)</w:t>
            </w: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(7,047)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(19,493)</w:t>
            </w:r>
          </w:p>
        </w:tc>
      </w:tr>
      <w:tr>
        <w:trPr>
          <w:trHeight w:val="665"/>
        </w:trPr>
        <w:tc>
          <w:tcPr>
            <w:tcW w:w="1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1,818</w:t>
            </w: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r>
      <w:tr>
        <w:trPr>
          <w:trHeight w:val="234"/>
        </w:trPr>
        <w:tc>
          <w:tcPr>
            <w:tcW w:w="1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14</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861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23"/>
        </w:trPr>
        <w:tc>
          <w:tcPr>
            <w:tcW w:w="1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1,832</w:t>
            </w: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956</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w:t>
            </w:r>
          </w:p>
        </w:tc>
      </w:tr>
      <w:tr>
        <w:trPr>
          <w:trHeight w:val="223"/>
        </w:trPr>
        <w:tc>
          <w:tcPr>
            <w:tcW w:w="1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(10,614)</w:t>
            </w: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(6,091)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(16,705)</w:t>
            </w:r>
          </w:p>
        </w:tc>
      </w:tr>
    </w:tbl>
    <w:p>
      <w:pPr>
        <w:spacing w:after="0" w:line="210" w:lineRule="exact"/>
        <w:rPr>
          <w:sz w:val="20"/>
          <w:szCs w:val="20"/>
          <w:color w:val="auto"/>
        </w:rPr>
      </w:pPr>
    </w:p>
    <w:p>
      <w:pPr>
        <w:sectPr>
          <w:pgSz w:w="11900" w:h="16838" w:orient="portrait"/>
          <w:cols w:equalWidth="0" w:num="2">
            <w:col w:w="6800" w:space="460"/>
            <w:col w:w="3980"/>
          </w:cols>
          <w:pgMar w:left="320" w:top="117"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Cumulative Foreign Exchange Translation Adjustment includes net investment hedge gain/(loss) of $(355) million, net of taxes.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Reclassified Out of Accumulated Other</w:t>
            </w:r>
          </w:p>
        </w:tc>
        <w:tc>
          <w:tcPr>
            <w:tcW w:w="1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 Before-tax Income/(Expense)</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7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960" w:type="dxa"/>
            <w:vAlign w:val="bottom"/>
            <w:tcBorders>
              <w:bottom w:val="single" w:sz="8" w:color="auto"/>
            </w:tcBorders>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186"/>
        </w:trPr>
        <w:tc>
          <w:tcPr>
            <w:tcW w:w="7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00" w:type="dxa"/>
            <w:vAlign w:val="bottom"/>
          </w:tcPr>
          <w:p>
            <w:pPr>
              <w:jc w:val="right"/>
              <w:ind w:right="377"/>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translation gain/(loss) included in net income</w:t>
            </w:r>
          </w:p>
        </w:tc>
        <w:tc>
          <w:tcPr>
            <w:tcW w:w="132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(14)</w:t>
            </w:r>
          </w:p>
        </w:tc>
        <w:tc>
          <w:tcPr>
            <w:tcW w:w="1700" w:type="dxa"/>
            <w:vAlign w:val="bottom"/>
            <w:vMerge w:val="restart"/>
          </w:tcPr>
          <w:p>
            <w:pPr>
              <w:jc w:val="right"/>
              <w:ind w:right="39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5"/>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(Statement of Income line: Other income)</w:t>
            </w:r>
          </w:p>
        </w:tc>
        <w:tc>
          <w:tcPr>
            <w:tcW w:w="132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2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Amortization and settlement of postretirement benefits reserves adjustment included in net periodic</w:t>
            </w:r>
          </w:p>
        </w:tc>
        <w:tc>
          <w:tcPr>
            <w:tcW w:w="1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benefit costs</w:t>
            </w:r>
          </w:p>
        </w:tc>
        <w:tc>
          <w:tcPr>
            <w:tcW w:w="132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(1,158)</w:t>
            </w:r>
          </w:p>
        </w:tc>
        <w:tc>
          <w:tcPr>
            <w:tcW w:w="1700" w:type="dxa"/>
            <w:vAlign w:val="bottom"/>
            <w:vMerge w:val="restart"/>
          </w:tcPr>
          <w:p>
            <w:pPr>
              <w:jc w:val="right"/>
              <w:ind w:right="357"/>
              <w:spacing w:after="0"/>
              <w:rPr>
                <w:sz w:val="20"/>
                <w:szCs w:val="20"/>
                <w:color w:val="auto"/>
              </w:rPr>
            </w:pPr>
            <w:r>
              <w:rPr>
                <w:rFonts w:ascii="Times New Roman" w:cs="Times New Roman" w:eastAsia="Times New Roman" w:hAnsi="Times New Roman"/>
                <w:sz w:val="18"/>
                <w:szCs w:val="18"/>
                <w:color w:val="auto"/>
              </w:rPr>
              <w:t>(751)</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0" w:type="dxa"/>
            <w:vAlign w:val="bottom"/>
          </w:tcPr>
          <w:p>
            <w:pPr>
              <w:spacing w:after="0"/>
              <w:rPr>
                <w:sz w:val="1"/>
                <w:szCs w:val="1"/>
                <w:color w:val="auto"/>
              </w:rPr>
            </w:pPr>
          </w:p>
        </w:tc>
      </w:tr>
      <w:tr>
        <w:trPr>
          <w:trHeight w:val="234"/>
        </w:trPr>
        <w:tc>
          <w:tcPr>
            <w:tcW w:w="7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(Statement of Income line: Non-service pension and postretirement benefit expense)</w:t>
            </w:r>
          </w:p>
        </w:tc>
        <w:tc>
          <w:tcPr>
            <w:tcW w:w="1320" w:type="dxa"/>
            <w:vAlign w:val="bottom"/>
            <w:vMerge w:val="continue"/>
          </w:tcPr>
          <w:p>
            <w:pPr>
              <w:spacing w:after="0"/>
              <w:rPr>
                <w:sz w:val="20"/>
                <w:szCs w:val="20"/>
                <w:color w:val="auto"/>
              </w:rPr>
            </w:pPr>
          </w:p>
        </w:tc>
        <w:tc>
          <w:tcPr>
            <w:tcW w:w="17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7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(Expense)/Credit For</w:t>
            </w:r>
          </w:p>
        </w:tc>
        <w:tc>
          <w:tcPr>
            <w:tcW w:w="1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Other Comprehensive Income</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7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960" w:type="dxa"/>
            <w:vAlign w:val="bottom"/>
            <w:tcBorders>
              <w:bottom w:val="single" w:sz="8" w:color="auto"/>
            </w:tcBorders>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186"/>
        </w:trPr>
        <w:tc>
          <w:tcPr>
            <w:tcW w:w="7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00" w:type="dxa"/>
            <w:vAlign w:val="bottom"/>
          </w:tcPr>
          <w:p>
            <w:pPr>
              <w:jc w:val="right"/>
              <w:ind w:right="377"/>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translation adjustment</w:t>
            </w: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118</w:t>
            </w:r>
          </w:p>
        </w:tc>
        <w:tc>
          <w:tcPr>
            <w:tcW w:w="170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88</w:t>
            </w:r>
          </w:p>
        </w:tc>
        <w:tc>
          <w:tcPr>
            <w:tcW w:w="96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benefits reserves adjustment (excluding amortization)</w:t>
            </w: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109</w:t>
            </w:r>
          </w:p>
        </w:tc>
        <w:tc>
          <w:tcPr>
            <w:tcW w:w="1700" w:type="dxa"/>
            <w:vAlign w:val="bottom"/>
          </w:tcPr>
          <w:p>
            <w:pPr>
              <w:jc w:val="right"/>
              <w:ind w:right="397"/>
              <w:spacing w:after="0"/>
              <w:rPr>
                <w:sz w:val="20"/>
                <w:szCs w:val="20"/>
                <w:color w:val="auto"/>
              </w:rPr>
            </w:pPr>
            <w:r>
              <w:rPr>
                <w:rFonts w:ascii="Times New Roman" w:cs="Times New Roman" w:eastAsia="Times New Roman" w:hAnsi="Times New Roman"/>
                <w:sz w:val="18"/>
                <w:szCs w:val="18"/>
                <w:color w:val="auto"/>
              </w:rPr>
              <w:t>719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180"/>
        </w:trPr>
        <w:tc>
          <w:tcPr>
            <w:tcW w:w="72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Amortization and settlement of postretirement benefits reserves adjustment included in net periodic</w:t>
            </w:r>
          </w:p>
        </w:tc>
        <w:tc>
          <w:tcPr>
            <w:tcW w:w="132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(262)</w:t>
            </w:r>
          </w:p>
        </w:tc>
        <w:tc>
          <w:tcPr>
            <w:tcW w:w="1700" w:type="dxa"/>
            <w:vAlign w:val="bottom"/>
            <w:vMerge w:val="restart"/>
          </w:tcPr>
          <w:p>
            <w:pPr>
              <w:jc w:val="right"/>
              <w:ind w:right="357"/>
              <w:spacing w:after="0"/>
              <w:rPr>
                <w:sz w:val="20"/>
                <w:szCs w:val="20"/>
                <w:color w:val="auto"/>
              </w:rPr>
            </w:pPr>
            <w:r>
              <w:rPr>
                <w:rFonts w:ascii="Times New Roman" w:cs="Times New Roman" w:eastAsia="Times New Roman" w:hAnsi="Times New Roman"/>
                <w:sz w:val="18"/>
                <w:szCs w:val="18"/>
                <w:color w:val="auto"/>
              </w:rPr>
              <w:t>(169)</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35"/>
        </w:trPr>
        <w:tc>
          <w:tcPr>
            <w:tcW w:w="7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costs</w:t>
            </w:r>
          </w:p>
        </w:tc>
        <w:tc>
          <w:tcPr>
            <w:tcW w:w="132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(35)</w:t>
            </w:r>
          </w:p>
        </w:tc>
        <w:tc>
          <w:tcPr>
            <w:tcW w:w="17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8"/>
                <w:szCs w:val="18"/>
                <w:color w:val="auto"/>
              </w:rPr>
              <w:t>638</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965"/>
        </w:trPr>
        <w:tc>
          <w:tcPr>
            <w:tcW w:w="72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76</w:t>
            </w:r>
          </w:p>
        </w:tc>
        <w:tc>
          <w:tcPr>
            <w:tcW w:w="1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2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Cash Flow Information</w:t>
      </w:r>
    </w:p>
    <w:p>
      <w:pPr>
        <w:spacing w:after="0" w:line="10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Consolidated Statement of Cash Flows provides information about changes in cash and cash equivalents. Highly liquid investments with maturities of three months or less when acquired are classified as cash equivalents.</w:t>
      </w:r>
    </w:p>
    <w:p>
      <w:pPr>
        <w:spacing w:after="0" w:line="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 2020, the “Depreciation and depletion” and “Deferred income tax charges/(credits)” on the Consolidated Statement of Cash Flows includes impacts from asset impairments, primarily in Upstream.</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2019, the “Net (gain)/loss on asset sales” on the Consolidated Statement of Cash Flows includes before-tax amounts from the sale of non-operated upstream assets in Norway and upstream asset transactions in the U.S. The Norway assets were sold for $4.5 billion, resulting in a gain of $3.7 billion and cash proceeds of $3.1 billion in 2019. For 2018, the number includes before-tax amounts from the sale of service stations in Germany, the divestment of the Augusta refinery in Italy, and the sale of an undeveloped upstream property in Australia. These net gains are reported in “Other income” on the Consolidated Statement of Income.</w:t>
      </w:r>
    </w:p>
    <w:p>
      <w:pPr>
        <w:spacing w:after="0" w:line="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2020, the “Additions/(reductions) in commercial paper, and debt with three months or less maturity” on the Consolidated Statement of Cash Flows includes a net $8.4 billion addition of commercial paper with maturity over three months. The gross amount issued was $35.4 billion, while the gross amount repaid was $27.0 billion. In 2019, the number includes a net $4.6 billion addition of commercial paper with maturity over three months. The gross amount issued was $18.9 billion, while the gross amount repaid was $14.3 billion. In 2018, the number includes a net $275 million addition of commercial paper with maturity over three months. The gross amount issued was $4.0 billion, while the gross amount repaid was $3.8 billion.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7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37"/>
        </w:trPr>
        <w:tc>
          <w:tcPr>
            <w:tcW w:w="7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7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740" w:type="dxa"/>
            <w:vAlign w:val="bottom"/>
          </w:tcPr>
          <w:p>
            <w:pPr>
              <w:jc w:val="right"/>
              <w:ind w:right="416"/>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920" w:type="dxa"/>
            <w:vAlign w:val="bottom"/>
          </w:tcPr>
          <w:p>
            <w:pPr>
              <w:spacing w:after="0"/>
              <w:rPr>
                <w:sz w:val="16"/>
                <w:szCs w:val="16"/>
                <w:color w:val="auto"/>
              </w:rPr>
            </w:pPr>
          </w:p>
        </w:tc>
      </w:tr>
      <w:tr>
        <w:trPr>
          <w:trHeight w:val="262"/>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2,428</w:t>
            </w:r>
          </w:p>
        </w:tc>
        <w:tc>
          <w:tcPr>
            <w:tcW w:w="174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7,018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interest paid</w:t>
            </w:r>
          </w:p>
        </w:tc>
        <w:tc>
          <w:tcPr>
            <w:tcW w:w="1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Included in cash flows from operating activities</w:t>
            </w:r>
          </w:p>
        </w:tc>
        <w:tc>
          <w:tcPr>
            <w:tcW w:w="13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786</w:t>
            </w:r>
          </w:p>
        </w:tc>
        <w:tc>
          <w:tcPr>
            <w:tcW w:w="1740" w:type="dxa"/>
            <w:vAlign w:val="bottom"/>
          </w:tcPr>
          <w:p>
            <w:pPr>
              <w:jc w:val="right"/>
              <w:ind w:right="436"/>
              <w:spacing w:after="0"/>
              <w:rPr>
                <w:sz w:val="20"/>
                <w:szCs w:val="20"/>
                <w:color w:val="auto"/>
              </w:rPr>
            </w:pPr>
            <w:r>
              <w:rPr>
                <w:rFonts w:ascii="Times New Roman" w:cs="Times New Roman" w:eastAsia="Times New Roman" w:hAnsi="Times New Roman"/>
                <w:sz w:val="18"/>
                <w:szCs w:val="18"/>
                <w:color w:val="auto"/>
              </w:rPr>
              <w:t>560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34"/>
        </w:trPr>
        <w:tc>
          <w:tcPr>
            <w:tcW w:w="7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included in cash flows from investing activities</w:t>
            </w:r>
          </w:p>
        </w:tc>
        <w:tc>
          <w:tcPr>
            <w:tcW w:w="13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665</w:t>
            </w:r>
          </w:p>
        </w:tc>
        <w:tc>
          <w:tcPr>
            <w:tcW w:w="17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rPr>
              <w:t>731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3"/>
        </w:trPr>
        <w:tc>
          <w:tcPr>
            <w:tcW w:w="7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cash interest paid</w:t>
            </w:r>
          </w:p>
        </w:tc>
        <w:tc>
          <w:tcPr>
            <w:tcW w:w="13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1,451</w:t>
            </w:r>
          </w:p>
        </w:tc>
        <w:tc>
          <w:tcPr>
            <w:tcW w:w="17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rPr>
              <w:t>1,291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Additional Working Capital Information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162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12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Dec 31,</w:t>
            </w:r>
          </w:p>
        </w:tc>
      </w:tr>
      <w:tr>
        <w:trPr>
          <w:trHeight w:val="189"/>
        </w:trPr>
        <w:tc>
          <w:tcPr>
            <w:tcW w:w="8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6"/>
        </w:trPr>
        <w:tc>
          <w:tcPr>
            <w:tcW w:w="8400" w:type="dxa"/>
            <w:vAlign w:val="bottom"/>
          </w:tcPr>
          <w:p>
            <w:pPr>
              <w:spacing w:after="0"/>
              <w:rPr>
                <w:sz w:val="16"/>
                <w:szCs w:val="16"/>
                <w:color w:val="auto"/>
              </w:rPr>
            </w:pPr>
          </w:p>
        </w:tc>
        <w:tc>
          <w:tcPr>
            <w:tcW w:w="2840" w:type="dxa"/>
            <w:vAlign w:val="bottom"/>
            <w:gridSpan w:val="2"/>
          </w:tcPr>
          <w:p>
            <w:pPr>
              <w:jc w:val="right"/>
              <w:ind w:right="753"/>
              <w:spacing w:after="0"/>
              <w:rPr>
                <w:sz w:val="20"/>
                <w:szCs w:val="20"/>
                <w:color w:val="auto"/>
              </w:rPr>
            </w:pPr>
            <w:r>
              <w:rPr>
                <w:rFonts w:ascii="Times New Roman" w:cs="Times New Roman" w:eastAsia="Times New Roman" w:hAnsi="Times New Roman"/>
                <w:sz w:val="14"/>
                <w:szCs w:val="14"/>
                <w:i w:val="1"/>
                <w:iCs w:val="1"/>
                <w:color w:val="auto"/>
              </w:rPr>
              <w:t>(millions of dollars)</w:t>
            </w:r>
          </w:p>
        </w:tc>
      </w:tr>
      <w:tr>
        <w:trPr>
          <w:trHeight w:val="262"/>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and accounts receivable</w:t>
            </w:r>
          </w:p>
        </w:tc>
        <w:tc>
          <w:tcPr>
            <w:tcW w:w="16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less reserves of $96 million and $34 million</w:t>
            </w:r>
          </w:p>
        </w:tc>
        <w:tc>
          <w:tcPr>
            <w:tcW w:w="16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16,339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21,100</w:t>
            </w:r>
          </w:p>
        </w:tc>
      </w:tr>
      <w:tr>
        <w:trPr>
          <w:trHeight w:val="234"/>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less reserves of $378 million and $371 million</w:t>
            </w:r>
          </w:p>
        </w:tc>
        <w:tc>
          <w:tcPr>
            <w:tcW w:w="16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4,242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5,866</w:t>
            </w:r>
          </w:p>
        </w:tc>
      </w:tr>
      <w:tr>
        <w:trPr>
          <w:trHeight w:val="223"/>
        </w:trPr>
        <w:tc>
          <w:tcPr>
            <w:tcW w:w="8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20,581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26,966</w:t>
            </w:r>
          </w:p>
        </w:tc>
      </w:tr>
      <w:tr>
        <w:trPr>
          <w:trHeight w:val="205"/>
        </w:trPr>
        <w:tc>
          <w:tcPr>
            <w:tcW w:w="84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Notes and loans payable</w:t>
            </w: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9"/>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Bank loans</w:t>
            </w:r>
          </w:p>
        </w:tc>
        <w:tc>
          <w:tcPr>
            <w:tcW w:w="16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222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6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17,306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18,561</w:t>
            </w:r>
          </w:p>
        </w:tc>
      </w:tr>
      <w:tr>
        <w:trPr>
          <w:trHeight w:val="234"/>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16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2,930</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23"/>
        </w:trPr>
        <w:tc>
          <w:tcPr>
            <w:tcW w:w="8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20,458</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20,578</w:t>
            </w:r>
          </w:p>
        </w:tc>
      </w:tr>
      <w:tr>
        <w:trPr>
          <w:trHeight w:val="205"/>
        </w:trPr>
        <w:tc>
          <w:tcPr>
            <w:tcW w:w="84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Accounts payable and accrued liabilities</w:t>
            </w: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payables</w:t>
            </w:r>
          </w:p>
        </w:tc>
        <w:tc>
          <w:tcPr>
            <w:tcW w:w="16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17,499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24,694</w:t>
            </w:r>
          </w:p>
        </w:tc>
      </w:tr>
      <w:tr>
        <w:trPr>
          <w:trHeight w:val="229"/>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Payables to equity companies</w:t>
            </w:r>
          </w:p>
        </w:tc>
        <w:tc>
          <w:tcPr>
            <w:tcW w:w="16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6,476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w:t>
            </w:r>
          </w:p>
        </w:tc>
      </w:tr>
      <w:tr>
        <w:trPr>
          <w:trHeight w:val="230"/>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taxes other than income taxes</w:t>
            </w:r>
          </w:p>
        </w:tc>
        <w:tc>
          <w:tcPr>
            <w:tcW w:w="16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3,408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w:t>
            </w:r>
          </w:p>
        </w:tc>
      </w:tr>
      <w:tr>
        <w:trPr>
          <w:trHeight w:val="234"/>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7,838</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7,011</w:t>
            </w:r>
          </w:p>
        </w:tc>
      </w:tr>
      <w:tr>
        <w:trPr>
          <w:trHeight w:val="223"/>
        </w:trPr>
        <w:tc>
          <w:tcPr>
            <w:tcW w:w="8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35,221</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41,831</w:t>
            </w: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Corporation has short-term committed lines of credit of $11.3 billion which were unused as of December 31, 2020. These lines are available for general corporate purposes.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interest rate on short-term borrowings outstanding was 0.2 percent and 1.7 percent at December 31, 2020, and 2019,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Equity Company Information</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summarized financial information below includes amounts related to certain less-than-majority-owned companies and majority-owned subsidiaries where minority shareholders possess the right to participate in significant management decisions (see Note 1). These companies are primarily engaged in oil and gas exploration and production, and natural gas marketing in North America; natural gas exploration, production and distribution in Europe; liquefied natural gas (LNG) operations and transportation of crude oil in Africa; and exploration, production, LNG operations, and the manufacture and sale of petroleum and petrochemical products in Asia and the Middle East. Also included are several refining, petrochemical manufacturing and marketing ventures.</w:t>
      </w:r>
    </w:p>
    <w:p>
      <w:pPr>
        <w:spacing w:after="0" w:line="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 of total equity company revenues from sales to ExxonMobil consolidated companies was 11 percent, 13 percent and 14 percent in the years 2020, 2019 and 2018, respectively.</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Corporation’s ownership in these ventures is in the form of shares in corporate joint ventures as well as interests in partnerships. Differences between the company’s carrying value of an equity investment and its underlying equity in the net assets of the affiliate are assigned to the extent practicable to specific assets and liabilities based on the company’s analysis of the factors giving rise to the difference. The amortization of this difference, as appropriate, is included in “Income from equity affiliates” on the Consolidated Statement of Income.</w:t>
      </w:r>
    </w:p>
    <w:p>
      <w:pPr>
        <w:spacing w:after="0" w:line="4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Impairments related to U.S. upstream equity investments of $600 million are included in “Income from equity affiliates” on the Consolidated Statement of Income.</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70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Equity Company</w:t>
            </w:r>
          </w:p>
        </w:tc>
        <w:tc>
          <w:tcPr>
            <w:tcW w:w="1420" w:type="dxa"/>
            <w:vAlign w:val="bottom"/>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ExxonMobil</w:t>
            </w:r>
          </w:p>
        </w:tc>
        <w:tc>
          <w:tcPr>
            <w:tcW w:w="1300" w:type="dxa"/>
            <w:vAlign w:val="bottom"/>
            <w:vMerge w:val="restart"/>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ExxonMobil</w:t>
            </w:r>
          </w:p>
        </w:tc>
        <w:tc>
          <w:tcPr>
            <w:tcW w:w="1300" w:type="dxa"/>
            <w:vAlign w:val="bottom"/>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ExxonMobil</w:t>
            </w:r>
          </w:p>
        </w:tc>
        <w:tc>
          <w:tcPr>
            <w:tcW w:w="0" w:type="dxa"/>
            <w:vAlign w:val="bottom"/>
          </w:tcPr>
          <w:p>
            <w:pPr>
              <w:spacing w:after="0"/>
              <w:rPr>
                <w:sz w:val="1"/>
                <w:szCs w:val="1"/>
                <w:color w:val="auto"/>
              </w:rPr>
            </w:pPr>
          </w:p>
        </w:tc>
      </w:tr>
      <w:tr>
        <w:trPr>
          <w:trHeight w:val="112"/>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Summary</w:t>
            </w:r>
          </w:p>
        </w:tc>
        <w:tc>
          <w:tcPr>
            <w:tcW w:w="1420" w:type="dxa"/>
            <w:vAlign w:val="bottom"/>
            <w:vMerge w:val="continue"/>
          </w:tcPr>
          <w:p>
            <w:pPr>
              <w:spacing w:after="0"/>
              <w:rPr>
                <w:sz w:val="9"/>
                <w:szCs w:val="9"/>
                <w:color w:val="auto"/>
              </w:rPr>
            </w:pPr>
          </w:p>
        </w:tc>
        <w:tc>
          <w:tcPr>
            <w:tcW w:w="124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300" w:type="dxa"/>
            <w:vAlign w:val="bottom"/>
            <w:vMerge w:val="continue"/>
          </w:tcPr>
          <w:p>
            <w:pPr>
              <w:spacing w:after="0"/>
              <w:rPr>
                <w:sz w:val="9"/>
                <w:szCs w:val="9"/>
                <w:color w:val="auto"/>
              </w:rPr>
            </w:pPr>
          </w:p>
        </w:tc>
        <w:tc>
          <w:tcPr>
            <w:tcW w:w="1260" w:type="dxa"/>
            <w:vAlign w:val="bottom"/>
            <w:vMerge w:val="restart"/>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300" w:type="dxa"/>
            <w:vAlign w:val="bottom"/>
            <w:vMerge w:val="continue"/>
          </w:tcPr>
          <w:p>
            <w:pPr>
              <w:spacing w:after="0"/>
              <w:rPr>
                <w:sz w:val="9"/>
                <w:szCs w:val="9"/>
                <w:color w:val="auto"/>
              </w:rPr>
            </w:pPr>
          </w:p>
        </w:tc>
        <w:tc>
          <w:tcPr>
            <w:tcW w:w="102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18"/>
        </w:trPr>
        <w:tc>
          <w:tcPr>
            <w:tcW w:w="3700" w:type="dxa"/>
            <w:vAlign w:val="bottom"/>
            <w:tcBorders>
              <w:bottom w:val="single" w:sz="8" w:color="auto"/>
            </w:tcBorders>
            <w:vMerge w:val="continue"/>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7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560" w:type="dxa"/>
            <w:vAlign w:val="bottom"/>
            <w:gridSpan w:val="2"/>
          </w:tcPr>
          <w:p>
            <w:pPr>
              <w:jc w:val="right"/>
              <w:ind w:right="793"/>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69,954</w:t>
            </w:r>
          </w:p>
        </w:tc>
        <w:tc>
          <w:tcPr>
            <w:tcW w:w="12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21,282</w:t>
            </w:r>
          </w:p>
        </w:tc>
        <w:tc>
          <w:tcPr>
            <w:tcW w:w="13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102,365</w:t>
            </w:r>
          </w:p>
        </w:tc>
        <w:tc>
          <w:tcPr>
            <w:tcW w:w="12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31,240</w:t>
            </w:r>
          </w:p>
        </w:tc>
        <w:tc>
          <w:tcPr>
            <w:tcW w:w="13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112,938</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34,539</w:t>
            </w:r>
          </w:p>
        </w:tc>
        <w:tc>
          <w:tcPr>
            <w:tcW w:w="0" w:type="dxa"/>
            <w:vAlign w:val="bottom"/>
          </w:tcPr>
          <w:p>
            <w:pPr>
              <w:spacing w:after="0"/>
              <w:rPr>
                <w:sz w:val="1"/>
                <w:szCs w:val="1"/>
                <w:color w:val="auto"/>
              </w:rPr>
            </w:pPr>
          </w:p>
        </w:tc>
      </w:tr>
      <w:tr>
        <w:trPr>
          <w:trHeight w:val="21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12,743</w:t>
            </w:r>
          </w:p>
        </w:tc>
        <w:tc>
          <w:tcPr>
            <w:tcW w:w="12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2,830</w:t>
            </w:r>
          </w:p>
        </w:tc>
        <w:tc>
          <w:tcPr>
            <w:tcW w:w="130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29,424</w:t>
            </w:r>
          </w:p>
        </w:tc>
        <w:tc>
          <w:tcPr>
            <w:tcW w:w="12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7,927</w:t>
            </w:r>
          </w:p>
        </w:tc>
        <w:tc>
          <w:tcPr>
            <w:tcW w:w="13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37,203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10,482</w:t>
            </w: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4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4,333</w:t>
            </w:r>
          </w:p>
        </w:tc>
        <w:tc>
          <w:tcPr>
            <w:tcW w:w="12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870</w:t>
            </w:r>
          </w:p>
        </w:tc>
        <w:tc>
          <w:tcPr>
            <w:tcW w:w="13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9,725</w:t>
            </w:r>
          </w:p>
        </w:tc>
        <w:tc>
          <w:tcPr>
            <w:tcW w:w="12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2,500</w:t>
            </w:r>
          </w:p>
        </w:tc>
        <w:tc>
          <w:tcPr>
            <w:tcW w:w="13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11,568</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0" w:type="dxa"/>
            <w:vAlign w:val="bottom"/>
          </w:tcPr>
          <w:p>
            <w:pPr>
              <w:spacing w:after="0"/>
              <w:rPr>
                <w:sz w:val="1"/>
                <w:szCs w:val="1"/>
                <w:color w:val="auto"/>
              </w:rPr>
            </w:pPr>
          </w:p>
        </w:tc>
      </w:tr>
      <w:tr>
        <w:trPr>
          <w:trHeight w:val="223"/>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14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8,410</w:t>
            </w:r>
          </w:p>
        </w:tc>
        <w:tc>
          <w:tcPr>
            <w:tcW w:w="12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1,960</w:t>
            </w:r>
          </w:p>
        </w:tc>
        <w:tc>
          <w:tcPr>
            <w:tcW w:w="13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19,699</w:t>
            </w:r>
          </w:p>
        </w:tc>
        <w:tc>
          <w:tcPr>
            <w:tcW w:w="12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5,427</w:t>
            </w:r>
          </w:p>
        </w:tc>
        <w:tc>
          <w:tcPr>
            <w:tcW w:w="13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25,635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0" w:type="dxa"/>
            <w:vAlign w:val="bottom"/>
          </w:tcPr>
          <w:p>
            <w:pPr>
              <w:spacing w:after="0"/>
              <w:rPr>
                <w:sz w:val="1"/>
                <w:szCs w:val="1"/>
                <w:color w:val="auto"/>
              </w:rPr>
            </w:pPr>
          </w:p>
        </w:tc>
      </w:tr>
      <w:tr>
        <w:trPr>
          <w:trHeight w:val="475"/>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33,419</w:t>
            </w:r>
          </w:p>
        </w:tc>
        <w:tc>
          <w:tcPr>
            <w:tcW w:w="12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11,969</w:t>
            </w:r>
          </w:p>
        </w:tc>
        <w:tc>
          <w:tcPr>
            <w:tcW w:w="130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36,035</w:t>
            </w:r>
          </w:p>
        </w:tc>
        <w:tc>
          <w:tcPr>
            <w:tcW w:w="12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12,661</w:t>
            </w:r>
          </w:p>
        </w:tc>
        <w:tc>
          <w:tcPr>
            <w:tcW w:w="13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38,670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13,394</w:t>
            </w: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assets</w:t>
            </w:r>
          </w:p>
        </w:tc>
        <w:tc>
          <w:tcPr>
            <w:tcW w:w="14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150,358</w:t>
            </w:r>
          </w:p>
        </w:tc>
        <w:tc>
          <w:tcPr>
            <w:tcW w:w="12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41,457</w:t>
            </w:r>
          </w:p>
        </w:tc>
        <w:tc>
          <w:tcPr>
            <w:tcW w:w="13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143,321</w:t>
            </w:r>
          </w:p>
        </w:tc>
        <w:tc>
          <w:tcPr>
            <w:tcW w:w="12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40,001</w:t>
            </w:r>
          </w:p>
        </w:tc>
        <w:tc>
          <w:tcPr>
            <w:tcW w:w="13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128,830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35,970</w:t>
            </w:r>
          </w:p>
        </w:tc>
        <w:tc>
          <w:tcPr>
            <w:tcW w:w="0" w:type="dxa"/>
            <w:vAlign w:val="bottom"/>
          </w:tcPr>
          <w:p>
            <w:pPr>
              <w:spacing w:after="0"/>
              <w:rPr>
                <w:sz w:val="1"/>
                <w:szCs w:val="1"/>
                <w:color w:val="auto"/>
              </w:rPr>
            </w:pPr>
          </w:p>
        </w:tc>
      </w:tr>
      <w:tr>
        <w:trPr>
          <w:trHeight w:val="223"/>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4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183,777</w:t>
            </w:r>
          </w:p>
        </w:tc>
        <w:tc>
          <w:tcPr>
            <w:tcW w:w="12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53,426</w:t>
            </w:r>
          </w:p>
        </w:tc>
        <w:tc>
          <w:tcPr>
            <w:tcW w:w="13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179,356</w:t>
            </w:r>
          </w:p>
        </w:tc>
        <w:tc>
          <w:tcPr>
            <w:tcW w:w="12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52,662</w:t>
            </w:r>
          </w:p>
        </w:tc>
        <w:tc>
          <w:tcPr>
            <w:tcW w:w="13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167,500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49,364</w:t>
            </w:r>
          </w:p>
        </w:tc>
        <w:tc>
          <w:tcPr>
            <w:tcW w:w="0" w:type="dxa"/>
            <w:vAlign w:val="bottom"/>
          </w:tcPr>
          <w:p>
            <w:pPr>
              <w:spacing w:after="0"/>
              <w:rPr>
                <w:sz w:val="1"/>
                <w:szCs w:val="1"/>
                <w:color w:val="auto"/>
              </w:rPr>
            </w:pPr>
          </w:p>
        </w:tc>
      </w:tr>
      <w:tr>
        <w:trPr>
          <w:trHeight w:val="21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18,827</w:t>
            </w:r>
          </w:p>
        </w:tc>
        <w:tc>
          <w:tcPr>
            <w:tcW w:w="124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5,245</w:t>
            </w:r>
          </w:p>
        </w:tc>
        <w:tc>
          <w:tcPr>
            <w:tcW w:w="130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24,583</w:t>
            </w:r>
          </w:p>
        </w:tc>
        <w:tc>
          <w:tcPr>
            <w:tcW w:w="12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6,939</w:t>
            </w:r>
          </w:p>
        </w:tc>
        <w:tc>
          <w:tcPr>
            <w:tcW w:w="13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27,324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4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66,053</w:t>
            </w:r>
          </w:p>
        </w:tc>
        <w:tc>
          <w:tcPr>
            <w:tcW w:w="12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19,927</w:t>
            </w:r>
          </w:p>
        </w:tc>
        <w:tc>
          <w:tcPr>
            <w:tcW w:w="13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61,022</w:t>
            </w:r>
          </w:p>
        </w:tc>
        <w:tc>
          <w:tcPr>
            <w:tcW w:w="12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18,158</w:t>
            </w:r>
          </w:p>
        </w:tc>
        <w:tc>
          <w:tcPr>
            <w:tcW w:w="13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56,913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17,109</w:t>
            </w:r>
          </w:p>
        </w:tc>
        <w:tc>
          <w:tcPr>
            <w:tcW w:w="0" w:type="dxa"/>
            <w:vAlign w:val="bottom"/>
          </w:tcPr>
          <w:p>
            <w:pPr>
              <w:spacing w:after="0"/>
              <w:rPr>
                <w:sz w:val="1"/>
                <w:szCs w:val="1"/>
                <w:color w:val="auto"/>
              </w:rPr>
            </w:pPr>
          </w:p>
        </w:tc>
      </w:tr>
      <w:tr>
        <w:trPr>
          <w:trHeight w:val="223"/>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assets</w:t>
            </w:r>
          </w:p>
        </w:tc>
        <w:tc>
          <w:tcPr>
            <w:tcW w:w="14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98,897</w:t>
            </w:r>
          </w:p>
        </w:tc>
        <w:tc>
          <w:tcPr>
            <w:tcW w:w="12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28,254</w:t>
            </w:r>
          </w:p>
        </w:tc>
        <w:tc>
          <w:tcPr>
            <w:tcW w:w="13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93,751</w:t>
            </w:r>
          </w:p>
        </w:tc>
        <w:tc>
          <w:tcPr>
            <w:tcW w:w="12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27,565</w:t>
            </w:r>
          </w:p>
        </w:tc>
        <w:tc>
          <w:tcPr>
            <w:tcW w:w="13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83,263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24,649</w:t>
            </w:r>
          </w:p>
        </w:tc>
        <w:tc>
          <w:tcPr>
            <w:tcW w:w="0" w:type="dxa"/>
            <w:vAlign w:val="bottom"/>
          </w:tcPr>
          <w:p>
            <w:pPr>
              <w:spacing w:after="0"/>
              <w:rPr>
                <w:sz w:val="1"/>
                <w:szCs w:val="1"/>
                <w:color w:val="auto"/>
              </w:rPr>
            </w:pPr>
          </w:p>
        </w:tc>
      </w:tr>
      <w:tr>
        <w:trPr>
          <w:trHeight w:val="993"/>
        </w:trPr>
        <w:tc>
          <w:tcPr>
            <w:tcW w:w="3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78</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70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list of significant equity companies as of December 31, 2020, together with the Corporation’s percentage ownership interest, is detailed below:</w:t>
      </w:r>
    </w:p>
    <w:p>
      <w:pPr>
        <w:spacing w:after="0" w:line="13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89"/>
        </w:trPr>
        <w:tc>
          <w:tcPr>
            <w:tcW w:w="54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center"/>
              <w:ind w:left="1060"/>
              <w:spacing w:after="0"/>
              <w:rPr>
                <w:sz w:val="20"/>
                <w:szCs w:val="20"/>
                <w:color w:val="auto"/>
              </w:rPr>
            </w:pPr>
            <w:r>
              <w:rPr>
                <w:rFonts w:ascii="Times New Roman" w:cs="Times New Roman" w:eastAsia="Times New Roman" w:hAnsi="Times New Roman"/>
                <w:sz w:val="14"/>
                <w:szCs w:val="14"/>
                <w:b w:val="1"/>
                <w:bCs w:val="1"/>
                <w:color w:val="auto"/>
              </w:rPr>
              <w:t>Ownership Interest</w:t>
            </w: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Upstream</w:t>
            </w:r>
          </w:p>
        </w:tc>
        <w:tc>
          <w:tcPr>
            <w:tcW w:w="2420" w:type="dxa"/>
            <w:vAlign w:val="bottom"/>
          </w:tcPr>
          <w:p>
            <w:pPr>
              <w:spacing w:after="0"/>
              <w:rPr>
                <w:sz w:val="19"/>
                <w:szCs w:val="19"/>
                <w:color w:val="auto"/>
              </w:rPr>
            </w:pPr>
          </w:p>
        </w:tc>
      </w:tr>
      <w:tr>
        <w:trPr>
          <w:trHeight w:val="210"/>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Aera Energy LLC</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48</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Barzan Gas Company Limited</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7</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BEB Erdgas und Erdoel GmbH &amp; Co. KG</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50</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Cameroon Oil Transportation Company S.A.</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41</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Caspian Pipeline Consortium - Kazakhstan</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8</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CORAL FLNG, S.A.</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25</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Cross Timbers Energy, LLC</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50</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Golden Pass LNG Terminal LLC</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30</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Golden Pass Pipeline LLC</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30</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Marine Well Containment Company LLC</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10</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Mozambique Rovuma Venture, S.p.A.</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36</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Nederlandse Aardolie Maatschappij B.V.</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50</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Papua New Guinea Liquefied Natural Gas Global Company LDC</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33</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Permian Highway Pipeline LLC</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20</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Qatar Liquefied Gas Company Limited</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10</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Qatar Liquefied Gas Company Limited (2)</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24</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Ras Laffan Liquefied Natural Gas Company Limited</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25</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Ras Laffan Liquefied Natural Gas Company Limited (II)</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31</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Ras Laffan Liquefied Natural Gas Company Limited (3)</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30</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 Hook LNG Terminal Company Limited</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24</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Tengizchevroil, LLP</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25</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Terminale GNL Adriatico S.r.l.</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71</w:t>
            </w:r>
          </w:p>
        </w:tc>
      </w:tr>
      <w:tr>
        <w:trPr>
          <w:trHeight w:val="451"/>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Downstream</w:t>
            </w:r>
          </w:p>
        </w:tc>
        <w:tc>
          <w:tcPr>
            <w:tcW w:w="2420" w:type="dxa"/>
            <w:vAlign w:val="bottom"/>
          </w:tcPr>
          <w:p>
            <w:pPr>
              <w:spacing w:after="0"/>
              <w:rPr>
                <w:sz w:val="24"/>
                <w:szCs w:val="24"/>
                <w:color w:val="auto"/>
              </w:rPr>
            </w:pPr>
          </w:p>
        </w:tc>
      </w:tr>
      <w:tr>
        <w:trPr>
          <w:trHeight w:val="210"/>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Alberta Products Pipe Line Ltd.</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45</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Fujian Refining &amp; Petrochemical Co. Ltd.</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25</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Permian Express Partners LLC</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12</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Saudi Aramco Mobil Refinery Company Ltd.</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50</w:t>
            </w:r>
          </w:p>
        </w:tc>
      </w:tr>
      <w:tr>
        <w:trPr>
          <w:trHeight w:val="465"/>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Chemical</w:t>
            </w:r>
          </w:p>
        </w:tc>
        <w:tc>
          <w:tcPr>
            <w:tcW w:w="2420" w:type="dxa"/>
            <w:vAlign w:val="bottom"/>
          </w:tcPr>
          <w:p>
            <w:pPr>
              <w:spacing w:after="0"/>
              <w:rPr>
                <w:sz w:val="24"/>
                <w:szCs w:val="24"/>
                <w:color w:val="auto"/>
              </w:rPr>
            </w:pPr>
          </w:p>
        </w:tc>
      </w:tr>
      <w:tr>
        <w:trPr>
          <w:trHeight w:val="210"/>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Al-Jubail Petrochemical Company</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50</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Gulf Coast Growth Ventures LLC</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50</w:t>
            </w:r>
          </w:p>
        </w:tc>
      </w:tr>
      <w:tr>
        <w:trPr>
          <w:trHeight w:val="216"/>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Saudi Yanbu Petrochemical Co.</w:t>
            </w:r>
          </w:p>
        </w:tc>
        <w:tc>
          <w:tcPr>
            <w:tcW w:w="2420" w:type="dxa"/>
            <w:vAlign w:val="bottom"/>
          </w:tcPr>
          <w:p>
            <w:pPr>
              <w:jc w:val="center"/>
              <w:ind w:left="1060"/>
              <w:spacing w:after="0"/>
              <w:rPr>
                <w:sz w:val="20"/>
                <w:szCs w:val="20"/>
                <w:color w:val="auto"/>
              </w:rPr>
            </w:pPr>
            <w:r>
              <w:rPr>
                <w:rFonts w:ascii="Times New Roman" w:cs="Times New Roman" w:eastAsia="Times New Roman" w:hAnsi="Times New Roman"/>
                <w:sz w:val="16"/>
                <w:szCs w:val="16"/>
                <w:color w:val="auto"/>
                <w:w w:val="99"/>
              </w:rPr>
              <w:t>50</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320" w:top="117" w:right="11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 Advances and Long-Term Receivables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Dec 31, 2020</w:t>
            </w:r>
          </w:p>
        </w:tc>
        <w:tc>
          <w:tcPr>
            <w:tcW w:w="12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 31, 2019</w:t>
            </w:r>
          </w:p>
        </w:tc>
        <w:tc>
          <w:tcPr>
            <w:tcW w:w="0" w:type="dxa"/>
            <w:vAlign w:val="bottom"/>
          </w:tcPr>
          <w:p>
            <w:pPr>
              <w:spacing w:after="0"/>
              <w:rPr>
                <w:sz w:val="1"/>
                <w:szCs w:val="1"/>
                <w:color w:val="auto"/>
              </w:rPr>
            </w:pPr>
          </w:p>
        </w:tc>
      </w:tr>
      <w:tr>
        <w:trPr>
          <w:trHeight w:val="37"/>
        </w:trPr>
        <w:tc>
          <w:tcPr>
            <w:tcW w:w="59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2"/>
          </w:tcPr>
          <w:p>
            <w:pPr>
              <w:jc w:val="right"/>
              <w:ind w:right="753"/>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0" w:type="dxa"/>
            <w:vAlign w:val="bottom"/>
          </w:tcPr>
          <w:p>
            <w:pPr>
              <w:spacing w:after="0"/>
              <w:rPr>
                <w:sz w:val="1"/>
                <w:szCs w:val="1"/>
                <w:color w:val="auto"/>
              </w:rPr>
            </w:pPr>
          </w:p>
        </w:tc>
      </w:tr>
      <w:tr>
        <w:trPr>
          <w:trHeight w:val="262"/>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company investments and advances</w:t>
            </w:r>
          </w:p>
        </w:tc>
        <w:tc>
          <w:tcPr>
            <w:tcW w:w="1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w:t>
            </w: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29,772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29,291</w:t>
            </w:r>
          </w:p>
        </w:tc>
        <w:tc>
          <w:tcPr>
            <w:tcW w:w="0" w:type="dxa"/>
            <w:vAlign w:val="bottom"/>
          </w:tcPr>
          <w:p>
            <w:pPr>
              <w:spacing w:after="0"/>
              <w:rPr>
                <w:sz w:val="1"/>
                <w:szCs w:val="1"/>
                <w:color w:val="auto"/>
              </w:rPr>
            </w:pPr>
          </w:p>
        </w:tc>
      </w:tr>
      <w:tr>
        <w:trPr>
          <w:trHeight w:val="234"/>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Advances, net of allowances of $31 million in 2020</w:t>
            </w:r>
          </w:p>
        </w:tc>
        <w:tc>
          <w:tcPr>
            <w:tcW w:w="1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8,812</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0" w:type="dxa"/>
            <w:vAlign w:val="bottom"/>
          </w:tcPr>
          <w:p>
            <w:pPr>
              <w:spacing w:after="0"/>
              <w:rPr>
                <w:sz w:val="1"/>
                <w:szCs w:val="1"/>
                <w:color w:val="auto"/>
              </w:rPr>
            </w:pPr>
          </w:p>
        </w:tc>
      </w:tr>
      <w:tr>
        <w:trPr>
          <w:trHeight w:val="218"/>
        </w:trPr>
        <w:tc>
          <w:tcPr>
            <w:tcW w:w="5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equity method company investments and advances</w:t>
            </w: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38,584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37,833</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 carried at fair value and other investments at adjusted cost basis</w:t>
            </w: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143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4"/>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receivables and miscellaneous, net of reserves of $6,115 million and $5,643 million</w:t>
            </w:r>
          </w:p>
        </w:tc>
        <w:tc>
          <w:tcPr>
            <w:tcW w:w="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4,788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0" w:type="dxa"/>
            <w:vAlign w:val="bottom"/>
          </w:tcPr>
          <w:p>
            <w:pPr>
              <w:spacing w:after="0"/>
              <w:rPr>
                <w:sz w:val="1"/>
                <w:szCs w:val="1"/>
                <w:color w:val="auto"/>
              </w:rPr>
            </w:pPr>
          </w:p>
        </w:tc>
      </w:tr>
      <w:tr>
        <w:trPr>
          <w:trHeight w:val="223"/>
        </w:trPr>
        <w:tc>
          <w:tcPr>
            <w:tcW w:w="5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43,515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43,164</w:t>
            </w:r>
          </w:p>
        </w:tc>
        <w:tc>
          <w:tcPr>
            <w:tcW w:w="0" w:type="dxa"/>
            <w:vAlign w:val="bottom"/>
          </w:tcPr>
          <w:p>
            <w:pPr>
              <w:spacing w:after="0"/>
              <w:rPr>
                <w:sz w:val="1"/>
                <w:szCs w:val="1"/>
                <w:color w:val="auto"/>
              </w:rPr>
            </w:pPr>
          </w:p>
        </w:tc>
      </w:tr>
      <w:tr>
        <w:trPr>
          <w:trHeight w:val="547"/>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Property, Plant and Equipment and Asset Retirement Obligations</w:t>
            </w: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5900" w:type="dxa"/>
            <w:vAlign w:val="bottom"/>
          </w:tcPr>
          <w:p>
            <w:pPr>
              <w:spacing w:after="0"/>
              <w:rPr>
                <w:sz w:val="24"/>
                <w:szCs w:val="24"/>
                <w:color w:val="auto"/>
              </w:rPr>
            </w:pPr>
          </w:p>
        </w:tc>
        <w:tc>
          <w:tcPr>
            <w:tcW w:w="268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660" w:type="dxa"/>
            <w:vAlign w:val="bottom"/>
            <w:gridSpan w:val="2"/>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37"/>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15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5900" w:type="dxa"/>
            <w:vAlign w:val="bottom"/>
            <w:tcBorders>
              <w:bottom w:val="single" w:sz="8" w:color="auto"/>
            </w:tcBorders>
            <w:vMerge w:val="continue"/>
          </w:tcPr>
          <w:p>
            <w:pPr>
              <w:spacing w:after="0"/>
              <w:rPr>
                <w:sz w:val="18"/>
                <w:szCs w:val="18"/>
                <w:color w:val="auto"/>
              </w:rPr>
            </w:pPr>
          </w:p>
        </w:tc>
        <w:tc>
          <w:tcPr>
            <w:tcW w:w="15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6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6"/>
        </w:trPr>
        <w:tc>
          <w:tcPr>
            <w:tcW w:w="59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560" w:type="dxa"/>
            <w:vAlign w:val="bottom"/>
            <w:gridSpan w:val="3"/>
          </w:tcPr>
          <w:p>
            <w:pPr>
              <w:jc w:val="right"/>
              <w:ind w:right="755"/>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Upstream</w:t>
            </w:r>
          </w:p>
        </w:tc>
        <w:tc>
          <w:tcPr>
            <w:tcW w:w="152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386,614</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167,472</w:t>
            </w: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376,041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196,767</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Downstream</w:t>
            </w:r>
          </w:p>
        </w:tc>
        <w:tc>
          <w:tcPr>
            <w:tcW w:w="152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57,922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27,716</w:t>
            </w: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52,527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24,506</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w:t>
            </w:r>
          </w:p>
        </w:tc>
        <w:tc>
          <w:tcPr>
            <w:tcW w:w="152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42,868</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21,924</w:t>
            </w: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40,788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21,260</w:t>
            </w:r>
          </w:p>
        </w:tc>
        <w:tc>
          <w:tcPr>
            <w:tcW w:w="0" w:type="dxa"/>
            <w:vAlign w:val="bottom"/>
          </w:tcPr>
          <w:p>
            <w:pPr>
              <w:spacing w:after="0"/>
              <w:rPr>
                <w:sz w:val="1"/>
                <w:szCs w:val="1"/>
                <w:color w:val="auto"/>
              </w:rPr>
            </w:pP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17,918</w:t>
            </w:r>
          </w:p>
        </w:tc>
        <w:tc>
          <w:tcPr>
            <w:tcW w:w="11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10,441</w:t>
            </w:r>
          </w:p>
        </w:tc>
        <w:tc>
          <w:tcPr>
            <w:tcW w:w="14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17,346</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0" w:type="dxa"/>
            <w:vAlign w:val="bottom"/>
          </w:tcPr>
          <w:p>
            <w:pPr>
              <w:spacing w:after="0"/>
              <w:rPr>
                <w:sz w:val="1"/>
                <w:szCs w:val="1"/>
                <w:color w:val="auto"/>
              </w:rPr>
            </w:pPr>
          </w:p>
        </w:tc>
      </w:tr>
      <w:tr>
        <w:trPr>
          <w:trHeight w:val="223"/>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505,322</w:t>
            </w:r>
          </w:p>
        </w:tc>
        <w:tc>
          <w:tcPr>
            <w:tcW w:w="11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227,553</w:t>
            </w:r>
          </w:p>
        </w:tc>
        <w:tc>
          <w:tcPr>
            <w:tcW w:w="14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486,702</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253,018</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Corporation has a robust process to monitor for indicators of potential impairment across its asset groups throughout the year. This process is aligned with the requirements of ASC 360 and ASC 932, and relies in part on the Corporation’s planning and budgeting cycle. In 2020, the Corporation identified a number of situations where events or changes in circumstances indicated that the carrying value of certain long-lived assets may not be recoverable. Those situations primarily related to the annual review and approval of the Corporation's business and strategic plan. As part of the planning process, the Corporation assessed its full portfolio to prioritize assets with the highest future value potential within its broad range of available opportunities in order to optimize resources within current levels of debt and operating cash flow, as well as identify potential asset divestment candidates. This effort included a re-assessment of dry gas assets, primarily in North America, which previously had been included in the Corporation’s future development plans. Under the plan as approved, the Corporation no longer plans to develop a significant portion of its dry gas portfolio, including a portion of its resources in the Appalachian, Rocky Mountains, Oklahoma, Texas, Louisiana, and Arkansas regions of the U.S., as well as resources in Western Canada and Argentina. The decision not to develop these assets resulted in non-cash, before-tax charges of $24.4 billion in Upstream to reduce the carrying value of those assets to fair value. Other before-tax impairment charges in 2020 included $0.9 billion in Upstream, $0.5 billion in Downstream, and $0.1 billion in Chemical. Impairment charges are primarily recognized in the lines “Depreciation and depletion” and “Exploration expenses, including dry holes” on the Consolidated Statement of Income.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assessment of fair value requires the use of Level 3 inputs and assumptions that are based upon the views of a likely market participant. The principal parameters used to establish fair value include estimates of acreage values and flowing production metrics from comparable market transactions, market-based estimates of historical cash flow multiples, and discounted cash flows. Inputs and assumptions used in discounted cash flow models include estimates of future production volumes, commodity prices which were consistent with the average of third-party industry experts and government agencies, drilling and development costs, and discount rates ranging from 6 percent to 8 percent which are reflective of the characteristics of the asset group.</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Factors which could put further assets at risk of impairment in the future include reductions in the Corporation’s price outlooks, changes in the allocation of capital, and operating cost increases which exceed the pace of efficiencies or the pace of oil and natural gas price increases. However, due to the inherent difficulty in predicting future commodity prices, and the relationship between industry prices and costs, it is not practicable to reasonably estimate the existence or range of any potential future impairment charges related to the Corporation’s long-lived assets. In 2019 and 2018, the before-tax impairment charges were $0.1 billion and $0.7 billion, respectively.</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Accumulated depreciation and depletion totaled $277,769 million at the end of 2020 and $233,684 million at the end of 2019. Interest capitalized in 2020, 2019 and 2018 was $665 million, $731 million and $652 million, respectively.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Corporation incurs retirement obligations for certain assets. The fair values of these obligations are recorded as liabilities on a discounted basis, which is typically at the time the assets are installed. In the estimation of fair value, the Corporation uses assumptions and judgments regarding such factors as the existence of a legal obligation for an asset retirement obligation; technical assessments of the assets; estimated amounts and timing of settlements; discount rates; and inflation rates. Asset retirement obligations incurred in the current period were Level 3 fair value measurements. The costs associated with these liabilities are capitalized as part of the related assets and depreciated as the reserves are produced. Over time, the liabilities are accreted for the change in their present value.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 retirement obligations for downstream and chemical facilities generally become firm at the time the facilities are permanently shut down and dismantled. These obligations may include the costs of asset disposal and additional soil remediation. However, these sites have indeterminate lives based on plans for continued operations and as such, the fair value of the conditional legal obligations cannot be measured, since it is impossible to estimate the future settlement dates of such obligations.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liability for asset retirement obligations: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5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8"/>
        </w:trPr>
        <w:tc>
          <w:tcPr>
            <w:tcW w:w="7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tcPr>
          <w:p>
            <w:pPr>
              <w:jc w:val="right"/>
              <w:ind w:right="274"/>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940" w:type="dxa"/>
            <w:vAlign w:val="bottom"/>
          </w:tcPr>
          <w:p>
            <w:pPr>
              <w:spacing w:after="0"/>
              <w:rPr>
                <w:sz w:val="18"/>
                <w:szCs w:val="18"/>
                <w:color w:val="auto"/>
              </w:rPr>
            </w:pPr>
          </w:p>
        </w:tc>
      </w:tr>
      <w:tr>
        <w:trPr>
          <w:trHeight w:val="235"/>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11,280</w:t>
            </w:r>
          </w:p>
        </w:tc>
        <w:tc>
          <w:tcPr>
            <w:tcW w:w="15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12,103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12,705</w:t>
            </w:r>
          </w:p>
        </w:tc>
      </w:tr>
      <w:tr>
        <w:trPr>
          <w:trHeight w:val="229"/>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 expense and other provisions</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584</w:t>
            </w:r>
          </w:p>
        </w:tc>
        <w:tc>
          <w:tcPr>
            <w:tcW w:w="15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649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30"/>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Reduction due to property sales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5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(1,085)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29"/>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made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58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(827)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Liabilities incurred</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15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89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239</w:t>
            </w:r>
          </w:p>
        </w:tc>
        <w:tc>
          <w:tcPr>
            <w:tcW w:w="158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84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34"/>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Revisions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5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8"/>
                <w:szCs w:val="18"/>
                <w:color w:val="auto"/>
              </w:rPr>
              <w:t>267</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11,247</w:t>
            </w:r>
          </w:p>
        </w:tc>
        <w:tc>
          <w:tcPr>
            <w:tcW w:w="15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8"/>
                <w:szCs w:val="18"/>
                <w:color w:val="auto"/>
              </w:rPr>
              <w:t>11,280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12,103</w:t>
            </w:r>
          </w:p>
        </w:tc>
      </w:tr>
    </w:tbl>
    <w:p>
      <w:pPr>
        <w:spacing w:after="0" w:line="29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long-term Asset Retirement Obligations were $10,558 million and $10,279 million at December 31, 2020, and 2019, respectively, and are included in “Other long-term obligations.”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Accounting for Suspended Exploratory Well Costs</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Corporation continues capitalization of exploratory well costs when the well has found a sufficient quantity of reserves to justify its completion as a producing well and the Corporation is making sufficient progress assessing the reserves and the economic and operating viability of the project. The term “project” as used in this report can refer to a variety of different activities and does not necessarily have the same meaning as in any government payment transparency reports.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two tables provide details of the changes in the balance of suspended exploratory well costs as well as an aging summary of those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capitalized suspended exploratory well costs: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1"/>
        </w:trPr>
        <w:tc>
          <w:tcPr>
            <w:tcW w:w="7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at January 1</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4,613</w:t>
            </w:r>
          </w:p>
        </w:tc>
        <w:tc>
          <w:tcPr>
            <w:tcW w:w="16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4,160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pending the determination of proved reserves</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208</w:t>
            </w:r>
          </w:p>
        </w:tc>
        <w:tc>
          <w:tcPr>
            <w:tcW w:w="16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532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Charged to expense</w:t>
            </w:r>
          </w:p>
        </w:tc>
        <w:tc>
          <w:tcPr>
            <w:tcW w:w="1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(318)</w:t>
            </w:r>
          </w:p>
        </w:tc>
        <w:tc>
          <w:tcPr>
            <w:tcW w:w="160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(46)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80"/>
        </w:trPr>
        <w:tc>
          <w:tcPr>
            <w:tcW w:w="758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Reclassifications to wells, facilities and equipment based on the</w:t>
            </w:r>
          </w:p>
        </w:tc>
        <w:tc>
          <w:tcPr>
            <w:tcW w:w="12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(174)</w:t>
            </w:r>
          </w:p>
        </w:tc>
        <w:tc>
          <w:tcPr>
            <w:tcW w:w="1600" w:type="dxa"/>
            <w:vAlign w:val="bottom"/>
            <w:vMerge w:val="restart"/>
          </w:tcPr>
          <w:p>
            <w:pPr>
              <w:jc w:val="right"/>
              <w:ind w:right="394"/>
              <w:spacing w:after="0"/>
              <w:rPr>
                <w:sz w:val="20"/>
                <w:szCs w:val="20"/>
                <w:color w:val="auto"/>
              </w:rPr>
            </w:pPr>
            <w:r>
              <w:rPr>
                <w:rFonts w:ascii="Times New Roman" w:cs="Times New Roman" w:eastAsia="Times New Roman" w:hAnsi="Times New Roman"/>
                <w:sz w:val="18"/>
                <w:szCs w:val="18"/>
                <w:color w:val="auto"/>
              </w:rPr>
              <w:t>(37)</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5"/>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determination of proved reserves</w:t>
            </w:r>
          </w:p>
        </w:tc>
        <w:tc>
          <w:tcPr>
            <w:tcW w:w="126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Divestments/Other</w:t>
            </w: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53</w:t>
            </w:r>
          </w:p>
        </w:tc>
        <w:tc>
          <w:tcPr>
            <w:tcW w:w="16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at December 31</w:t>
            </w: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4,382</w:t>
            </w:r>
          </w:p>
        </w:tc>
        <w:tc>
          <w:tcPr>
            <w:tcW w:w="16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4,613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0" w:type="dxa"/>
            <w:vAlign w:val="bottom"/>
          </w:tcPr>
          <w:p>
            <w:pPr>
              <w:spacing w:after="0"/>
              <w:rPr>
                <w:sz w:val="1"/>
                <w:szCs w:val="1"/>
                <w:color w:val="auto"/>
              </w:rPr>
            </w:pPr>
          </w:p>
        </w:tc>
      </w:tr>
      <w:tr>
        <w:trPr>
          <w:trHeight w:val="228"/>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attributed to equity companies included above</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306</w:t>
            </w:r>
          </w:p>
        </w:tc>
        <w:tc>
          <w:tcPr>
            <w:tcW w:w="16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306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508"/>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Period end capitalized suspended exploratory well costs:</w:t>
            </w: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5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1"/>
        </w:trPr>
        <w:tc>
          <w:tcPr>
            <w:tcW w:w="7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for a period of one year or less</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208</w:t>
            </w:r>
          </w:p>
        </w:tc>
        <w:tc>
          <w:tcPr>
            <w:tcW w:w="16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532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for a period of between one and five years</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1,828</w:t>
            </w:r>
          </w:p>
        </w:tc>
        <w:tc>
          <w:tcPr>
            <w:tcW w:w="16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2,206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9"/>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for a period of between five and ten years</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1,932</w:t>
            </w:r>
          </w:p>
        </w:tc>
        <w:tc>
          <w:tcPr>
            <w:tcW w:w="160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1,411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34"/>
        </w:trPr>
        <w:tc>
          <w:tcPr>
            <w:tcW w:w="7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for a period of greater than ten years</w:t>
            </w: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414</w:t>
            </w:r>
          </w:p>
        </w:tc>
        <w:tc>
          <w:tcPr>
            <w:tcW w:w="16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464</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3"/>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for a period greater than one year - subtotal</w:t>
            </w: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4,174</w:t>
            </w:r>
          </w:p>
        </w:tc>
        <w:tc>
          <w:tcPr>
            <w:tcW w:w="16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4,081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0" w:type="dxa"/>
            <w:vAlign w:val="bottom"/>
          </w:tcPr>
          <w:p>
            <w:pPr>
              <w:spacing w:after="0"/>
              <w:rPr>
                <w:sz w:val="1"/>
                <w:szCs w:val="1"/>
                <w:color w:val="auto"/>
              </w:rPr>
            </w:pPr>
          </w:p>
        </w:tc>
      </w:tr>
      <w:tr>
        <w:trPr>
          <w:trHeight w:val="223"/>
        </w:trPr>
        <w:tc>
          <w:tcPr>
            <w:tcW w:w="7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4,382</w:t>
            </w:r>
          </w:p>
        </w:tc>
        <w:tc>
          <w:tcPr>
            <w:tcW w:w="16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8"/>
                <w:szCs w:val="18"/>
                <w:color w:val="auto"/>
              </w:rPr>
              <w:t>4,613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Exploration activity often involves drilling multiple wells, over a number of years, to fully evaluate a project. The table below provides a breakdown of the number of projects with only exploratory well costs capitalized for a period of one year or less and those that have had exploratory well costs capitalized for a period greater than one year.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74"/>
        </w:trPr>
        <w:tc>
          <w:tcPr>
            <w:tcW w:w="75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Number of projects that only have exploratory well costs capitalized for a</w:t>
            </w:r>
          </w:p>
        </w:tc>
        <w:tc>
          <w:tcPr>
            <w:tcW w:w="1620" w:type="dxa"/>
            <w:vAlign w:val="bottom"/>
            <w:vMerge w:val="restart"/>
          </w:tcPr>
          <w:p>
            <w:pPr>
              <w:jc w:val="right"/>
              <w:ind w:right="455"/>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vMerge w:val="restart"/>
          </w:tcPr>
          <w:p>
            <w:pPr>
              <w:jc w:val="right"/>
              <w:ind w:right="455"/>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of one year or less</w:t>
            </w:r>
          </w:p>
        </w:tc>
        <w:tc>
          <w:tcPr>
            <w:tcW w:w="162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5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Number of projects that have exploratory well costs capitalized for a period</w:t>
            </w:r>
          </w:p>
        </w:tc>
        <w:tc>
          <w:tcPr>
            <w:tcW w:w="1620" w:type="dxa"/>
            <w:vAlign w:val="bottom"/>
            <w:vMerge w:val="restart"/>
          </w:tcPr>
          <w:p>
            <w:pPr>
              <w:jc w:val="right"/>
              <w:ind w:right="455"/>
              <w:spacing w:after="0"/>
              <w:rPr>
                <w:sz w:val="20"/>
                <w:szCs w:val="20"/>
                <w:color w:val="auto"/>
              </w:rPr>
            </w:pPr>
            <w:r>
              <w:rPr>
                <w:rFonts w:ascii="Times New Roman" w:cs="Times New Roman" w:eastAsia="Times New Roman" w:hAnsi="Times New Roman"/>
                <w:sz w:val="18"/>
                <w:szCs w:val="18"/>
                <w:color w:val="auto"/>
              </w:rPr>
              <w:t>34</w:t>
            </w:r>
          </w:p>
        </w:tc>
        <w:tc>
          <w:tcPr>
            <w:tcW w:w="1260" w:type="dxa"/>
            <w:vAlign w:val="bottom"/>
            <w:vMerge w:val="restart"/>
          </w:tcPr>
          <w:p>
            <w:pPr>
              <w:jc w:val="right"/>
              <w:ind w:right="455"/>
              <w:spacing w:after="0"/>
              <w:rPr>
                <w:sz w:val="20"/>
                <w:szCs w:val="20"/>
                <w:color w:val="auto"/>
              </w:rPr>
            </w:pPr>
            <w:r>
              <w:rPr>
                <w:rFonts w:ascii="Times New Roman" w:cs="Times New Roman" w:eastAsia="Times New Roman" w:hAnsi="Times New Roman"/>
                <w:sz w:val="18"/>
                <w:szCs w:val="18"/>
                <w:color w:val="auto"/>
              </w:rPr>
              <w:t>46</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4"/>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than one year</w:t>
            </w:r>
          </w:p>
        </w:tc>
        <w:tc>
          <w:tcPr>
            <w:tcW w:w="162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8"/>
                <w:szCs w:val="18"/>
                <w:color w:val="auto"/>
              </w:rPr>
              <w:t>37</w:t>
            </w:r>
          </w:p>
        </w:tc>
        <w:tc>
          <w:tcPr>
            <w:tcW w:w="12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8"/>
                <w:szCs w:val="18"/>
                <w:color w:val="auto"/>
              </w:rPr>
              <w:t>50</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 34 projects that have exploratory well costs capitalized for a period greater than one year as of December 31, 2020, 13 projects have drilling in the preceding year or exploratory activity planned in the next two years, while the remaining 21 projects are those with completed exploratory activity progressing toward development.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additional detail for those 21 projects, which total $3,181 million.</w:t>
      </w:r>
    </w:p>
    <w:p>
      <w:pPr>
        <w:spacing w:after="0" w:line="37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060" w:type="dxa"/>
            <w:vAlign w:val="bottom"/>
            <w:tcBorders>
              <w:top w:val="single" w:sz="8" w:color="auto"/>
              <w:left w:val="single" w:sz="8" w:color="auto"/>
            </w:tcBorders>
            <w:vMerge w:val="restart"/>
          </w:tcPr>
          <w:p>
            <w:pPr>
              <w:ind w:left="700"/>
              <w:spacing w:after="0"/>
              <w:rPr>
                <w:sz w:val="20"/>
                <w:szCs w:val="20"/>
                <w:color w:val="auto"/>
              </w:rPr>
            </w:pPr>
            <w:r>
              <w:rPr>
                <w:rFonts w:ascii="Times New Roman" w:cs="Times New Roman" w:eastAsia="Times New Roman" w:hAnsi="Times New Roman"/>
                <w:sz w:val="18"/>
                <w:szCs w:val="18"/>
                <w:color w:val="auto"/>
              </w:rPr>
              <w:t>Country/Project</w:t>
            </w:r>
          </w:p>
        </w:tc>
        <w:tc>
          <w:tcPr>
            <w:tcW w:w="520" w:type="dxa"/>
            <w:vAlign w:val="bottom"/>
            <w:tcBorders>
              <w:top w:val="single" w:sz="8" w:color="auto"/>
              <w:right w:val="single" w:sz="8" w:color="auto"/>
            </w:tcBorders>
          </w:tcPr>
          <w:p>
            <w:pPr>
              <w:spacing w:after="0"/>
              <w:rPr>
                <w:sz w:val="16"/>
                <w:szCs w:val="16"/>
                <w:color w:val="auto"/>
              </w:rPr>
            </w:pPr>
          </w:p>
        </w:tc>
        <w:tc>
          <w:tcPr>
            <w:tcW w:w="900" w:type="dxa"/>
            <w:vAlign w:val="bottom"/>
            <w:tcBorders>
              <w:top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Dec. 31,</w:t>
            </w:r>
          </w:p>
        </w:tc>
        <w:tc>
          <w:tcPr>
            <w:tcW w:w="1360" w:type="dxa"/>
            <w:vAlign w:val="bottom"/>
            <w:tcBorders>
              <w:top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4"/>
              </w:rPr>
              <w:t>Years Wells</w:t>
            </w:r>
          </w:p>
        </w:tc>
        <w:tc>
          <w:tcPr>
            <w:tcW w:w="6280" w:type="dxa"/>
            <w:vAlign w:val="bottom"/>
            <w:tcBorders>
              <w:top w:val="single" w:sz="8" w:color="auto"/>
              <w:right w:val="single" w:sz="8" w:color="auto"/>
            </w:tcBorders>
            <w:vMerge w:val="restart"/>
          </w:tcPr>
          <w:p>
            <w:pPr>
              <w:ind w:left="2760"/>
              <w:spacing w:after="0"/>
              <w:rPr>
                <w:sz w:val="20"/>
                <w:szCs w:val="20"/>
                <w:color w:val="auto"/>
              </w:rPr>
            </w:pPr>
            <w:r>
              <w:rPr>
                <w:rFonts w:ascii="Times New Roman" w:cs="Times New Roman" w:eastAsia="Times New Roman" w:hAnsi="Times New Roman"/>
                <w:sz w:val="18"/>
                <w:szCs w:val="18"/>
                <w:color w:val="auto"/>
              </w:rPr>
              <w:t>Comment</w:t>
            </w:r>
          </w:p>
        </w:tc>
        <w:tc>
          <w:tcPr>
            <w:tcW w:w="0" w:type="dxa"/>
            <w:vAlign w:val="bottom"/>
          </w:tcPr>
          <w:p>
            <w:pPr>
              <w:spacing w:after="0"/>
              <w:rPr>
                <w:sz w:val="1"/>
                <w:szCs w:val="1"/>
                <w:color w:val="auto"/>
              </w:rPr>
            </w:pPr>
          </w:p>
        </w:tc>
      </w:tr>
      <w:tr>
        <w:trPr>
          <w:trHeight w:val="229"/>
        </w:trPr>
        <w:tc>
          <w:tcPr>
            <w:tcW w:w="2060" w:type="dxa"/>
            <w:vAlign w:val="bottom"/>
            <w:tcBorders>
              <w:left w:val="single" w:sz="8" w:color="auto"/>
              <w:bottom w:val="single" w:sz="8" w:color="auto"/>
            </w:tcBorders>
            <w:vMerge w:val="continue"/>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Drilled / Acquired</w:t>
            </w:r>
          </w:p>
        </w:tc>
        <w:tc>
          <w:tcPr>
            <w:tcW w:w="62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spacing w:after="0"/>
              <w:rPr>
                <w:sz w:val="19"/>
                <w:szCs w:val="19"/>
                <w:color w:val="auto"/>
              </w:rPr>
            </w:pPr>
          </w:p>
        </w:tc>
        <w:tc>
          <w:tcPr>
            <w:tcW w:w="27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i w:val="1"/>
                <w:iCs w:val="1"/>
                <w:color w:val="auto"/>
              </w:rPr>
              <w:t>(millions of dollars)</w:t>
            </w:r>
          </w:p>
        </w:tc>
        <w:tc>
          <w:tcPr>
            <w:tcW w:w="6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Angola</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6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 Kaombo Split Hub</w:t>
            </w:r>
          </w:p>
        </w:tc>
        <w:tc>
          <w:tcPr>
            <w:tcW w:w="5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10</w:t>
            </w:r>
          </w:p>
        </w:tc>
        <w:tc>
          <w:tcPr>
            <w:tcW w:w="1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2006</w:t>
            </w:r>
          </w:p>
        </w:tc>
        <w:tc>
          <w:tcPr>
            <w:tcW w:w="62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Evaluating development plan to tie into planned production facilities.</w:t>
            </w:r>
          </w:p>
        </w:tc>
        <w:tc>
          <w:tcPr>
            <w:tcW w:w="0" w:type="dxa"/>
            <w:vAlign w:val="bottom"/>
          </w:tcPr>
          <w:p>
            <w:pPr>
              <w:spacing w:after="0"/>
              <w:rPr>
                <w:sz w:val="1"/>
                <w:szCs w:val="1"/>
                <w:color w:val="auto"/>
              </w:rPr>
            </w:pPr>
          </w:p>
        </w:tc>
      </w:tr>
      <w:tr>
        <w:trPr>
          <w:trHeight w:val="229"/>
        </w:trPr>
        <w:tc>
          <w:tcPr>
            <w:tcW w:w="206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Phase 2</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Argentina</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La Invernada</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6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Evaluating development plan to tie into planned infrastructure.</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Australia</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Gorgon Area Ullage</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347</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1994 - 2015</w:t>
            </w:r>
          </w:p>
        </w:tc>
        <w:tc>
          <w:tcPr>
            <w:tcW w:w="6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Evaluating development plans to tie into existing LNG facilities.</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Bacalhau Phase 1</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284</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6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Continuing discussions with the government regarding development plan.</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Hibernia North</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6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Awaiting capacity in existing/planned infrastructure.</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Iraq</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6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 Kurdistan Pirmam</w:t>
            </w:r>
          </w:p>
        </w:tc>
        <w:tc>
          <w:tcPr>
            <w:tcW w:w="5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109</w:t>
            </w:r>
          </w:p>
        </w:tc>
        <w:tc>
          <w:tcPr>
            <w:tcW w:w="1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2015</w:t>
            </w:r>
          </w:p>
        </w:tc>
        <w:tc>
          <w:tcPr>
            <w:tcW w:w="62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Evaluating commercialization alternatives, while waiting for government approval to</w:t>
            </w: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enter Gas Holding Period.</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Kazakhstan</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6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 Kairan</w:t>
            </w:r>
          </w:p>
        </w:tc>
        <w:tc>
          <w:tcPr>
            <w:tcW w:w="5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53</w:t>
            </w:r>
          </w:p>
        </w:tc>
        <w:tc>
          <w:tcPr>
            <w:tcW w:w="1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2004 - 2007</w:t>
            </w:r>
          </w:p>
        </w:tc>
        <w:tc>
          <w:tcPr>
            <w:tcW w:w="62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Evaluating commercialization and field development alternatives, while continuing</w:t>
            </w:r>
          </w:p>
        </w:tc>
        <w:tc>
          <w:tcPr>
            <w:tcW w:w="0" w:type="dxa"/>
            <w:vAlign w:val="bottom"/>
          </w:tcPr>
          <w:p>
            <w:pPr>
              <w:spacing w:after="0"/>
              <w:rPr>
                <w:sz w:val="1"/>
                <w:szCs w:val="1"/>
                <w:color w:val="auto"/>
              </w:rPr>
            </w:pPr>
          </w:p>
        </w:tc>
      </w:tr>
      <w:tr>
        <w:trPr>
          <w:trHeight w:val="229"/>
        </w:trPr>
        <w:tc>
          <w:tcPr>
            <w:tcW w:w="206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discussions with the government regarding the development plan.</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Mozambique</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6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 Rovuma LNG Future</w:t>
            </w:r>
          </w:p>
        </w:tc>
        <w:tc>
          <w:tcPr>
            <w:tcW w:w="5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120</w:t>
            </w:r>
          </w:p>
        </w:tc>
        <w:tc>
          <w:tcPr>
            <w:tcW w:w="1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2017</w:t>
            </w:r>
          </w:p>
        </w:tc>
        <w:tc>
          <w:tcPr>
            <w:tcW w:w="62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Evaluating/progressing development plan to tie into planned LNG facilities.</w:t>
            </w:r>
          </w:p>
        </w:tc>
        <w:tc>
          <w:tcPr>
            <w:tcW w:w="0" w:type="dxa"/>
            <w:vAlign w:val="bottom"/>
          </w:tcPr>
          <w:p>
            <w:pPr>
              <w:spacing w:after="0"/>
              <w:rPr>
                <w:sz w:val="1"/>
                <w:szCs w:val="1"/>
                <w:color w:val="auto"/>
              </w:rPr>
            </w:pPr>
          </w:p>
        </w:tc>
      </w:tr>
      <w:tr>
        <w:trPr>
          <w:trHeight w:val="229"/>
        </w:trPr>
        <w:tc>
          <w:tcPr>
            <w:tcW w:w="206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Non-Straddling Train</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Rovuma LNG Phase 1</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6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Progressing development plan to tie into planned LNG facilities.</w:t>
            </w:r>
          </w:p>
        </w:tc>
        <w:tc>
          <w:tcPr>
            <w:tcW w:w="0" w:type="dxa"/>
            <w:vAlign w:val="bottom"/>
          </w:tcPr>
          <w:p>
            <w:pPr>
              <w:spacing w:after="0"/>
              <w:rPr>
                <w:sz w:val="1"/>
                <w:szCs w:val="1"/>
                <w:color w:val="auto"/>
              </w:rPr>
            </w:pPr>
          </w:p>
        </w:tc>
      </w:tr>
      <w:tr>
        <w:trPr>
          <w:trHeight w:val="169"/>
        </w:trPr>
        <w:tc>
          <w:tcPr>
            <w:tcW w:w="206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 Rovuma LNG Unitized</w:t>
            </w:r>
          </w:p>
        </w:tc>
        <w:tc>
          <w:tcPr>
            <w:tcW w:w="5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35</w:t>
            </w:r>
          </w:p>
        </w:tc>
        <w:tc>
          <w:tcPr>
            <w:tcW w:w="1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2017</w:t>
            </w:r>
          </w:p>
        </w:tc>
        <w:tc>
          <w:tcPr>
            <w:tcW w:w="62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Evaluating/progressing development plan to tie into planned LNG facilities.</w:t>
            </w: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Trains</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6D6D6D"/>
            </w:tcBorders>
          </w:tcPr>
          <w:p>
            <w:pPr>
              <w:ind w:left="40"/>
              <w:spacing w:after="0"/>
              <w:rPr>
                <w:sz w:val="20"/>
                <w:szCs w:val="20"/>
                <w:color w:val="auto"/>
              </w:rPr>
            </w:pPr>
            <w:r>
              <w:rPr>
                <w:rFonts w:ascii="Times New Roman" w:cs="Times New Roman" w:eastAsia="Times New Roman" w:hAnsi="Times New Roman"/>
                <w:sz w:val="18"/>
                <w:szCs w:val="18"/>
                <w:color w:val="auto"/>
              </w:rPr>
              <w:t>Nigeria</w:t>
            </w:r>
          </w:p>
        </w:tc>
        <w:tc>
          <w:tcPr>
            <w:tcW w:w="520" w:type="dxa"/>
            <w:vAlign w:val="bottom"/>
            <w:tcBorders>
              <w:bottom w:val="single" w:sz="8" w:color="6D6D6D"/>
            </w:tcBorders>
          </w:tcPr>
          <w:p>
            <w:pPr>
              <w:spacing w:after="0"/>
              <w:rPr>
                <w:sz w:val="19"/>
                <w:szCs w:val="19"/>
                <w:color w:val="auto"/>
              </w:rPr>
            </w:pPr>
          </w:p>
        </w:tc>
        <w:tc>
          <w:tcPr>
            <w:tcW w:w="900" w:type="dxa"/>
            <w:vAlign w:val="bottom"/>
            <w:tcBorders>
              <w:bottom w:val="single" w:sz="8" w:color="6D6D6D"/>
            </w:tcBorders>
          </w:tcPr>
          <w:p>
            <w:pPr>
              <w:spacing w:after="0"/>
              <w:rPr>
                <w:sz w:val="19"/>
                <w:szCs w:val="19"/>
                <w:color w:val="auto"/>
              </w:rPr>
            </w:pPr>
          </w:p>
        </w:tc>
        <w:tc>
          <w:tcPr>
            <w:tcW w:w="1360" w:type="dxa"/>
            <w:vAlign w:val="bottom"/>
            <w:tcBorders>
              <w:bottom w:val="single" w:sz="8" w:color="6D6D6D"/>
            </w:tcBorders>
          </w:tcPr>
          <w:p>
            <w:pPr>
              <w:spacing w:after="0"/>
              <w:rPr>
                <w:sz w:val="19"/>
                <w:szCs w:val="19"/>
                <w:color w:val="auto"/>
              </w:rPr>
            </w:pPr>
          </w:p>
        </w:tc>
        <w:tc>
          <w:tcPr>
            <w:tcW w:w="6280" w:type="dxa"/>
            <w:vAlign w:val="bottom"/>
            <w:tcBorders>
              <w:bottom w:val="single" w:sz="8" w:color="6D6D6D"/>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60" w:type="dxa"/>
            <w:vAlign w:val="bottom"/>
            <w:tcBorders>
              <w:left w:val="single" w:sz="8" w:color="6D6D6D"/>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 Bonga North</w:t>
            </w:r>
          </w:p>
        </w:tc>
        <w:tc>
          <w:tcPr>
            <w:tcW w:w="520" w:type="dxa"/>
            <w:vAlign w:val="bottom"/>
            <w:tcBorders>
              <w:right w:val="single" w:sz="8" w:color="6D6D6D"/>
            </w:tcBorders>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34</w:t>
            </w:r>
          </w:p>
        </w:tc>
        <w:tc>
          <w:tcPr>
            <w:tcW w:w="1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2004 - 2009</w:t>
            </w:r>
          </w:p>
        </w:tc>
        <w:tc>
          <w:tcPr>
            <w:tcW w:w="62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Evaluating/progressing development plan for tieback to existing/planned</w:t>
            </w:r>
          </w:p>
        </w:tc>
        <w:tc>
          <w:tcPr>
            <w:tcW w:w="0" w:type="dxa"/>
            <w:vAlign w:val="bottom"/>
          </w:tcPr>
          <w:p>
            <w:pPr>
              <w:spacing w:after="0"/>
              <w:rPr>
                <w:sz w:val="1"/>
                <w:szCs w:val="1"/>
                <w:color w:val="auto"/>
              </w:rPr>
            </w:pPr>
          </w:p>
        </w:tc>
      </w:tr>
      <w:tr>
        <w:trPr>
          <w:trHeight w:val="230"/>
        </w:trPr>
        <w:tc>
          <w:tcPr>
            <w:tcW w:w="2060" w:type="dxa"/>
            <w:vAlign w:val="bottom"/>
            <w:tcBorders>
              <w:left w:val="single" w:sz="8" w:color="6D6D6D"/>
              <w:bottom w:val="single" w:sz="8" w:color="6D6D6D"/>
            </w:tcBorders>
          </w:tcPr>
          <w:p>
            <w:pPr>
              <w:spacing w:after="0"/>
              <w:rPr>
                <w:sz w:val="19"/>
                <w:szCs w:val="19"/>
                <w:color w:val="auto"/>
              </w:rPr>
            </w:pPr>
          </w:p>
        </w:tc>
        <w:tc>
          <w:tcPr>
            <w:tcW w:w="520" w:type="dxa"/>
            <w:vAlign w:val="bottom"/>
            <w:tcBorders>
              <w:bottom w:val="single" w:sz="8" w:color="6D6D6D"/>
              <w:right w:val="single" w:sz="8" w:color="6D6D6D"/>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0" w:type="dxa"/>
            <w:vAlign w:val="bottom"/>
          </w:tcPr>
          <w:p>
            <w:pPr>
              <w:spacing w:after="0"/>
              <w:rPr>
                <w:sz w:val="1"/>
                <w:szCs w:val="1"/>
                <w:color w:val="auto"/>
              </w:rPr>
            </w:pPr>
          </w:p>
        </w:tc>
      </w:tr>
      <w:tr>
        <w:trPr>
          <w:trHeight w:val="169"/>
        </w:trPr>
        <w:tc>
          <w:tcPr>
            <w:tcW w:w="206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 Bonga SW</w:t>
            </w:r>
          </w:p>
        </w:tc>
        <w:tc>
          <w:tcPr>
            <w:tcW w:w="5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3</w:t>
            </w:r>
          </w:p>
        </w:tc>
        <w:tc>
          <w:tcPr>
            <w:tcW w:w="1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2001</w:t>
            </w:r>
          </w:p>
        </w:tc>
        <w:tc>
          <w:tcPr>
            <w:tcW w:w="62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Evaluating/progressing development plan for tieback to existing/planned</w:t>
            </w:r>
          </w:p>
        </w:tc>
        <w:tc>
          <w:tcPr>
            <w:tcW w:w="0" w:type="dxa"/>
            <w:vAlign w:val="bottom"/>
          </w:tcPr>
          <w:p>
            <w:pPr>
              <w:spacing w:after="0"/>
              <w:rPr>
                <w:sz w:val="1"/>
                <w:szCs w:val="1"/>
                <w:color w:val="auto"/>
              </w:rPr>
            </w:pPr>
          </w:p>
        </w:tc>
      </w:tr>
      <w:tr>
        <w:trPr>
          <w:trHeight w:val="229"/>
        </w:trPr>
        <w:tc>
          <w:tcPr>
            <w:tcW w:w="206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infrastructure.</w:t>
            </w:r>
          </w:p>
        </w:tc>
        <w:tc>
          <w:tcPr>
            <w:tcW w:w="0" w:type="dxa"/>
            <w:vAlign w:val="bottom"/>
          </w:tcPr>
          <w:p>
            <w:pPr>
              <w:spacing w:after="0"/>
              <w:rPr>
                <w:sz w:val="1"/>
                <w:szCs w:val="1"/>
                <w:color w:val="auto"/>
              </w:rPr>
            </w:pPr>
          </w:p>
        </w:tc>
      </w:tr>
      <w:tr>
        <w:trPr>
          <w:trHeight w:val="169"/>
        </w:trPr>
        <w:tc>
          <w:tcPr>
            <w:tcW w:w="206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 Bosi</w:t>
            </w:r>
          </w:p>
        </w:tc>
        <w:tc>
          <w:tcPr>
            <w:tcW w:w="5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79</w:t>
            </w:r>
          </w:p>
        </w:tc>
        <w:tc>
          <w:tcPr>
            <w:tcW w:w="1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2002 - 2006</w:t>
            </w:r>
          </w:p>
        </w:tc>
        <w:tc>
          <w:tcPr>
            <w:tcW w:w="62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Development activity under way, while continuing discussions with the government</w:t>
            </w: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regarding development plan.</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6D6D6D"/>
            </w:tcBorders>
          </w:tcPr>
          <w:p>
            <w:pPr>
              <w:ind w:left="40"/>
              <w:spacing w:after="0"/>
              <w:rPr>
                <w:sz w:val="20"/>
                <w:szCs w:val="20"/>
                <w:color w:val="auto"/>
              </w:rPr>
            </w:pPr>
            <w:r>
              <w:rPr>
                <w:rFonts w:ascii="Times New Roman" w:cs="Times New Roman" w:eastAsia="Times New Roman" w:hAnsi="Times New Roman"/>
                <w:sz w:val="18"/>
                <w:szCs w:val="18"/>
                <w:color w:val="auto"/>
              </w:rPr>
              <w:t>– Owowo</w:t>
            </w:r>
          </w:p>
        </w:tc>
        <w:tc>
          <w:tcPr>
            <w:tcW w:w="520" w:type="dxa"/>
            <w:vAlign w:val="bottom"/>
            <w:tcBorders>
              <w:bottom w:val="single" w:sz="8" w:color="6D6D6D"/>
              <w:right w:val="single" w:sz="8" w:color="auto"/>
            </w:tcBorders>
          </w:tcPr>
          <w:p>
            <w:pPr>
              <w:spacing w:after="0"/>
              <w:rPr>
                <w:sz w:val="19"/>
                <w:szCs w:val="19"/>
                <w:color w:val="auto"/>
              </w:rPr>
            </w:pPr>
          </w:p>
        </w:tc>
        <w:tc>
          <w:tcPr>
            <w:tcW w:w="900" w:type="dxa"/>
            <w:vAlign w:val="bottom"/>
            <w:tcBorders>
              <w:bottom w:val="single" w:sz="8" w:color="6D6D6D"/>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360" w:type="dxa"/>
            <w:vAlign w:val="bottom"/>
            <w:tcBorders>
              <w:bottom w:val="single" w:sz="8" w:color="6D6D6D"/>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2009 - 2016</w:t>
            </w:r>
          </w:p>
        </w:tc>
        <w:tc>
          <w:tcPr>
            <w:tcW w:w="6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Evaluating development plan for tieback to existing production facilities.</w:t>
            </w:r>
          </w:p>
        </w:tc>
        <w:tc>
          <w:tcPr>
            <w:tcW w:w="0" w:type="dxa"/>
            <w:vAlign w:val="bottom"/>
          </w:tcPr>
          <w:p>
            <w:pPr>
              <w:spacing w:after="0"/>
              <w:rPr>
                <w:sz w:val="1"/>
                <w:szCs w:val="1"/>
                <w:color w:val="auto"/>
              </w:rPr>
            </w:pPr>
          </w:p>
        </w:tc>
      </w:tr>
      <w:tr>
        <w:trPr>
          <w:trHeight w:val="223"/>
        </w:trPr>
        <w:tc>
          <w:tcPr>
            <w:tcW w:w="2060" w:type="dxa"/>
            <w:vAlign w:val="bottom"/>
            <w:tcBorders>
              <w:left w:val="single" w:sz="8" w:color="6D6D6D"/>
              <w:bottom w:val="single" w:sz="8" w:color="6D6D6D"/>
            </w:tcBorders>
          </w:tcPr>
          <w:p>
            <w:pPr>
              <w:ind w:left="40"/>
              <w:spacing w:after="0"/>
              <w:rPr>
                <w:sz w:val="20"/>
                <w:szCs w:val="20"/>
                <w:color w:val="auto"/>
              </w:rPr>
            </w:pPr>
            <w:r>
              <w:rPr>
                <w:rFonts w:ascii="Times New Roman" w:cs="Times New Roman" w:eastAsia="Times New Roman" w:hAnsi="Times New Roman"/>
                <w:sz w:val="18"/>
                <w:szCs w:val="18"/>
                <w:color w:val="auto"/>
              </w:rPr>
              <w:t>– Pegi</w:t>
            </w:r>
          </w:p>
        </w:tc>
        <w:tc>
          <w:tcPr>
            <w:tcW w:w="520" w:type="dxa"/>
            <w:vAlign w:val="bottom"/>
            <w:tcBorders>
              <w:bottom w:val="single" w:sz="8" w:color="6D6D6D"/>
              <w:right w:val="single" w:sz="8" w:color="6D6D6D"/>
            </w:tcBorders>
          </w:tcPr>
          <w:p>
            <w:pPr>
              <w:spacing w:after="0"/>
              <w:rPr>
                <w:sz w:val="19"/>
                <w:szCs w:val="19"/>
                <w:color w:val="auto"/>
              </w:rPr>
            </w:pPr>
          </w:p>
        </w:tc>
        <w:tc>
          <w:tcPr>
            <w:tcW w:w="900" w:type="dxa"/>
            <w:vAlign w:val="bottom"/>
            <w:tcBorders>
              <w:bottom w:val="single" w:sz="8" w:color="6D6D6D"/>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1360" w:type="dxa"/>
            <w:vAlign w:val="bottom"/>
            <w:tcBorders>
              <w:bottom w:val="single" w:sz="8" w:color="6D6D6D"/>
              <w:right w:val="single" w:sz="8" w:color="6D6D6D"/>
            </w:tcBorders>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6280" w:type="dxa"/>
            <w:vAlign w:val="bottom"/>
            <w:tcBorders>
              <w:bottom w:val="single" w:sz="8" w:color="6D6D6D"/>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Awaiting capacity in existing/planned infrastructure.</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Ukot SW</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360" w:type="dxa"/>
            <w:vAlign w:val="bottom"/>
            <w:tcBorders>
              <w:bottom w:val="single" w:sz="8" w:color="auto"/>
              <w:right w:val="single" w:sz="8" w:color="6D6D6D"/>
            </w:tcBorders>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6280" w:type="dxa"/>
            <w:vAlign w:val="bottom"/>
            <w:tcBorders>
              <w:bottom w:val="single" w:sz="8" w:color="auto"/>
              <w:right w:val="single" w:sz="8" w:color="6D6D6D"/>
            </w:tcBorders>
          </w:tcPr>
          <w:p>
            <w:pPr>
              <w:ind w:left="20"/>
              <w:spacing w:after="0"/>
              <w:rPr>
                <w:sz w:val="20"/>
                <w:szCs w:val="20"/>
                <w:color w:val="auto"/>
              </w:rPr>
            </w:pPr>
            <w:r>
              <w:rPr>
                <w:rFonts w:ascii="Times New Roman" w:cs="Times New Roman" w:eastAsia="Times New Roman" w:hAnsi="Times New Roman"/>
                <w:sz w:val="18"/>
                <w:szCs w:val="18"/>
                <w:color w:val="auto"/>
              </w:rPr>
              <w:t>Evaluating development plan for tieback to existing production facilities.</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Papua New Guinea</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Papua LNG</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6D6D6D"/>
            </w:tcBorders>
          </w:tcPr>
          <w:p>
            <w:pPr>
              <w:jc w:val="center"/>
              <w:spacing w:after="0"/>
              <w:rPr>
                <w:sz w:val="20"/>
                <w:szCs w:val="20"/>
                <w:color w:val="auto"/>
              </w:rPr>
            </w:pPr>
            <w:r>
              <w:rPr>
                <w:rFonts w:ascii="Times New Roman" w:cs="Times New Roman" w:eastAsia="Times New Roman" w:hAnsi="Times New Roman"/>
                <w:sz w:val="18"/>
                <w:szCs w:val="18"/>
                <w:color w:val="auto"/>
              </w:rPr>
              <w:t>246</w:t>
            </w:r>
          </w:p>
        </w:tc>
        <w:tc>
          <w:tcPr>
            <w:tcW w:w="1360" w:type="dxa"/>
            <w:vAlign w:val="bottom"/>
            <w:tcBorders>
              <w:bottom w:val="single" w:sz="8" w:color="6D6D6D"/>
              <w:right w:val="single" w:sz="8" w:color="6D6D6D"/>
            </w:tcBorders>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6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Evaluating/progressing development plans.</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P'nyang</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2012 - 2018</w:t>
            </w:r>
          </w:p>
        </w:tc>
        <w:tc>
          <w:tcPr>
            <w:tcW w:w="6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Evaluating/progressing development plans.</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Romania</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Neptun Deep</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536</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2012 - 2016</w:t>
            </w:r>
          </w:p>
        </w:tc>
        <w:tc>
          <w:tcPr>
            <w:tcW w:w="6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Continuing discussions with the government regarding development plan.</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Tanzania</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6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 Tanzania Block 2</w:t>
            </w:r>
          </w:p>
        </w:tc>
        <w:tc>
          <w:tcPr>
            <w:tcW w:w="5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525</w:t>
            </w:r>
          </w:p>
        </w:tc>
        <w:tc>
          <w:tcPr>
            <w:tcW w:w="136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2012 - 2015</w:t>
            </w:r>
          </w:p>
        </w:tc>
        <w:tc>
          <w:tcPr>
            <w:tcW w:w="62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Evaluating development alternatives, while continuing discussions with the</w:t>
            </w:r>
          </w:p>
        </w:tc>
        <w:tc>
          <w:tcPr>
            <w:tcW w:w="0" w:type="dxa"/>
            <w:vAlign w:val="bottom"/>
          </w:tcPr>
          <w:p>
            <w:pPr>
              <w:spacing w:after="0"/>
              <w:rPr>
                <w:sz w:val="1"/>
                <w:szCs w:val="1"/>
                <w:color w:val="auto"/>
              </w:rPr>
            </w:pPr>
          </w:p>
        </w:tc>
      </w:tr>
      <w:tr>
        <w:trPr>
          <w:trHeight w:val="229"/>
        </w:trPr>
        <w:tc>
          <w:tcPr>
            <w:tcW w:w="206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government regarding development plan.</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Vietnam</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Blue Whale</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296</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2011 - 2015</w:t>
            </w:r>
          </w:p>
        </w:tc>
        <w:tc>
          <w:tcPr>
            <w:tcW w:w="6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Evaluating/progressing development plans.</w:t>
            </w:r>
          </w:p>
        </w:tc>
        <w:tc>
          <w:tcPr>
            <w:tcW w:w="0" w:type="dxa"/>
            <w:vAlign w:val="bottom"/>
          </w:tcPr>
          <w:p>
            <w:pPr>
              <w:spacing w:after="0"/>
              <w:rPr>
                <w:sz w:val="1"/>
                <w:szCs w:val="1"/>
                <w:color w:val="auto"/>
              </w:rPr>
            </w:pPr>
          </w:p>
        </w:tc>
      </w:tr>
      <w:tr>
        <w:trPr>
          <w:trHeight w:val="223"/>
        </w:trPr>
        <w:tc>
          <w:tcPr>
            <w:tcW w:w="20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2020 (21 projects)</w:t>
            </w:r>
          </w:p>
        </w:tc>
        <w:tc>
          <w:tcPr>
            <w:tcW w:w="5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3,181</w:t>
            </w:r>
          </w:p>
        </w:tc>
        <w:tc>
          <w:tcPr>
            <w:tcW w:w="1360" w:type="dxa"/>
            <w:vAlign w:val="bottom"/>
            <w:tcBorders>
              <w:bottom w:val="single" w:sz="8" w:color="auto"/>
            </w:tcBorders>
          </w:tcPr>
          <w:p>
            <w:pPr>
              <w:spacing w:after="0"/>
              <w:rPr>
                <w:sz w:val="19"/>
                <w:szCs w:val="19"/>
                <w:color w:val="auto"/>
              </w:rPr>
            </w:pPr>
          </w:p>
        </w:tc>
        <w:tc>
          <w:tcPr>
            <w:tcW w:w="6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Corporation and its consolidated affiliates generally purchase the property, plant and equipment used in operations, but there are situations where assets are leased, primarily for drilling equipment, tankers, office buildings, railcars, and other moveable equipment. Right of use assets and lease liabilities are established on the balance sheet for leases with an expected term greater than one year by discounting the amounts fixed in the lease agreement for the duration of the lease which is reasonably certain, considering the probability of exercising any early termination and extension options. The portion of the fixed payment related to service costs for drilling equipment, tankers and finance leases is excluded from the calculation of right of use assets and lease liabilities. Generally, assets are leased only for a portion of their useful lives, and are accounted for as operating leases. In limited situations assets are leased for nearly all of their useful lives, and are accounted for as finance leases.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Variable payments under these lease agreements are not significant. Residual value guarantees, restrictions, or covenants related to leases, and transactions with related parties are also not significant. In general, leases are capitalized using the incremental borrowing rate of the leasing affiliate. The Corporation’s activities as a lessor are not significant.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900" w:type="dxa"/>
            <w:vAlign w:val="bottom"/>
          </w:tcPr>
          <w:p>
            <w:pPr>
              <w:spacing w:after="0"/>
              <w:rPr>
                <w:sz w:val="11"/>
                <w:szCs w:val="11"/>
                <w:color w:val="auto"/>
              </w:rPr>
            </w:pPr>
          </w:p>
        </w:tc>
        <w:tc>
          <w:tcPr>
            <w:tcW w:w="132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Drilling Rigs and</w:t>
            </w:r>
          </w:p>
        </w:tc>
        <w:tc>
          <w:tcPr>
            <w:tcW w:w="1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680" w:type="dxa"/>
            <w:vAlign w:val="bottom"/>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9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3"/>
        </w:trPr>
        <w:tc>
          <w:tcPr>
            <w:tcW w:w="5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7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left="9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297</w:t>
            </w:r>
          </w:p>
        </w:tc>
        <w:tc>
          <w:tcPr>
            <w:tcW w:w="1680" w:type="dxa"/>
            <w:vAlign w:val="bottom"/>
          </w:tcPr>
          <w:p>
            <w:pPr>
              <w:jc w:val="right"/>
              <w:ind w:right="380"/>
              <w:spacing w:after="0"/>
              <w:rPr>
                <w:sz w:val="20"/>
                <w:szCs w:val="20"/>
                <w:color w:val="auto"/>
              </w:rPr>
            </w:pPr>
            <w:r>
              <w:rPr>
                <w:rFonts w:ascii="Times New Roman" w:cs="Times New Roman" w:eastAsia="Times New Roman" w:hAnsi="Times New Roman"/>
                <w:sz w:val="18"/>
                <w:szCs w:val="18"/>
                <w:color w:val="auto"/>
              </w:rPr>
              <w:t>1,256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and other (net of sublease rental income)</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530</w:t>
            </w:r>
          </w:p>
        </w:tc>
        <w:tc>
          <w:tcPr>
            <w:tcW w:w="1680" w:type="dxa"/>
            <w:vAlign w:val="bottom"/>
          </w:tcPr>
          <w:p>
            <w:pPr>
              <w:jc w:val="right"/>
              <w:ind w:right="380"/>
              <w:spacing w:after="0"/>
              <w:rPr>
                <w:sz w:val="20"/>
                <w:szCs w:val="20"/>
                <w:color w:val="auto"/>
              </w:rPr>
            </w:pPr>
            <w:r>
              <w:rPr>
                <w:rFonts w:ascii="Times New Roman" w:cs="Times New Roman" w:eastAsia="Times New Roman" w:hAnsi="Times New Roman"/>
                <w:sz w:val="18"/>
                <w:szCs w:val="18"/>
                <w:color w:val="auto"/>
              </w:rPr>
              <w:t>1,083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right of use assets</w:t>
            </w:r>
          </w:p>
        </w:tc>
        <w:tc>
          <w:tcPr>
            <w:tcW w:w="1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23"/>
        </w:trPr>
        <w:tc>
          <w:tcPr>
            <w:tcW w:w="5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827</w:t>
            </w:r>
          </w:p>
        </w:tc>
        <w:tc>
          <w:tcPr>
            <w:tcW w:w="16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8"/>
                <w:szCs w:val="18"/>
                <w:color w:val="auto"/>
              </w:rPr>
              <w:t>2,339</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677"/>
        </w:trPr>
        <w:tc>
          <w:tcPr>
            <w:tcW w:w="59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900" w:type="dxa"/>
            <w:vAlign w:val="bottom"/>
          </w:tcPr>
          <w:p>
            <w:pPr>
              <w:spacing w:after="0"/>
              <w:rPr>
                <w:sz w:val="11"/>
                <w:szCs w:val="11"/>
                <w:color w:val="auto"/>
              </w:rPr>
            </w:pPr>
          </w:p>
        </w:tc>
        <w:tc>
          <w:tcPr>
            <w:tcW w:w="132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Drilling Rigs and</w:t>
            </w:r>
          </w:p>
        </w:tc>
        <w:tc>
          <w:tcPr>
            <w:tcW w:w="1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680" w:type="dxa"/>
            <w:vAlign w:val="bottom"/>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9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8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13"/>
        </w:trPr>
        <w:tc>
          <w:tcPr>
            <w:tcW w:w="59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7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left="9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238</w:t>
            </w:r>
          </w:p>
        </w:tc>
        <w:tc>
          <w:tcPr>
            <w:tcW w:w="1680" w:type="dxa"/>
            <w:vAlign w:val="bottom"/>
          </w:tcPr>
          <w:p>
            <w:pPr>
              <w:jc w:val="right"/>
              <w:ind w:right="380"/>
              <w:spacing w:after="0"/>
              <w:rPr>
                <w:sz w:val="20"/>
                <w:szCs w:val="20"/>
                <w:color w:val="auto"/>
              </w:rPr>
            </w:pPr>
            <w:r>
              <w:rPr>
                <w:rFonts w:ascii="Times New Roman" w:cs="Times New Roman" w:eastAsia="Times New Roman" w:hAnsi="Times New Roman"/>
                <w:sz w:val="18"/>
                <w:szCs w:val="18"/>
                <w:color w:val="auto"/>
              </w:rPr>
              <w:t>1,196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and other (net of sublease rental income)</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926</w:t>
            </w:r>
          </w:p>
        </w:tc>
        <w:tc>
          <w:tcPr>
            <w:tcW w:w="1680" w:type="dxa"/>
            <w:vAlign w:val="bottom"/>
          </w:tcPr>
          <w:p>
            <w:pPr>
              <w:jc w:val="right"/>
              <w:ind w:right="380"/>
              <w:spacing w:after="0"/>
              <w:rPr>
                <w:sz w:val="20"/>
                <w:szCs w:val="20"/>
                <w:color w:val="auto"/>
              </w:rPr>
            </w:pPr>
            <w:r>
              <w:rPr>
                <w:rFonts w:ascii="Times New Roman" w:cs="Times New Roman" w:eastAsia="Times New Roman" w:hAnsi="Times New Roman"/>
                <w:sz w:val="18"/>
                <w:szCs w:val="18"/>
                <w:color w:val="auto"/>
              </w:rPr>
              <w:t>1,116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right of use assets</w:t>
            </w:r>
          </w:p>
        </w:tc>
        <w:tc>
          <w:tcPr>
            <w:tcW w:w="1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3"/>
        </w:trPr>
        <w:tc>
          <w:tcPr>
            <w:tcW w:w="5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1,164</w:t>
            </w:r>
          </w:p>
        </w:tc>
        <w:tc>
          <w:tcPr>
            <w:tcW w:w="16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8"/>
                <w:szCs w:val="18"/>
                <w:color w:val="auto"/>
              </w:rPr>
              <w:t>2,312</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520" w:type="dxa"/>
            <w:vAlign w:val="bottom"/>
          </w:tcPr>
          <w:p>
            <w:pPr>
              <w:spacing w:after="0"/>
              <w:rPr>
                <w:sz w:val="11"/>
                <w:szCs w:val="11"/>
                <w:color w:val="auto"/>
              </w:rPr>
            </w:pPr>
          </w:p>
        </w:tc>
        <w:tc>
          <w:tcPr>
            <w:tcW w:w="1460" w:type="dxa"/>
            <w:vAlign w:val="bottom"/>
          </w:tcPr>
          <w:p>
            <w:pPr>
              <w:jc w:val="center"/>
              <w:ind w:right="15"/>
              <w:spacing w:after="0" w:line="134" w:lineRule="exact"/>
              <w:rPr>
                <w:sz w:val="20"/>
                <w:szCs w:val="20"/>
                <w:color w:val="auto"/>
              </w:rPr>
            </w:pPr>
            <w:r>
              <w:rPr>
                <w:rFonts w:ascii="Times New Roman" w:cs="Times New Roman" w:eastAsia="Times New Roman" w:hAnsi="Times New Roman"/>
                <w:sz w:val="14"/>
                <w:szCs w:val="14"/>
                <w:b w:val="1"/>
                <w:bCs w:val="1"/>
                <w:color w:val="auto"/>
              </w:rPr>
              <w:t>Drilling Rigs and</w:t>
            </w:r>
          </w:p>
        </w:tc>
        <w:tc>
          <w:tcPr>
            <w:tcW w:w="1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460" w:type="dxa"/>
            <w:vAlign w:val="bottom"/>
          </w:tcPr>
          <w:p>
            <w:pPr>
              <w:jc w:val="center"/>
              <w:ind w:right="15"/>
              <w:spacing w:after="0" w:line="135"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640" w:type="dxa"/>
            <w:vAlign w:val="bottom"/>
            <w:vMerge w:val="restart"/>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520" w:type="dxa"/>
            <w:vAlign w:val="bottom"/>
          </w:tcPr>
          <w:p>
            <w:pPr>
              <w:spacing w:after="0"/>
              <w:rPr>
                <w:sz w:val="16"/>
                <w:szCs w:val="16"/>
                <w:color w:val="auto"/>
              </w:rPr>
            </w:pPr>
          </w:p>
        </w:tc>
        <w:tc>
          <w:tcPr>
            <w:tcW w:w="14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4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0"/>
        </w:trPr>
        <w:tc>
          <w:tcPr>
            <w:tcW w:w="5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900" w:type="dxa"/>
            <w:vAlign w:val="bottom"/>
            <w:gridSpan w:val="3"/>
          </w:tcPr>
          <w:p>
            <w:pPr>
              <w:ind w:left="8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4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Included in Other assets, including intangibles - net</w:t>
            </w:r>
          </w:p>
        </w:tc>
        <w:tc>
          <w:tcPr>
            <w:tcW w:w="14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834</w:t>
            </w:r>
          </w:p>
        </w:tc>
        <w:tc>
          <w:tcPr>
            <w:tcW w:w="164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5,244</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6,078</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Included in Property, plant and equipment - net</w:t>
            </w:r>
          </w:p>
        </w:tc>
        <w:tc>
          <w:tcPr>
            <w:tcW w:w="14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r>
        <w:trPr>
          <w:trHeight w:val="223"/>
        </w:trPr>
        <w:tc>
          <w:tcPr>
            <w:tcW w:w="5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right of use assets</w:t>
            </w:r>
          </w:p>
        </w:tc>
        <w:tc>
          <w:tcPr>
            <w:tcW w:w="14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834</w:t>
            </w:r>
          </w:p>
        </w:tc>
        <w:tc>
          <w:tcPr>
            <w:tcW w:w="16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rPr>
              <w:t>5,244</w:t>
            </w: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6,078</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r>
        <w:trPr>
          <w:trHeight w:val="475"/>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due within one year</w:t>
            </w: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Included in Accounts payable and accrued liabilities</w:t>
            </w:r>
          </w:p>
        </w:tc>
        <w:tc>
          <w:tcPr>
            <w:tcW w:w="14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243</w:t>
            </w:r>
          </w:p>
        </w:tc>
        <w:tc>
          <w:tcPr>
            <w:tcW w:w="164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925</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Included in Notes and loans payable</w:t>
            </w:r>
          </w:p>
        </w:tc>
        <w:tc>
          <w:tcPr>
            <w:tcW w:w="1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liability</w:t>
            </w:r>
          </w:p>
        </w:tc>
        <w:tc>
          <w:tcPr>
            <w:tcW w:w="1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Included in Other long-term obligations</w:t>
            </w:r>
          </w:p>
        </w:tc>
        <w:tc>
          <w:tcPr>
            <w:tcW w:w="14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589</w:t>
            </w:r>
          </w:p>
        </w:tc>
        <w:tc>
          <w:tcPr>
            <w:tcW w:w="164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3,405</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Included in Long-term debt</w:t>
            </w:r>
          </w:p>
        </w:tc>
        <w:tc>
          <w:tcPr>
            <w:tcW w:w="1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34"/>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Included in Long-term obligations to equity companies</w:t>
            </w:r>
          </w:p>
        </w:tc>
        <w:tc>
          <w:tcPr>
            <w:tcW w:w="14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3"/>
        </w:trPr>
        <w:tc>
          <w:tcPr>
            <w:tcW w:w="5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lease liability</w:t>
            </w:r>
          </w:p>
        </w:tc>
        <w:tc>
          <w:tcPr>
            <w:tcW w:w="14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832</w:t>
            </w:r>
          </w:p>
        </w:tc>
        <w:tc>
          <w:tcPr>
            <w:tcW w:w="16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rPr>
              <w:t>4,330</w:t>
            </w: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5,162</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475"/>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years</w:t>
            </w:r>
          </w:p>
        </w:tc>
        <w:tc>
          <w:tcPr>
            <w:tcW w:w="14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5</w:t>
            </w:r>
          </w:p>
        </w:tc>
        <w:tc>
          <w:tcPr>
            <w:tcW w:w="1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3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percent</w:t>
            </w: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2.2 %</w:t>
            </w:r>
          </w:p>
        </w:tc>
        <w:tc>
          <w:tcPr>
            <w:tcW w:w="164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3.0 %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670"/>
        </w:trPr>
        <w:tc>
          <w:tcPr>
            <w:tcW w:w="55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520" w:type="dxa"/>
            <w:vAlign w:val="bottom"/>
          </w:tcPr>
          <w:p>
            <w:pPr>
              <w:spacing w:after="0"/>
              <w:rPr>
                <w:sz w:val="11"/>
                <w:szCs w:val="11"/>
                <w:color w:val="auto"/>
              </w:rPr>
            </w:pPr>
          </w:p>
        </w:tc>
        <w:tc>
          <w:tcPr>
            <w:tcW w:w="1460" w:type="dxa"/>
            <w:vAlign w:val="bottom"/>
          </w:tcPr>
          <w:p>
            <w:pPr>
              <w:jc w:val="center"/>
              <w:ind w:right="15"/>
              <w:spacing w:after="0" w:line="134" w:lineRule="exact"/>
              <w:rPr>
                <w:sz w:val="20"/>
                <w:szCs w:val="20"/>
                <w:color w:val="auto"/>
              </w:rPr>
            </w:pPr>
            <w:r>
              <w:rPr>
                <w:rFonts w:ascii="Times New Roman" w:cs="Times New Roman" w:eastAsia="Times New Roman" w:hAnsi="Times New Roman"/>
                <w:sz w:val="14"/>
                <w:szCs w:val="14"/>
                <w:b w:val="1"/>
                <w:bCs w:val="1"/>
                <w:color w:val="auto"/>
              </w:rPr>
              <w:t>Drilling Rigs and</w:t>
            </w:r>
          </w:p>
        </w:tc>
        <w:tc>
          <w:tcPr>
            <w:tcW w:w="16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1460" w:type="dxa"/>
            <w:vAlign w:val="bottom"/>
          </w:tcPr>
          <w:p>
            <w:pPr>
              <w:jc w:val="center"/>
              <w:ind w:right="15"/>
              <w:spacing w:after="0" w:line="135"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640" w:type="dxa"/>
            <w:vAlign w:val="bottom"/>
            <w:vMerge w:val="restart"/>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520" w:type="dxa"/>
            <w:vAlign w:val="bottom"/>
          </w:tcPr>
          <w:p>
            <w:pPr>
              <w:spacing w:after="0"/>
              <w:rPr>
                <w:sz w:val="16"/>
                <w:szCs w:val="16"/>
                <w:color w:val="auto"/>
              </w:rPr>
            </w:pPr>
          </w:p>
        </w:tc>
        <w:tc>
          <w:tcPr>
            <w:tcW w:w="14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4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0"/>
        </w:trPr>
        <w:tc>
          <w:tcPr>
            <w:tcW w:w="5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900" w:type="dxa"/>
            <w:vAlign w:val="bottom"/>
            <w:gridSpan w:val="3"/>
          </w:tcPr>
          <w:p>
            <w:pPr>
              <w:ind w:left="8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4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Included in Other assets, including intangibles - net</w:t>
            </w:r>
          </w:p>
        </w:tc>
        <w:tc>
          <w:tcPr>
            <w:tcW w:w="14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572</w:t>
            </w:r>
          </w:p>
        </w:tc>
        <w:tc>
          <w:tcPr>
            <w:tcW w:w="164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6,061</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Included in Property, plant and equipment - net</w:t>
            </w:r>
          </w:p>
        </w:tc>
        <w:tc>
          <w:tcPr>
            <w:tcW w:w="14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23"/>
        </w:trPr>
        <w:tc>
          <w:tcPr>
            <w:tcW w:w="5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right of use assets</w:t>
            </w:r>
          </w:p>
        </w:tc>
        <w:tc>
          <w:tcPr>
            <w:tcW w:w="14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572</w:t>
            </w:r>
          </w:p>
        </w:tc>
        <w:tc>
          <w:tcPr>
            <w:tcW w:w="16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rPr>
              <w:t>6,061</w:t>
            </w: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6,633</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475"/>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due within one year</w:t>
            </w:r>
          </w:p>
        </w:tc>
        <w:tc>
          <w:tcPr>
            <w:tcW w:w="1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Included in Accounts payable and accrued liabilities</w:t>
            </w:r>
          </w:p>
        </w:tc>
        <w:tc>
          <w:tcPr>
            <w:tcW w:w="14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221</w:t>
            </w:r>
          </w:p>
        </w:tc>
        <w:tc>
          <w:tcPr>
            <w:tcW w:w="164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990</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Included in Notes and loans payable</w:t>
            </w:r>
          </w:p>
        </w:tc>
        <w:tc>
          <w:tcPr>
            <w:tcW w:w="1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liability</w:t>
            </w:r>
          </w:p>
        </w:tc>
        <w:tc>
          <w:tcPr>
            <w:tcW w:w="1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Included in Other long-term obligations</w:t>
            </w:r>
          </w:p>
        </w:tc>
        <w:tc>
          <w:tcPr>
            <w:tcW w:w="146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330</w:t>
            </w:r>
          </w:p>
        </w:tc>
        <w:tc>
          <w:tcPr>
            <w:tcW w:w="164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4,152</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Included in Long-term debt</w:t>
            </w:r>
          </w:p>
        </w:tc>
        <w:tc>
          <w:tcPr>
            <w:tcW w:w="1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34"/>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Included in Long-term obligations to equity companies</w:t>
            </w:r>
          </w:p>
        </w:tc>
        <w:tc>
          <w:tcPr>
            <w:tcW w:w="14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5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lease liability</w:t>
            </w:r>
          </w:p>
        </w:tc>
        <w:tc>
          <w:tcPr>
            <w:tcW w:w="14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551</w:t>
            </w:r>
          </w:p>
        </w:tc>
        <w:tc>
          <w:tcPr>
            <w:tcW w:w="164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8"/>
                <w:szCs w:val="18"/>
                <w:color w:val="auto"/>
              </w:rPr>
              <w:t>5,142</w:t>
            </w:r>
          </w:p>
        </w:tc>
        <w:tc>
          <w:tcPr>
            <w:tcW w:w="11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475"/>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years</w:t>
            </w:r>
          </w:p>
        </w:tc>
        <w:tc>
          <w:tcPr>
            <w:tcW w:w="14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4</w:t>
            </w:r>
          </w:p>
        </w:tc>
        <w:tc>
          <w:tcPr>
            <w:tcW w:w="16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13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percent</w:t>
            </w:r>
          </w:p>
        </w:tc>
        <w:tc>
          <w:tcPr>
            <w:tcW w:w="14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3.1 %</w:t>
            </w:r>
          </w:p>
        </w:tc>
        <w:tc>
          <w:tcPr>
            <w:tcW w:w="164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3.2 %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972"/>
        </w:trPr>
        <w:tc>
          <w:tcPr>
            <w:tcW w:w="5520" w:type="dxa"/>
            <w:vAlign w:val="bottom"/>
          </w:tcPr>
          <w:p>
            <w:pPr>
              <w:spacing w:after="0"/>
              <w:rPr>
                <w:sz w:val="24"/>
                <w:szCs w:val="24"/>
                <w:color w:val="auto"/>
              </w:rPr>
            </w:pPr>
          </w:p>
        </w:tc>
        <w:tc>
          <w:tcPr>
            <w:tcW w:w="1460" w:type="dxa"/>
            <w:vAlign w:val="bottom"/>
          </w:tcPr>
          <w:p>
            <w:pPr>
              <w:jc w:val="right"/>
              <w:ind w:right="1175"/>
              <w:spacing w:after="0"/>
              <w:rPr>
                <w:sz w:val="20"/>
                <w:szCs w:val="20"/>
                <w:color w:val="auto"/>
              </w:rPr>
            </w:pPr>
            <w:r>
              <w:rPr>
                <w:rFonts w:ascii="Times New Roman" w:cs="Times New Roman" w:eastAsia="Times New Roman" w:hAnsi="Times New Roman"/>
                <w:sz w:val="18"/>
                <w:szCs w:val="18"/>
                <w:color w:val="auto"/>
                <w:w w:val="99"/>
              </w:rPr>
              <w:t>85</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52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900" w:type="dxa"/>
            <w:vAlign w:val="bottom"/>
          </w:tcPr>
          <w:p>
            <w:pPr>
              <w:spacing w:after="0"/>
              <w:rPr>
                <w:sz w:val="11"/>
                <w:szCs w:val="11"/>
                <w:color w:val="auto"/>
              </w:rPr>
            </w:pPr>
          </w:p>
        </w:tc>
        <w:tc>
          <w:tcPr>
            <w:tcW w:w="134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Drilling Rigs and</w:t>
            </w:r>
          </w:p>
        </w:tc>
        <w:tc>
          <w:tcPr>
            <w:tcW w:w="1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540" w:type="dxa"/>
            <w:vAlign w:val="bottom"/>
            <w:vMerge w:val="restart"/>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90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5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0"/>
        </w:trPr>
        <w:tc>
          <w:tcPr>
            <w:tcW w:w="59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740" w:type="dxa"/>
            <w:vAlign w:val="bottom"/>
            <w:gridSpan w:val="3"/>
          </w:tcPr>
          <w:p>
            <w:pPr>
              <w:ind w:left="76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Maturity Analysis of Lease Liabilities</w:t>
            </w:r>
          </w:p>
        </w:tc>
        <w:tc>
          <w:tcPr>
            <w:tcW w:w="13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259</w:t>
            </w:r>
          </w:p>
        </w:tc>
        <w:tc>
          <w:tcPr>
            <w:tcW w:w="15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1,031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256</w:t>
            </w:r>
          </w:p>
        </w:tc>
        <w:tc>
          <w:tcPr>
            <w:tcW w:w="15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817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97</w:t>
            </w:r>
          </w:p>
        </w:tc>
        <w:tc>
          <w:tcPr>
            <w:tcW w:w="15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482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71</w:t>
            </w:r>
          </w:p>
        </w:tc>
        <w:tc>
          <w:tcPr>
            <w:tcW w:w="15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387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71</w:t>
            </w:r>
          </w:p>
        </w:tc>
        <w:tc>
          <w:tcPr>
            <w:tcW w:w="15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342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and beyond</w:t>
            </w:r>
          </w:p>
        </w:tc>
        <w:tc>
          <w:tcPr>
            <w:tcW w:w="13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124</w:t>
            </w:r>
          </w:p>
        </w:tc>
        <w:tc>
          <w:tcPr>
            <w:tcW w:w="15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rPr>
              <w:t>2,157</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0" w:type="dxa"/>
            <w:vAlign w:val="bottom"/>
          </w:tcPr>
          <w:p>
            <w:pPr>
              <w:spacing w:after="0"/>
              <w:rPr>
                <w:sz w:val="1"/>
                <w:szCs w:val="1"/>
                <w:color w:val="auto"/>
              </w:rPr>
            </w:pPr>
          </w:p>
        </w:tc>
      </w:tr>
      <w:tr>
        <w:trPr>
          <w:trHeight w:val="218"/>
        </w:trPr>
        <w:tc>
          <w:tcPr>
            <w:tcW w:w="5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lease payments</w:t>
            </w: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878</w:t>
            </w:r>
          </w:p>
        </w:tc>
        <w:tc>
          <w:tcPr>
            <w:tcW w:w="15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5,216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0" w:type="dxa"/>
            <w:vAlign w:val="bottom"/>
          </w:tcPr>
          <w:p>
            <w:pPr>
              <w:spacing w:after="0"/>
              <w:rPr>
                <w:sz w:val="1"/>
                <w:szCs w:val="1"/>
                <w:color w:val="auto"/>
              </w:rPr>
            </w:pP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to present value</w:t>
            </w:r>
          </w:p>
        </w:tc>
        <w:tc>
          <w:tcPr>
            <w:tcW w:w="13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(46)</w:t>
            </w:r>
          </w:p>
        </w:tc>
        <w:tc>
          <w:tcPr>
            <w:tcW w:w="15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rPr>
              <w:t>(886)</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0" w:type="dxa"/>
            <w:vAlign w:val="bottom"/>
          </w:tcPr>
          <w:p>
            <w:pPr>
              <w:spacing w:after="0"/>
              <w:rPr>
                <w:sz w:val="1"/>
                <w:szCs w:val="1"/>
                <w:color w:val="auto"/>
              </w:rPr>
            </w:pPr>
          </w:p>
        </w:tc>
      </w:tr>
      <w:tr>
        <w:trPr>
          <w:trHeight w:val="223"/>
        </w:trPr>
        <w:tc>
          <w:tcPr>
            <w:tcW w:w="5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lease liability</w:t>
            </w:r>
          </w:p>
        </w:tc>
        <w:tc>
          <w:tcPr>
            <w:tcW w:w="13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832</w:t>
            </w:r>
          </w:p>
        </w:tc>
        <w:tc>
          <w:tcPr>
            <w:tcW w:w="15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rPr>
              <w:t>4,330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lease liabilities in the table immediately above, at December 31, 2020, undiscounted commitments for leases not yet commenced totaled $445 million for operating leases and $4,109 million for finance leases. The finance leases relate to floating production storage and offloading vessels, LNG transportation vessels, and a long-term hydrogen purchase agreement. The underlying assets for these finance leases were primarily designed by, and are being constructed by, the lessors.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98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900" w:type="dxa"/>
            <w:vAlign w:val="bottom"/>
          </w:tcPr>
          <w:p>
            <w:pPr>
              <w:spacing w:after="0"/>
              <w:rPr>
                <w:sz w:val="11"/>
                <w:szCs w:val="11"/>
                <w:color w:val="auto"/>
              </w:rPr>
            </w:pPr>
          </w:p>
        </w:tc>
        <w:tc>
          <w:tcPr>
            <w:tcW w:w="132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Drilling Rigs and</w:t>
            </w:r>
          </w:p>
        </w:tc>
        <w:tc>
          <w:tcPr>
            <w:tcW w:w="1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60" w:type="dxa"/>
            <w:vAlign w:val="bottom"/>
            <w:vMerge w:val="restart"/>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680" w:type="dxa"/>
            <w:vAlign w:val="bottom"/>
            <w:vMerge w:val="restart"/>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9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99"/>
        </w:trPr>
        <w:tc>
          <w:tcPr>
            <w:tcW w:w="5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6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left="941"/>
              <w:spacing w:after="0"/>
              <w:rPr>
                <w:sz w:val="20"/>
                <w:szCs w:val="20"/>
                <w:color w:val="auto"/>
              </w:rPr>
            </w:pPr>
            <w:r>
              <w:rPr>
                <w:rFonts w:ascii="Times New Roman" w:cs="Times New Roman" w:eastAsia="Times New Roman" w:hAnsi="Times New Roman"/>
                <w:sz w:val="14"/>
                <w:szCs w:val="14"/>
                <w:b w:val="1"/>
                <w:bCs w:val="1"/>
                <w:color w:val="auto"/>
              </w:rPr>
              <w:t>2020</w:t>
            </w:r>
          </w:p>
        </w:tc>
        <w:tc>
          <w:tcPr>
            <w:tcW w:w="9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320" w:type="dxa"/>
            <w:vAlign w:val="bottom"/>
          </w:tcPr>
          <w:p>
            <w:pPr>
              <w:spacing w:after="0"/>
              <w:rPr>
                <w:sz w:val="19"/>
                <w:szCs w:val="19"/>
                <w:color w:val="auto"/>
              </w:rPr>
            </w:pPr>
          </w:p>
        </w:tc>
        <w:tc>
          <w:tcPr>
            <w:tcW w:w="1680" w:type="dxa"/>
            <w:vAlign w:val="bottom"/>
          </w:tcPr>
          <w:p>
            <w:pPr>
              <w:jc w:val="right"/>
              <w:ind w:right="381"/>
              <w:spacing w:after="0"/>
              <w:rPr>
                <w:sz w:val="20"/>
                <w:szCs w:val="20"/>
                <w:color w:val="auto"/>
              </w:rPr>
            </w:pPr>
            <w:r>
              <w:rPr>
                <w:rFonts w:ascii="Times New Roman" w:cs="Times New Roman" w:eastAsia="Times New Roman" w:hAnsi="Times New Roman"/>
                <w:sz w:val="18"/>
                <w:szCs w:val="18"/>
                <w:color w:val="auto"/>
              </w:rPr>
              <w:t>1,159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16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49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right of use assets recorded in exchange for lease liabilities</w:t>
            </w: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552</w:t>
            </w:r>
          </w:p>
        </w:tc>
        <w:tc>
          <w:tcPr>
            <w:tcW w:w="1680" w:type="dxa"/>
            <w:vAlign w:val="bottom"/>
          </w:tcPr>
          <w:p>
            <w:pPr>
              <w:jc w:val="right"/>
              <w:ind w:right="381"/>
              <w:spacing w:after="0"/>
              <w:rPr>
                <w:sz w:val="20"/>
                <w:szCs w:val="20"/>
                <w:color w:val="auto"/>
              </w:rPr>
            </w:pPr>
            <w:r>
              <w:rPr>
                <w:rFonts w:ascii="Times New Roman" w:cs="Times New Roman" w:eastAsia="Times New Roman" w:hAnsi="Times New Roman"/>
                <w:sz w:val="18"/>
                <w:szCs w:val="18"/>
                <w:color w:val="auto"/>
              </w:rPr>
              <w:t>183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670"/>
        </w:trPr>
        <w:tc>
          <w:tcPr>
            <w:tcW w:w="59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98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900" w:type="dxa"/>
            <w:vAlign w:val="bottom"/>
          </w:tcPr>
          <w:p>
            <w:pPr>
              <w:spacing w:after="0"/>
              <w:rPr>
                <w:sz w:val="11"/>
                <w:szCs w:val="11"/>
                <w:color w:val="auto"/>
              </w:rPr>
            </w:pPr>
          </w:p>
        </w:tc>
        <w:tc>
          <w:tcPr>
            <w:tcW w:w="132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Drilling Rigs and</w:t>
            </w:r>
          </w:p>
        </w:tc>
        <w:tc>
          <w:tcPr>
            <w:tcW w:w="1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60" w:type="dxa"/>
            <w:vAlign w:val="bottom"/>
            <w:vMerge w:val="restart"/>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680" w:type="dxa"/>
            <w:vAlign w:val="bottom"/>
            <w:vMerge w:val="restart"/>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9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3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0"/>
        </w:trPr>
        <w:tc>
          <w:tcPr>
            <w:tcW w:w="5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6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left="941"/>
              <w:spacing w:after="0"/>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320" w:type="dxa"/>
            <w:vAlign w:val="bottom"/>
          </w:tcPr>
          <w:p>
            <w:pPr>
              <w:spacing w:after="0"/>
              <w:rPr>
                <w:sz w:val="19"/>
                <w:szCs w:val="19"/>
                <w:color w:val="auto"/>
              </w:rPr>
            </w:pPr>
          </w:p>
        </w:tc>
        <w:tc>
          <w:tcPr>
            <w:tcW w:w="1680" w:type="dxa"/>
            <w:vAlign w:val="bottom"/>
          </w:tcPr>
          <w:p>
            <w:pPr>
              <w:jc w:val="right"/>
              <w:ind w:right="381"/>
              <w:spacing w:after="0"/>
              <w:rPr>
                <w:sz w:val="20"/>
                <w:szCs w:val="20"/>
                <w:color w:val="auto"/>
              </w:rPr>
            </w:pPr>
            <w:r>
              <w:rPr>
                <w:rFonts w:ascii="Times New Roman" w:cs="Times New Roman" w:eastAsia="Times New Roman" w:hAnsi="Times New Roman"/>
                <w:sz w:val="18"/>
                <w:szCs w:val="18"/>
                <w:color w:val="auto"/>
              </w:rPr>
              <w:t>1,116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c>
          <w:tcPr>
            <w:tcW w:w="16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495"/>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right of use assets recorded for lease liabilities</w:t>
            </w:r>
          </w:p>
        </w:tc>
        <w:tc>
          <w:tcPr>
            <w:tcW w:w="1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 January 1 adoption of ASC 842</w:t>
            </w: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445</w:t>
            </w:r>
          </w:p>
        </w:tc>
        <w:tc>
          <w:tcPr>
            <w:tcW w:w="1680" w:type="dxa"/>
            <w:vAlign w:val="bottom"/>
          </w:tcPr>
          <w:p>
            <w:pPr>
              <w:jc w:val="right"/>
              <w:ind w:right="381"/>
              <w:spacing w:after="0"/>
              <w:rPr>
                <w:sz w:val="20"/>
                <w:szCs w:val="20"/>
                <w:color w:val="auto"/>
              </w:rPr>
            </w:pPr>
            <w:r>
              <w:rPr>
                <w:rFonts w:ascii="Times New Roman" w:cs="Times New Roman" w:eastAsia="Times New Roman" w:hAnsi="Times New Roman"/>
                <w:sz w:val="18"/>
                <w:szCs w:val="18"/>
                <w:color w:val="auto"/>
              </w:rPr>
              <w:t>2,818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exchange for lease liabilities during the period</w:t>
            </w: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1680" w:type="dxa"/>
            <w:vAlign w:val="bottom"/>
          </w:tcPr>
          <w:p>
            <w:pPr>
              <w:jc w:val="right"/>
              <w:ind w:right="381"/>
              <w:spacing w:after="0"/>
              <w:rPr>
                <w:sz w:val="20"/>
                <w:szCs w:val="20"/>
                <w:color w:val="auto"/>
              </w:rPr>
            </w:pPr>
            <w:r>
              <w:rPr>
                <w:rFonts w:ascii="Times New Roman" w:cs="Times New Roman" w:eastAsia="Times New Roman" w:hAnsi="Times New Roman"/>
                <w:sz w:val="18"/>
                <w:szCs w:val="18"/>
                <w:color w:val="auto"/>
              </w:rPr>
              <w:t>3,313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Disclosures under the previous lease standard (ASC 840)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rental cost incurred under both cancelable and noncancelable operating leases was $2,715 million in 2018.</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2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64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tc>
        <w:tc>
          <w:tcPr>
            <w:tcW w:w="2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51"/>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1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2020</w:t>
            </w:r>
          </w:p>
        </w:tc>
        <w:tc>
          <w:tcPr>
            <w:tcW w:w="13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Net income (loss) attributable to ExxonMobil </w:t>
            </w:r>
            <w:r>
              <w:rPr>
                <w:rFonts w:ascii="Times New Roman" w:cs="Times New Roman" w:eastAsia="Times New Roman" w:hAnsi="Times New Roman"/>
                <w:sz w:val="18"/>
                <w:szCs w:val="18"/>
                <w:i w:val="1"/>
                <w:iCs w:val="1"/>
                <w:color w:val="auto"/>
              </w:rPr>
              <w:t>(millions of dollars)</w:t>
            </w:r>
          </w:p>
        </w:tc>
        <w:tc>
          <w:tcPr>
            <w:tcW w:w="21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(22,440)</w:t>
            </w: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14,340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20,840</w:t>
            </w:r>
          </w:p>
        </w:tc>
      </w:tr>
      <w:tr>
        <w:trPr>
          <w:trHeight w:val="385"/>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number of common shares outstanding </w:t>
            </w:r>
            <w:r>
              <w:rPr>
                <w:rFonts w:ascii="Times New Roman" w:cs="Times New Roman" w:eastAsia="Times New Roman" w:hAnsi="Times New Roman"/>
                <w:sz w:val="18"/>
                <w:szCs w:val="18"/>
                <w:i w:val="1"/>
                <w:iCs w:val="1"/>
                <w:color w:val="auto"/>
              </w:rPr>
              <w:t>(millions of shares)</w:t>
            </w:r>
          </w:p>
        </w:tc>
        <w:tc>
          <w:tcPr>
            <w:tcW w:w="21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4,271</w:t>
            </w: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4,270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w:t>
            </w:r>
          </w:p>
        </w:tc>
      </w:tr>
      <w:tr>
        <w:trPr>
          <w:trHeight w:val="392"/>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Earnings (Loss) per common share </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i w:val="1"/>
                <w:iCs w:val="1"/>
                <w:color w:val="auto"/>
              </w:rPr>
              <w:t>(1)</w:t>
            </w:r>
          </w:p>
        </w:tc>
        <w:tc>
          <w:tcPr>
            <w:tcW w:w="216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(5.25)</w:t>
            </w: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3.36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392"/>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Dividends paid per common share </w:t>
            </w:r>
            <w:r>
              <w:rPr>
                <w:rFonts w:ascii="Times New Roman" w:cs="Times New Roman" w:eastAsia="Times New Roman" w:hAnsi="Times New Roman"/>
                <w:sz w:val="18"/>
                <w:szCs w:val="18"/>
                <w:i w:val="1"/>
                <w:iCs w:val="1"/>
                <w:color w:val="auto"/>
              </w:rPr>
              <w:t>(dollars)</w:t>
            </w:r>
          </w:p>
        </w:tc>
        <w:tc>
          <w:tcPr>
            <w:tcW w:w="21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3.48</w:t>
            </w:r>
          </w:p>
        </w:tc>
        <w:tc>
          <w:tcPr>
            <w:tcW w:w="13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3.43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bl>
    <w:p>
      <w:pPr>
        <w:spacing w:after="0" w:line="88" w:lineRule="exact"/>
        <w:rPr>
          <w:sz w:val="20"/>
          <w:szCs w:val="20"/>
          <w:color w:val="auto"/>
        </w:rPr>
      </w:pPr>
    </w:p>
    <w:p>
      <w:pPr>
        <w:ind w:left="5540" w:right="1300" w:hanging="5532"/>
        <w:spacing w:after="0" w:line="801" w:lineRule="auto"/>
        <w:tabs>
          <w:tab w:leader="none" w:pos="332"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earnings (loss) per common share and earnings (loss) per common share - assuming dilution are the same in each period shown. </w:t>
      </w: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Instruments and Derivatives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Financial Instruments. </w:t>
      </w:r>
      <w:r>
        <w:rPr>
          <w:rFonts w:ascii="Times New Roman" w:cs="Times New Roman" w:eastAsia="Times New Roman" w:hAnsi="Times New Roman"/>
          <w:sz w:val="18"/>
          <w:szCs w:val="18"/>
          <w:color w:val="auto"/>
        </w:rPr>
        <w:t>The estimated fair value of financial instruments at December 31, 2020 and December 31, 2019, and the related hierarchy level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fair value measurement is as follows:</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6"/>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At December 31, 2020</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6"/>
          </w:tcPr>
          <w:p>
            <w:pPr>
              <w:jc w:val="center"/>
              <w:ind w:left="28"/>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1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Difference in</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3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Total Gross</w:t>
            </w:r>
          </w:p>
        </w:tc>
        <w:tc>
          <w:tcPr>
            <w:tcW w:w="20" w:type="dxa"/>
            <w:vAlign w:val="bottom"/>
          </w:tcPr>
          <w:p>
            <w:pPr>
              <w:spacing w:after="0"/>
              <w:rPr>
                <w:sz w:val="10"/>
                <w:szCs w:val="10"/>
                <w:color w:val="auto"/>
              </w:rPr>
            </w:pPr>
          </w:p>
        </w:tc>
        <w:tc>
          <w:tcPr>
            <w:tcW w:w="12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9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4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1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Assets &amp;</w:t>
            </w:r>
          </w:p>
        </w:tc>
        <w:tc>
          <w:tcPr>
            <w:tcW w:w="20" w:type="dxa"/>
            <w:vAlign w:val="bottom"/>
          </w:tcPr>
          <w:p>
            <w:pPr>
              <w:spacing w:after="0"/>
              <w:rPr>
                <w:sz w:val="11"/>
                <w:szCs w:val="11"/>
                <w:color w:val="auto"/>
              </w:rPr>
            </w:pPr>
          </w:p>
        </w:tc>
        <w:tc>
          <w:tcPr>
            <w:tcW w:w="122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Counterparty</w:t>
            </w:r>
          </w:p>
        </w:tc>
        <w:tc>
          <w:tcPr>
            <w:tcW w:w="96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080" w:type="dxa"/>
            <w:vAlign w:val="bottom"/>
            <w:gridSpan w:val="4"/>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w w:val="99"/>
              </w:rPr>
              <w:t>Value and Fair</w:t>
            </w:r>
          </w:p>
        </w:tc>
        <w:tc>
          <w:tcPr>
            <w:tcW w:w="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9"/>
        </w:trPr>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4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 w:type="dxa"/>
            <w:vAlign w:val="bottom"/>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40" w:type="dxa"/>
            <w:vAlign w:val="bottom"/>
          </w:tcPr>
          <w:p>
            <w:pPr>
              <w:spacing w:after="0"/>
              <w:rPr>
                <w:sz w:val="16"/>
                <w:szCs w:val="16"/>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59"/>
        </w:trPr>
        <w:tc>
          <w:tcPr>
            <w:tcW w:w="3180" w:type="dxa"/>
            <w:vAlign w:val="bottom"/>
            <w:vMerge w:val="continue"/>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Derivative assets </w:t>
            </w:r>
            <w:r>
              <w:rPr>
                <w:rFonts w:ascii="Times New Roman" w:cs="Times New Roman" w:eastAsia="Times New Roman" w:hAnsi="Times New Roman"/>
                <w:sz w:val="14"/>
                <w:szCs w:val="14"/>
                <w:i w:val="1"/>
                <w:iCs w:val="1"/>
                <w:color w:val="auto"/>
              </w:rPr>
              <w:t>(1)</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1,247</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tcPr>
          <w:p>
            <w:pPr>
              <w:spacing w:after="0"/>
              <w:rPr>
                <w:sz w:val="21"/>
                <w:szCs w:val="21"/>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85"/>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Advances to/receivables from equity companies </w:t>
            </w:r>
            <w:r>
              <w:rPr>
                <w:rFonts w:ascii="Times New Roman" w:cs="Times New Roman" w:eastAsia="Times New Roman" w:hAnsi="Times New Roman"/>
                <w:sz w:val="14"/>
                <w:szCs w:val="14"/>
                <w:i w:val="1"/>
                <w:iCs w:val="1"/>
                <w:color w:val="auto"/>
              </w:rPr>
              <w:t>(2)</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3,275</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5,904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9,179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8,812</w:t>
            </w:r>
          </w:p>
        </w:tc>
        <w:tc>
          <w:tcPr>
            <w:tcW w:w="0" w:type="dxa"/>
            <w:vAlign w:val="bottom"/>
          </w:tcPr>
          <w:p>
            <w:pPr>
              <w:spacing w:after="0"/>
              <w:rPr>
                <w:sz w:val="1"/>
                <w:szCs w:val="1"/>
                <w:color w:val="auto"/>
              </w:rPr>
            </w:pPr>
          </w:p>
        </w:tc>
      </w:tr>
      <w:tr>
        <w:trPr>
          <w:trHeight w:val="190"/>
        </w:trPr>
        <w:tc>
          <w:tcPr>
            <w:tcW w:w="3180" w:type="dxa"/>
            <w:vAlign w:val="bottom"/>
          </w:tcPr>
          <w:p>
            <w:pPr>
              <w:ind w:left="440"/>
              <w:spacing w:after="0"/>
              <w:rPr>
                <w:sz w:val="20"/>
                <w:szCs w:val="20"/>
                <w:color w:val="auto"/>
              </w:rPr>
            </w:pPr>
            <w:r>
              <w:rPr>
                <w:rFonts w:ascii="Times New Roman" w:cs="Times New Roman" w:eastAsia="Times New Roman" w:hAnsi="Times New Roman"/>
                <w:sz w:val="14"/>
                <w:szCs w:val="14"/>
                <w:i w:val="1"/>
                <w:iCs w:val="1"/>
                <w:color w:val="auto"/>
              </w:rPr>
              <w:t>(6)</w:t>
            </w:r>
          </w:p>
        </w:tc>
        <w:tc>
          <w:tcPr>
            <w:tcW w:w="9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Other long-term financial assets </w:t>
            </w:r>
            <w:r>
              <w:rPr>
                <w:rFonts w:ascii="Times New Roman" w:cs="Times New Roman" w:eastAsia="Times New Roman" w:hAnsi="Times New Roman"/>
                <w:sz w:val="14"/>
                <w:szCs w:val="14"/>
                <w:i w:val="1"/>
                <w:iCs w:val="1"/>
                <w:color w:val="auto"/>
              </w:rPr>
              <w:t>(3)</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1,235</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2,304</w:t>
            </w:r>
          </w:p>
        </w:tc>
        <w:tc>
          <w:tcPr>
            <w:tcW w:w="0" w:type="dxa"/>
            <w:vAlign w:val="bottom"/>
          </w:tcPr>
          <w:p>
            <w:pPr>
              <w:spacing w:after="0"/>
              <w:rPr>
                <w:sz w:val="1"/>
                <w:szCs w:val="1"/>
                <w:color w:val="auto"/>
              </w:rPr>
            </w:pPr>
          </w:p>
        </w:tc>
      </w:tr>
      <w:tr>
        <w:trPr>
          <w:trHeight w:val="446"/>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Derivative liabilities </w:t>
            </w:r>
            <w:r>
              <w:rPr>
                <w:rFonts w:ascii="Times New Roman" w:cs="Times New Roman" w:eastAsia="Times New Roman" w:hAnsi="Times New Roman"/>
                <w:sz w:val="14"/>
                <w:szCs w:val="14"/>
                <w:i w:val="1"/>
                <w:iCs w:val="1"/>
                <w:color w:val="auto"/>
              </w:rPr>
              <w:t>(4)</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230"/>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4"/>
                <w:szCs w:val="14"/>
                <w:i w:val="1"/>
                <w:iCs w:val="1"/>
                <w:color w:val="auto"/>
              </w:rPr>
              <w:t>(5)</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50,263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(4,890)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45,502</w:t>
            </w:r>
          </w:p>
        </w:tc>
        <w:tc>
          <w:tcPr>
            <w:tcW w:w="0" w:type="dxa"/>
            <w:vAlign w:val="bottom"/>
          </w:tcPr>
          <w:p>
            <w:pPr>
              <w:spacing w:after="0"/>
              <w:rPr>
                <w:sz w:val="1"/>
                <w:szCs w:val="1"/>
                <w:color w:val="auto"/>
              </w:rPr>
            </w:pPr>
          </w:p>
        </w:tc>
      </w:tr>
      <w:tr>
        <w:trPr>
          <w:trHeight w:val="229"/>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Long-term obligations to equity companies </w:t>
            </w:r>
            <w:r>
              <w:rPr>
                <w:rFonts w:ascii="Times New Roman" w:cs="Times New Roman" w:eastAsia="Times New Roman" w:hAnsi="Times New Roman"/>
                <w:sz w:val="14"/>
                <w:szCs w:val="14"/>
                <w:i w:val="1"/>
                <w:iCs w:val="1"/>
                <w:color w:val="auto"/>
              </w:rPr>
              <w:t>(6)</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3,253</w:t>
            </w:r>
          </w:p>
        </w:tc>
        <w:tc>
          <w:tcPr>
            <w:tcW w:w="0" w:type="dxa"/>
            <w:vAlign w:val="bottom"/>
          </w:tcPr>
          <w:p>
            <w:pPr>
              <w:spacing w:after="0"/>
              <w:rPr>
                <w:sz w:val="1"/>
                <w:szCs w:val="1"/>
                <w:color w:val="auto"/>
              </w:rPr>
            </w:pPr>
          </w:p>
        </w:tc>
      </w:tr>
      <w:tr>
        <w:trPr>
          <w:trHeight w:val="230"/>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Other long-term financial liabilities </w:t>
            </w:r>
            <w:r>
              <w:rPr>
                <w:rFonts w:ascii="Times New Roman" w:cs="Times New Roman" w:eastAsia="Times New Roman" w:hAnsi="Times New Roman"/>
                <w:sz w:val="14"/>
                <w:szCs w:val="14"/>
                <w:i w:val="1"/>
                <w:iCs w:val="1"/>
                <w:color w:val="auto"/>
              </w:rPr>
              <w:t>(7)</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0" w:type="dxa"/>
            <w:vAlign w:val="bottom"/>
          </w:tcPr>
          <w:p>
            <w:pPr>
              <w:spacing w:after="0"/>
              <w:rPr>
                <w:sz w:val="1"/>
                <w:szCs w:val="1"/>
                <w:color w:val="auto"/>
              </w:rPr>
            </w:pPr>
          </w:p>
        </w:tc>
      </w:tr>
      <w:tr>
        <w:trPr>
          <w:trHeight w:val="310"/>
        </w:trPr>
        <w:tc>
          <w:tcPr>
            <w:tcW w:w="3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6"/>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At December 31, 2019</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1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6"/>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6"/>
          </w:tcPr>
          <w:p>
            <w:pPr>
              <w:jc w:val="center"/>
              <w:ind w:left="28"/>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1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Difference in</w:t>
            </w: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Total Gross</w:t>
            </w:r>
          </w:p>
        </w:tc>
        <w:tc>
          <w:tcPr>
            <w:tcW w:w="20" w:type="dxa"/>
            <w:vAlign w:val="bottom"/>
          </w:tcPr>
          <w:p>
            <w:pPr>
              <w:spacing w:after="0"/>
              <w:rPr>
                <w:sz w:val="10"/>
                <w:szCs w:val="10"/>
                <w:color w:val="auto"/>
              </w:rPr>
            </w:pPr>
          </w:p>
        </w:tc>
        <w:tc>
          <w:tcPr>
            <w:tcW w:w="12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9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4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1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Assets &amp;</w:t>
            </w:r>
          </w:p>
        </w:tc>
        <w:tc>
          <w:tcPr>
            <w:tcW w:w="2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Counterparty</w:t>
            </w:r>
          </w:p>
        </w:tc>
        <w:tc>
          <w:tcPr>
            <w:tcW w:w="96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40" w:type="dxa"/>
            <w:vAlign w:val="bottom"/>
          </w:tcPr>
          <w:p>
            <w:pPr>
              <w:spacing w:after="0"/>
              <w:rPr>
                <w:sz w:val="11"/>
                <w:szCs w:val="11"/>
                <w:color w:val="auto"/>
              </w:rPr>
            </w:pPr>
          </w:p>
        </w:tc>
        <w:tc>
          <w:tcPr>
            <w:tcW w:w="104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w w:val="99"/>
              </w:rPr>
              <w:t>Value and Fair</w:t>
            </w:r>
          </w:p>
        </w:tc>
        <w:tc>
          <w:tcPr>
            <w:tcW w:w="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9"/>
        </w:trPr>
        <w:tc>
          <w:tcPr>
            <w:tcW w:w="3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4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 w:type="dxa"/>
            <w:vAlign w:val="bottom"/>
          </w:tcPr>
          <w:p>
            <w:pPr>
              <w:spacing w:after="0"/>
              <w:rPr>
                <w:sz w:val="16"/>
                <w:szCs w:val="16"/>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9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40" w:type="dxa"/>
            <w:vAlign w:val="bottom"/>
          </w:tcPr>
          <w:p>
            <w:pPr>
              <w:spacing w:after="0"/>
              <w:rPr>
                <w:sz w:val="16"/>
                <w:szCs w:val="16"/>
                <w:color w:val="auto"/>
              </w:rPr>
            </w:pP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59"/>
        </w:trPr>
        <w:tc>
          <w:tcPr>
            <w:tcW w:w="3180" w:type="dxa"/>
            <w:vAlign w:val="bottom"/>
            <w:vMerge w:val="continue"/>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Derivative assets </w:t>
            </w:r>
            <w:r>
              <w:rPr>
                <w:rFonts w:ascii="Times New Roman" w:cs="Times New Roman" w:eastAsia="Times New Roman" w:hAnsi="Times New Roman"/>
                <w:sz w:val="14"/>
                <w:szCs w:val="14"/>
                <w:i w:val="1"/>
                <w:iCs w:val="1"/>
                <w:color w:val="auto"/>
              </w:rPr>
              <w:t>(1)</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1"/>
                <w:szCs w:val="21"/>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85"/>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Advances to/receivables from equity companies </w:t>
            </w:r>
            <w:r>
              <w:rPr>
                <w:rFonts w:ascii="Times New Roman" w:cs="Times New Roman" w:eastAsia="Times New Roman" w:hAnsi="Times New Roman"/>
                <w:sz w:val="14"/>
                <w:szCs w:val="14"/>
                <w:i w:val="1"/>
                <w:iCs w:val="1"/>
                <w:color w:val="auto"/>
              </w:rPr>
              <w:t>(2)</w:t>
            </w: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6,729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8,670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(128)</w:t>
            </w:r>
          </w:p>
        </w:tc>
        <w:tc>
          <w:tcPr>
            <w:tcW w:w="60" w:type="dxa"/>
            <w:vAlign w:val="bottom"/>
          </w:tcPr>
          <w:p>
            <w:pPr>
              <w:spacing w:after="0"/>
              <w:rPr>
                <w:sz w:val="16"/>
                <w:szCs w:val="16"/>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8,542</w:t>
            </w:r>
          </w:p>
        </w:tc>
        <w:tc>
          <w:tcPr>
            <w:tcW w:w="0" w:type="dxa"/>
            <w:vAlign w:val="bottom"/>
          </w:tcPr>
          <w:p>
            <w:pPr>
              <w:spacing w:after="0"/>
              <w:rPr>
                <w:sz w:val="1"/>
                <w:szCs w:val="1"/>
                <w:color w:val="auto"/>
              </w:rPr>
            </w:pPr>
          </w:p>
        </w:tc>
      </w:tr>
      <w:tr>
        <w:trPr>
          <w:trHeight w:val="190"/>
        </w:trPr>
        <w:tc>
          <w:tcPr>
            <w:tcW w:w="3180" w:type="dxa"/>
            <w:vAlign w:val="bottom"/>
          </w:tcPr>
          <w:p>
            <w:pPr>
              <w:ind w:left="440"/>
              <w:spacing w:after="0"/>
              <w:rPr>
                <w:sz w:val="20"/>
                <w:szCs w:val="20"/>
                <w:color w:val="auto"/>
              </w:rPr>
            </w:pPr>
            <w:r>
              <w:rPr>
                <w:rFonts w:ascii="Times New Roman" w:cs="Times New Roman" w:eastAsia="Times New Roman" w:hAnsi="Times New Roman"/>
                <w:sz w:val="14"/>
                <w:szCs w:val="14"/>
                <w:i w:val="1"/>
                <w:iCs w:val="1"/>
                <w:color w:val="auto"/>
              </w:rPr>
              <w:t>(6)</w:t>
            </w:r>
          </w:p>
        </w:tc>
        <w:tc>
          <w:tcPr>
            <w:tcW w:w="94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Other long-term financial assets </w:t>
            </w:r>
            <w:r>
              <w:rPr>
                <w:rFonts w:ascii="Times New Roman" w:cs="Times New Roman" w:eastAsia="Times New Roman" w:hAnsi="Times New Roman"/>
                <w:sz w:val="14"/>
                <w:szCs w:val="14"/>
                <w:i w:val="1"/>
                <w:iCs w:val="1"/>
                <w:color w:val="auto"/>
              </w:rPr>
              <w:t>(3)</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1,145</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2,163</w:t>
            </w:r>
          </w:p>
        </w:tc>
        <w:tc>
          <w:tcPr>
            <w:tcW w:w="0" w:type="dxa"/>
            <w:vAlign w:val="bottom"/>
          </w:tcPr>
          <w:p>
            <w:pPr>
              <w:spacing w:after="0"/>
              <w:rPr>
                <w:sz w:val="1"/>
                <w:szCs w:val="1"/>
                <w:color w:val="auto"/>
              </w:rPr>
            </w:pPr>
          </w:p>
        </w:tc>
      </w:tr>
      <w:tr>
        <w:trPr>
          <w:trHeight w:val="445"/>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Derivative liabilities </w:t>
            </w:r>
            <w:r>
              <w:rPr>
                <w:rFonts w:ascii="Times New Roman" w:cs="Times New Roman" w:eastAsia="Times New Roman" w:hAnsi="Times New Roman"/>
                <w:sz w:val="14"/>
                <w:szCs w:val="14"/>
                <w:i w:val="1"/>
                <w:iCs w:val="1"/>
                <w:color w:val="auto"/>
              </w:rPr>
              <w:t>(4)</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9"/>
                <w:szCs w:val="19"/>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30"/>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4"/>
                <w:szCs w:val="14"/>
                <w:i w:val="1"/>
                <w:iCs w:val="1"/>
                <w:color w:val="auto"/>
              </w:rPr>
              <w:t>(5)</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25,652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(1,117)</w:t>
            </w:r>
          </w:p>
        </w:tc>
        <w:tc>
          <w:tcPr>
            <w:tcW w:w="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24,672</w:t>
            </w:r>
          </w:p>
        </w:tc>
        <w:tc>
          <w:tcPr>
            <w:tcW w:w="0" w:type="dxa"/>
            <w:vAlign w:val="bottom"/>
          </w:tcPr>
          <w:p>
            <w:pPr>
              <w:spacing w:after="0"/>
              <w:rPr>
                <w:sz w:val="1"/>
                <w:szCs w:val="1"/>
                <w:color w:val="auto"/>
              </w:rPr>
            </w:pPr>
          </w:p>
        </w:tc>
      </w:tr>
      <w:tr>
        <w:trPr>
          <w:trHeight w:val="229"/>
        </w:trPr>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Long-term obligations to equity companies </w:t>
            </w:r>
            <w:r>
              <w:rPr>
                <w:rFonts w:ascii="Times New Roman" w:cs="Times New Roman" w:eastAsia="Times New Roman" w:hAnsi="Times New Roman"/>
                <w:sz w:val="14"/>
                <w:szCs w:val="14"/>
                <w:i w:val="1"/>
                <w:iCs w:val="1"/>
                <w:color w:val="auto"/>
              </w:rPr>
              <w:t>(6)</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(257)</w:t>
            </w:r>
          </w:p>
        </w:tc>
        <w:tc>
          <w:tcPr>
            <w:tcW w:w="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3,988</w:t>
            </w:r>
          </w:p>
        </w:tc>
        <w:tc>
          <w:tcPr>
            <w:tcW w:w="0" w:type="dxa"/>
            <w:vAlign w:val="bottom"/>
          </w:tcPr>
          <w:p>
            <w:pPr>
              <w:spacing w:after="0"/>
              <w:rPr>
                <w:sz w:val="1"/>
                <w:szCs w:val="1"/>
                <w:color w:val="auto"/>
              </w:rPr>
            </w:pPr>
          </w:p>
        </w:tc>
      </w:tr>
      <w:tr>
        <w:trPr>
          <w:trHeight w:val="230"/>
        </w:trPr>
        <w:tc>
          <w:tcPr>
            <w:tcW w:w="3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Other long-term financial liabilities </w:t>
            </w:r>
            <w:r>
              <w:rPr>
                <w:rFonts w:ascii="Times New Roman" w:cs="Times New Roman" w:eastAsia="Times New Roman" w:hAnsi="Times New Roman"/>
                <w:sz w:val="14"/>
                <w:szCs w:val="14"/>
                <w:i w:val="1"/>
                <w:iCs w:val="1"/>
                <w:color w:val="auto"/>
              </w:rPr>
              <w:t>(7)</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the Balance Sheet lines: Notes and accounts receivable - net and Other assets, including intangibles - net</w:t>
      </w:r>
    </w:p>
    <w:p>
      <w:pPr>
        <w:spacing w:after="0" w:line="19" w:lineRule="exact"/>
        <w:rPr>
          <w:rFonts w:ascii="Times New Roman" w:cs="Times New Roman" w:eastAsia="Times New Roman" w:hAnsi="Times New Roman"/>
          <w:sz w:val="14"/>
          <w:szCs w:val="14"/>
          <w:i w:val="1"/>
          <w:iCs w:val="1"/>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the Balance Sheet line: Investments, advances and long-term receivables</w:t>
      </w:r>
    </w:p>
    <w:p>
      <w:pPr>
        <w:spacing w:after="0" w:line="1" w:lineRule="exact"/>
        <w:rPr>
          <w:rFonts w:ascii="Times New Roman" w:cs="Times New Roman" w:eastAsia="Times New Roman" w:hAnsi="Times New Roman"/>
          <w:sz w:val="14"/>
          <w:szCs w:val="14"/>
          <w:i w:val="1"/>
          <w:iCs w:val="1"/>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the Balance Sheet lines: Investments, advances and long term receivables and Other assets, including intangibles - net</w:t>
      </w:r>
    </w:p>
    <w:p>
      <w:pPr>
        <w:spacing w:after="0" w:line="1" w:lineRule="exact"/>
        <w:rPr>
          <w:rFonts w:ascii="Times New Roman" w:cs="Times New Roman" w:eastAsia="Times New Roman" w:hAnsi="Times New Roman"/>
          <w:sz w:val="14"/>
          <w:szCs w:val="14"/>
          <w:i w:val="1"/>
          <w:iCs w:val="1"/>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the Balance Sheet lines: Accounts payable and accrued liabilities and Other long-term obligations</w:t>
      </w:r>
    </w:p>
    <w:p>
      <w:pPr>
        <w:spacing w:after="0" w:line="1" w:lineRule="exact"/>
        <w:rPr>
          <w:rFonts w:ascii="Times New Roman" w:cs="Times New Roman" w:eastAsia="Times New Roman" w:hAnsi="Times New Roman"/>
          <w:sz w:val="14"/>
          <w:szCs w:val="14"/>
          <w:i w:val="1"/>
          <w:iCs w:val="1"/>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Excluding finance lease obligations</w:t>
      </w:r>
    </w:p>
    <w:p>
      <w:pPr>
        <w:spacing w:after="0" w:line="1" w:lineRule="exact"/>
        <w:rPr>
          <w:rFonts w:ascii="Times New Roman" w:cs="Times New Roman" w:eastAsia="Times New Roman" w:hAnsi="Times New Roman"/>
          <w:sz w:val="14"/>
          <w:szCs w:val="14"/>
          <w:i w:val="1"/>
          <w:iCs w:val="1"/>
          <w:color w:val="auto"/>
        </w:rPr>
      </w:pPr>
    </w:p>
    <w:p>
      <w:pPr>
        <w:ind w:left="340" w:hanging="332"/>
        <w:spacing w:after="0" w:line="241" w:lineRule="auto"/>
        <w:tabs>
          <w:tab w:leader="none" w:pos="332"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Advances to/receivables from equity companies and long-term obligations to equity companies are mainly designated as hierarchy level 3 inputs. The fair value is calculated by discounting the remaining obligations by a rate consistent with the credit quality and industry of the company.</w:t>
      </w:r>
    </w:p>
    <w:p>
      <w:pPr>
        <w:ind w:left="340" w:hanging="332"/>
        <w:spacing w:after="0" w:line="258" w:lineRule="auto"/>
        <w:tabs>
          <w:tab w:leader="none" w:pos="332"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in the Balance Sheet line: Other long-term obligations. Includes contingent consideration related to a prior year acquisition where fair value is based on expected drilling activities and discount rates.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the estimated fair value and book value of long-term debt reflects the Corporation’s issuance of $23 billion of long-term debt during 2020.</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2020 and December 31, 2019, the Corporation had $504 million and $379 million of collateral under master netting arrangements not offset against the derivatives on the Consolidated Balance Sheet, primarily related to initial margin requirements.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Derivative Instruments. </w:t>
      </w:r>
      <w:r>
        <w:rPr>
          <w:rFonts w:ascii="Times New Roman" w:cs="Times New Roman" w:eastAsia="Times New Roman" w:hAnsi="Times New Roman"/>
          <w:sz w:val="18"/>
          <w:szCs w:val="18"/>
          <w:color w:val="auto"/>
        </w:rPr>
        <w:t>The Corporation’s size, strong capital structure, geographic diversity and the complementary nature of the Upstream,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Downstream and Chemical businesses reduce the Corporation’s enterprise-wide risk from changes in commodity prices, currency rates and interest rates. In addition, the Corporation uses commodity-based contracts, including derivatives, to manage commodity price risk and for trading purposes. Commodity contracts held for trading purposes are presented in the Consolidated Statement of Income on a net basis in the line “Sales and other operating revenue”. The Corporation’s commodity derivatives are not accounted for under hedge accounting. At times, the Corporation also enters into currency and interest rate derivatives, none of which are material to the Corporation’s financial position as of December 31, 2020 and 2019, or results of operations for the years ended 2020, 2019 and 2018.</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risk associated with the Corporation’s derivative position is mitigated by several factors, including the use of derivative clearing exchanges and the quality of and financial limits placed on derivative counterparties. The Corporation maintains a system of controls that includes the authorization, reporting and monitoring of derivative activity.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notional long/(short) position of derivative instruments at December 31, 2020, and December 31, 2019, was as follows:</w:t>
      </w: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380" w:type="dxa"/>
            <w:vAlign w:val="bottom"/>
          </w:tcPr>
          <w:p>
            <w:pPr>
              <w:spacing w:after="0"/>
              <w:rPr>
                <w:sz w:val="16"/>
                <w:szCs w:val="16"/>
                <w:color w:val="auto"/>
              </w:rPr>
            </w:pPr>
          </w:p>
        </w:tc>
        <w:tc>
          <w:tcPr>
            <w:tcW w:w="172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380" w:type="dxa"/>
            <w:vAlign w:val="bottom"/>
          </w:tcPr>
          <w:p>
            <w:pPr>
              <w:spacing w:after="0"/>
              <w:rPr>
                <w:sz w:val="16"/>
                <w:szCs w:val="16"/>
                <w:color w:val="auto"/>
              </w:rPr>
            </w:pPr>
          </w:p>
        </w:tc>
        <w:tc>
          <w:tcPr>
            <w:tcW w:w="172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2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83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(millions)</w:t>
            </w:r>
          </w:p>
        </w:tc>
        <w:tc>
          <w:tcPr>
            <w:tcW w:w="1120" w:type="dxa"/>
            <w:vAlign w:val="bottom"/>
          </w:tcPr>
          <w:p>
            <w:pPr>
              <w:spacing w:after="0"/>
              <w:rPr>
                <w:sz w:val="15"/>
                <w:szCs w:val="15"/>
                <w:color w:val="auto"/>
              </w:rPr>
            </w:pPr>
          </w:p>
        </w:tc>
      </w:tr>
      <w:tr>
        <w:trPr>
          <w:trHeight w:val="229"/>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Crude oil (barrels)</w:t>
            </w:r>
          </w:p>
        </w:tc>
        <w:tc>
          <w:tcPr>
            <w:tcW w:w="1720" w:type="dxa"/>
            <w:vAlign w:val="bottom"/>
          </w:tcPr>
          <w:p>
            <w:pPr>
              <w:jc w:val="right"/>
              <w:ind w:right="339"/>
              <w:spacing w:after="0"/>
              <w:rPr>
                <w:sz w:val="20"/>
                <w:szCs w:val="20"/>
                <w:color w:val="auto"/>
              </w:rPr>
            </w:pPr>
            <w:r>
              <w:rPr>
                <w:rFonts w:ascii="Times New Roman" w:cs="Times New Roman" w:eastAsia="Times New Roman" w:hAnsi="Times New Roman"/>
                <w:sz w:val="18"/>
                <w:szCs w:val="18"/>
                <w:color w:val="auto"/>
              </w:rPr>
              <w:t>40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Petroleum products (barrels)</w:t>
            </w:r>
          </w:p>
        </w:tc>
        <w:tc>
          <w:tcPr>
            <w:tcW w:w="172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(46)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Natural gas (MMBTUs)</w:t>
            </w:r>
          </w:p>
        </w:tc>
        <w:tc>
          <w:tcPr>
            <w:tcW w:w="172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(500)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bl>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Realized and unrealized gains/(losses) on derivative instruments that were recognized in the Consolidated Statement of Income are included in the following lines on a before-tax basis:</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24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76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3"/>
        </w:trPr>
        <w:tc>
          <w:tcPr>
            <w:tcW w:w="7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760" w:type="dxa"/>
            <w:vAlign w:val="bottom"/>
          </w:tcPr>
          <w:p>
            <w:pPr>
              <w:jc w:val="right"/>
              <w:ind w:right="437"/>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900" w:type="dxa"/>
            <w:vAlign w:val="bottom"/>
          </w:tcPr>
          <w:p>
            <w:pPr>
              <w:spacing w:after="0"/>
              <w:rPr>
                <w:sz w:val="15"/>
                <w:szCs w:val="15"/>
                <w:color w:val="auto"/>
              </w:rPr>
            </w:pPr>
          </w:p>
        </w:tc>
      </w:tr>
      <w:tr>
        <w:trPr>
          <w:trHeight w:val="23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Sales and other operating revenue</w:t>
            </w: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404</w:t>
            </w:r>
          </w:p>
        </w:tc>
        <w:tc>
          <w:tcPr>
            <w:tcW w:w="176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(412)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Crude oil and product purchases</w:t>
            </w: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(407)</w:t>
            </w:r>
          </w:p>
        </w:tc>
        <w:tc>
          <w:tcPr>
            <w:tcW w:w="17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8"/>
                <w:szCs w:val="18"/>
                <w:color w:val="auto"/>
              </w:rPr>
              <w:t>179</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72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c>
          <w:tcPr>
            <w:tcW w:w="17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8"/>
                <w:szCs w:val="18"/>
                <w:color w:val="auto"/>
              </w:rPr>
              <w:t>(233)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Long-Term Debt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2020, long-term debt consisted of $41,026 million due in U.S. dollars and $6,156 million representing the U.S. dollar equivalent at year-end exchange rates of amounts payable in foreign currencies. These amounts exclude that portion of long-term debt, totaling $2,930 million, which matures within one year and is included in current liabilities. The increase in the estimated fair value and book value of long-term debt reflects the Corporation’s issuance of $23 billion of long-term debt during 2020. The amounts of long-term debt, excluding finance lease obligations, maturing in each of the four years after December 31, 2021, in millions of dollars, are: 2022 – $3,340; 2023 – $4,024; 2024 – $3,968; and 2025 – $4,672. At December 31, 2020, the Corporation had no unused long-term lines of credit.</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may use non-derivative financial instruments, such as its foreign currency-denominated debt, as hedges of its net investments in certain foreign subsidiaries. Under this method, the change in the carrying value of the financial instruments due to foreign exchange fluctuations is reported in accumulated other comprehensive income. As of December 31, 2020, the Corporation has designated its $5.5 billion of Euro-denominated long-term debt and related accrued interest as a net investment hedge of its European business. The net investment hedge is deemed to be perfectly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long-term debt at year-end 2020 and 2019 are shown in the table below:</w:t>
      </w:r>
    </w:p>
    <w:p>
      <w:pPr>
        <w:spacing w:after="0" w:line="151" w:lineRule="exact"/>
        <w:rPr>
          <w:sz w:val="20"/>
          <w:szCs w:val="20"/>
          <w:color w:val="auto"/>
        </w:rPr>
      </w:pPr>
    </w:p>
    <w:tbl>
      <w:tblPr>
        <w:tblLayout w:type="fixed"/>
        <w:tblInd w:w="1180" w:type="dxa"/>
        <w:tblCellMar>
          <w:top w:w="0" w:type="dxa"/>
          <w:left w:w="0" w:type="dxa"/>
          <w:bottom w:w="0" w:type="dxa"/>
          <w:right w:w="0" w:type="dxa"/>
        </w:tblCellMar>
      </w:tblPr>
      <w:tr>
        <w:trPr>
          <w:trHeight w:val="187"/>
        </w:trPr>
        <w:tc>
          <w:tcPr>
            <w:tcW w:w="4180" w:type="dxa"/>
            <w:vAlign w:val="bottom"/>
          </w:tcPr>
          <w:p>
            <w:pPr>
              <w:spacing w:after="0"/>
              <w:rPr>
                <w:sz w:val="16"/>
                <w:szCs w:val="16"/>
                <w:color w:val="auto"/>
              </w:rPr>
            </w:pPr>
          </w:p>
        </w:tc>
        <w:tc>
          <w:tcPr>
            <w:tcW w:w="1880" w:type="dxa"/>
            <w:vAlign w:val="bottom"/>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4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120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 31,</w:t>
            </w:r>
          </w:p>
        </w:tc>
      </w:tr>
      <w:tr>
        <w:trPr>
          <w:trHeight w:val="206"/>
        </w:trPr>
        <w:tc>
          <w:tcPr>
            <w:tcW w:w="4180" w:type="dxa"/>
            <w:vAlign w:val="bottom"/>
          </w:tcPr>
          <w:p>
            <w:pPr>
              <w:spacing w:after="0"/>
              <w:rPr>
                <w:sz w:val="17"/>
                <w:szCs w:val="17"/>
                <w:color w:val="auto"/>
              </w:rPr>
            </w:pPr>
          </w:p>
        </w:tc>
        <w:tc>
          <w:tcPr>
            <w:tcW w:w="1880" w:type="dxa"/>
            <w:vAlign w:val="bottom"/>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4"/>
                <w:szCs w:val="14"/>
                <w:i w:val="1"/>
                <w:iCs w:val="1"/>
                <w:color w:val="auto"/>
              </w:rPr>
              <w:t>(1)</w:t>
            </w:r>
          </w:p>
        </w:tc>
        <w:tc>
          <w:tcPr>
            <w:tcW w:w="1640" w:type="dxa"/>
            <w:vAlign w:val="bottom"/>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37"/>
        </w:trPr>
        <w:tc>
          <w:tcPr>
            <w:tcW w:w="41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gridSpan w:val="2"/>
          </w:tcPr>
          <w:p>
            <w:pPr>
              <w:spacing w:after="0"/>
              <w:rPr>
                <w:sz w:val="3"/>
                <w:szCs w:val="3"/>
                <w:color w:val="auto"/>
              </w:rPr>
            </w:pPr>
          </w:p>
        </w:tc>
      </w:tr>
      <w:tr>
        <w:trPr>
          <w:trHeight w:val="186"/>
        </w:trPr>
        <w:tc>
          <w:tcPr>
            <w:tcW w:w="41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40" w:type="dxa"/>
            <w:vAlign w:val="bottom"/>
            <w:gridSpan w:val="2"/>
          </w:tcPr>
          <w:p>
            <w:pPr>
              <w:jc w:val="right"/>
              <w:ind w:right="751"/>
              <w:spacing w:after="0"/>
              <w:rPr>
                <w:sz w:val="20"/>
                <w:szCs w:val="20"/>
                <w:color w:val="auto"/>
              </w:rPr>
            </w:pPr>
            <w:r>
              <w:rPr>
                <w:rFonts w:ascii="Times New Roman" w:cs="Times New Roman" w:eastAsia="Times New Roman" w:hAnsi="Times New Roman"/>
                <w:sz w:val="14"/>
                <w:szCs w:val="14"/>
                <w:i w:val="1"/>
                <w:iCs w:val="1"/>
                <w:color w:val="auto"/>
              </w:rPr>
              <w:t>(millions of dollars)</w:t>
            </w:r>
          </w:p>
        </w:tc>
      </w:tr>
      <w:tr>
        <w:trPr>
          <w:trHeight w:val="275"/>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Exxon Mobil Corporation </w:t>
            </w:r>
            <w:r>
              <w:rPr>
                <w:rFonts w:ascii="Times New Roman" w:cs="Times New Roman" w:eastAsia="Times New Roman" w:hAnsi="Times New Roman"/>
                <w:sz w:val="14"/>
                <w:szCs w:val="14"/>
                <w:i w:val="1"/>
                <w:iCs w:val="1"/>
                <w:color w:val="auto"/>
              </w:rPr>
              <w:t>(2)</w:t>
            </w:r>
          </w:p>
        </w:tc>
        <w:tc>
          <w:tcPr>
            <w:tcW w:w="1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2.222% notes due 2021</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30"/>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2.397% notes due 2022</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1,150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28"/>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1.902% notes due 2022</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750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Floating-rate notes due 2022 </w:t>
            </w:r>
            <w:r>
              <w:rPr>
                <w:rFonts w:ascii="Times New Roman" w:cs="Times New Roman" w:eastAsia="Times New Roman" w:hAnsi="Times New Roman"/>
                <w:sz w:val="18"/>
                <w:szCs w:val="18"/>
                <w:i w:val="1"/>
                <w:iCs w:val="1"/>
                <w:color w:val="auto"/>
              </w:rPr>
              <w:t>(Issued 2015)</w:t>
            </w:r>
          </w:p>
        </w:tc>
        <w:tc>
          <w:tcPr>
            <w:tcW w:w="188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7"/>
              </w:rPr>
              <w:t>1.118%</w:t>
            </w: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500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1"/>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Floating-rate notes due 2022 </w:t>
            </w:r>
            <w:r>
              <w:rPr>
                <w:rFonts w:ascii="Times New Roman" w:cs="Times New Roman" w:eastAsia="Times New Roman" w:hAnsi="Times New Roman"/>
                <w:sz w:val="18"/>
                <w:szCs w:val="18"/>
                <w:i w:val="1"/>
                <w:iCs w:val="1"/>
                <w:color w:val="auto"/>
              </w:rPr>
              <w:t>(Issued 2019)</w:t>
            </w:r>
          </w:p>
        </w:tc>
        <w:tc>
          <w:tcPr>
            <w:tcW w:w="188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7"/>
              </w:rPr>
              <w:t>1.189%</w:t>
            </w: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750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1.571% notes due 2023</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2,750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2.726% notes due 2023</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1,250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9"/>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3.176% notes due 2024</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1,000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2.019% notes due 2024</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1,000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2.709% notes due 2025</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1,750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29"/>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2.992% notes due 2025</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2,807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3.043% notes due 2026</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2,500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9"/>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2.275% notes due 2026</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1,000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3.294% notes due 2027</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1,000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2.440% notes due 2029</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1,250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9"/>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3.482% notes due 2030</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2,000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2.610% notes due 2030</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2,000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2.995% notes due 2039</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750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4.227% notes due 2040</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2,091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3.567% notes due 2045</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1,000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4.114% notes due 2046</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2,500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30"/>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3.095% notes due 2049</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1,500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4.327% notes due 2050</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2,750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3.452% notes due 2051</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2,750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 Mobil Corporation - Euro-denominated</w:t>
            </w:r>
          </w:p>
        </w:tc>
        <w:tc>
          <w:tcPr>
            <w:tcW w:w="1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0.142% notes due 2024</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1,841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0.524% notes due 2028</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1,227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0.835% notes due 2032</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1,227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1.408% notes due 2039</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1,227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XTO Energy Inc. </w:t>
            </w:r>
            <w:r>
              <w:rPr>
                <w:rFonts w:ascii="Times New Roman" w:cs="Times New Roman" w:eastAsia="Times New Roman" w:hAnsi="Times New Roman"/>
                <w:sz w:val="14"/>
                <w:szCs w:val="14"/>
                <w:i w:val="1"/>
                <w:iCs w:val="1"/>
                <w:color w:val="auto"/>
              </w:rPr>
              <w:t>(3)</w:t>
            </w:r>
          </w:p>
        </w:tc>
        <w:tc>
          <w:tcPr>
            <w:tcW w:w="1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6.100% senior notes due 2036</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192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6.750% senior notes due 2037</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294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30"/>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6.375% senior notes due 2038</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227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Mobil Corporation</w:t>
            </w:r>
          </w:p>
        </w:tc>
        <w:tc>
          <w:tcPr>
            <w:tcW w:w="1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4"/>
        </w:trPr>
        <w:tc>
          <w:tcPr>
            <w:tcW w:w="4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8.625% debentures due 2021</w:t>
            </w:r>
          </w:p>
        </w:tc>
        <w:tc>
          <w:tcPr>
            <w:tcW w:w="1880" w:type="dxa"/>
            <w:vAlign w:val="bottom"/>
          </w:tcPr>
          <w:p>
            <w:pPr>
              <w:spacing w:after="0"/>
              <w:rPr>
                <w:sz w:val="20"/>
                <w:szCs w:val="20"/>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387"/>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revenue bonds due 2022-2051</w:t>
            </w:r>
          </w:p>
        </w:tc>
        <w:tc>
          <w:tcPr>
            <w:tcW w:w="188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7"/>
              </w:rPr>
              <w:t>0.437%</w:t>
            </w: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2,461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U.S. dollar obligations</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78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foreign currency obligations</w:t>
            </w:r>
          </w:p>
        </w:tc>
        <w:tc>
          <w:tcPr>
            <w:tcW w:w="1880" w:type="dxa"/>
            <w:vAlign w:val="bottom"/>
          </w:tcPr>
          <w:p>
            <w:pPr>
              <w:spacing w:after="0"/>
              <w:rPr>
                <w:sz w:val="19"/>
                <w:szCs w:val="19"/>
                <w:color w:val="auto"/>
              </w:rPr>
            </w:pP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61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880" w:type="dxa"/>
            <w:vAlign w:val="bottom"/>
          </w:tcPr>
          <w:p>
            <w:pPr>
              <w:jc w:val="center"/>
              <w:ind w:left="216"/>
              <w:spacing w:after="0"/>
              <w:rPr>
                <w:sz w:val="20"/>
                <w:szCs w:val="20"/>
                <w:color w:val="auto"/>
              </w:rPr>
            </w:pPr>
            <w:r>
              <w:rPr>
                <w:rFonts w:ascii="Times New Roman" w:cs="Times New Roman" w:eastAsia="Times New Roman" w:hAnsi="Times New Roman"/>
                <w:sz w:val="18"/>
                <w:szCs w:val="18"/>
                <w:color w:val="auto"/>
                <w:w w:val="97"/>
              </w:rPr>
              <w:t>8.730%</w:t>
            </w:r>
          </w:p>
        </w:tc>
        <w:tc>
          <w:tcPr>
            <w:tcW w:w="1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1,680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r>
      <w:tr>
        <w:trPr>
          <w:trHeight w:val="23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880" w:type="dxa"/>
            <w:vAlign w:val="bottom"/>
          </w:tcPr>
          <w:p>
            <w:pPr>
              <w:spacing w:after="0"/>
              <w:rPr>
                <w:sz w:val="20"/>
                <w:szCs w:val="20"/>
                <w:color w:val="auto"/>
              </w:rPr>
            </w:pPr>
          </w:p>
        </w:tc>
        <w:tc>
          <w:tcPr>
            <w:tcW w:w="16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(131)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4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long-term debt</w:t>
            </w:r>
          </w:p>
        </w:tc>
        <w:tc>
          <w:tcPr>
            <w:tcW w:w="1880" w:type="dxa"/>
            <w:vAlign w:val="bottom"/>
          </w:tcPr>
          <w:p>
            <w:pPr>
              <w:spacing w:after="0"/>
              <w:rPr>
                <w:sz w:val="19"/>
                <w:szCs w:val="19"/>
                <w:color w:val="auto"/>
              </w:rPr>
            </w:pPr>
          </w:p>
        </w:tc>
        <w:tc>
          <w:tcPr>
            <w:tcW w:w="16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47,182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26,342</w:t>
            </w:r>
          </w:p>
        </w:tc>
      </w:tr>
    </w:tbl>
    <w:p>
      <w:pPr>
        <w:spacing w:after="0" w:line="304"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Average effective interest rate for debt and average imputed interest rate for finance leases at December 31, 2020.</w:t>
      </w:r>
    </w:p>
    <w:p>
      <w:pPr>
        <w:spacing w:after="0" w:line="2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premiums of $148 million in 2020.</w:t>
      </w:r>
    </w:p>
    <w:p>
      <w:pPr>
        <w:spacing w:after="0" w:line="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premiums of $87 million in 2020 and $92 million in 2019.</w:t>
      </w:r>
    </w:p>
    <w:p>
      <w:pPr>
        <w:spacing w:after="0" w:line="200" w:lineRule="exact"/>
        <w:rPr>
          <w:sz w:val="20"/>
          <w:szCs w:val="20"/>
          <w:color w:val="auto"/>
        </w:rPr>
      </w:pPr>
    </w:p>
    <w:p>
      <w:pPr>
        <w:spacing w:after="0" w:line="2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Incentive Program</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2003 Incentive Program provides for grants of stock options, stock appreciation rights (SARs), restricted stock, and other forms of awards. Awards may be granted to eligible employees of the Corporation and those affiliates at least 50 percent owned. Outstanding awards are subject to certain forfeiture provisions contained in the program or award instrument. Options and SARs may be granted at prices not less than 100 percent of market value on the date of grant and have a maximum life of 10 years. The maximum number of shares of stock that may be issued under the 2003 Incentive Program is 220 million. Awards that are forfeited, expire, or are settled in cash, do not count against this maximum limit. The 2003 Incentive Program does not have a specified term. New awards may be made until the available shares are depleted, unless the Board terminates the plan early. At the end of 2020, remaining shares available for award under the 2003 Incentive Program were 71 million.</w:t>
      </w:r>
    </w:p>
    <w:p>
      <w:pPr>
        <w:spacing w:after="0" w:line="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Restricted Stock and Restricted Stock Units. </w:t>
      </w:r>
      <w:r>
        <w:rPr>
          <w:rFonts w:ascii="Times New Roman" w:cs="Times New Roman" w:eastAsia="Times New Roman" w:hAnsi="Times New Roman"/>
          <w:sz w:val="18"/>
          <w:szCs w:val="18"/>
          <w:color w:val="auto"/>
        </w:rPr>
        <w:t>Awards totaling 8,681 thousand, 8,936 thousand, and 8,771 thousand of restricted (nonvested)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units were granted in 2020, 2019, and 2018, respectively. Compensation expense for these awards is based on the price of the stock at the date of grant and is recognized in income over the requisite service period. Shares for these awards are issued to employees from treasury stock. The units that are settled in cash are recorded as liabilities and their changes in fair value are recognized over the vesting period. During the applicable restricted periods, the shares and units may not be sold or transferred and are subject to forfeiture. The majority of the awards have graded vesting periods, with 50 percent of the shares and units in each award vesting after three years and the remaining 50 percent vesting after seven years. Awards granted to a small number of senior executives have vesting periods of five years for 50 percent of the award and of 10 years for the remaining 50 percent of the award, except that for awards granted prior to 2020 the vesting of the 10-year portion of the award is delayed until retirement if later than 10 years.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has purchased shares in the open market and through negotiated transactions to offset shares or units settled in shares issued in conjunction with benefit plans and programs. The Corporation suspended its first quarter 2021 anti-dilutive share repurchase program due to current market uncertainty and intends to resume this program in the future as market conditions improve.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information about restricted stock and restricted stock units for the year ended December 31, 2020.</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80" w:type="dxa"/>
            <w:vAlign w:val="bottom"/>
            <w:gridSpan w:val="2"/>
          </w:tcPr>
          <w:p>
            <w:pPr>
              <w:jc w:val="center"/>
              <w:ind w:left="48"/>
              <w:spacing w:after="0" w:line="134" w:lineRule="exact"/>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35"/>
        </w:trPr>
        <w:tc>
          <w:tcPr>
            <w:tcW w:w="7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and units outstanding</w:t>
            </w:r>
          </w:p>
        </w:tc>
        <w:tc>
          <w:tcPr>
            <w:tcW w:w="2220" w:type="dxa"/>
            <w:vAlign w:val="bottom"/>
            <w:gridSpan w:val="3"/>
          </w:tcPr>
          <w:p>
            <w:pPr>
              <w:jc w:val="right"/>
              <w:ind w:right="1108"/>
              <w:spacing w:after="0" w:line="13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40" w:type="dxa"/>
            <w:vAlign w:val="bottom"/>
          </w:tcPr>
          <w:p>
            <w:pPr>
              <w:jc w:val="center"/>
              <w:ind w:right="395"/>
              <w:spacing w:after="0" w:line="135"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89"/>
        </w:trPr>
        <w:tc>
          <w:tcPr>
            <w:tcW w:w="7780" w:type="dxa"/>
            <w:vAlign w:val="bottom"/>
            <w:tcBorders>
              <w:bottom w:val="single" w:sz="8" w:color="auto"/>
            </w:tcBorders>
            <w:gridSpan w:val="2"/>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13"/>
        </w:trPr>
        <w:tc>
          <w:tcPr>
            <w:tcW w:w="7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20" w:type="dxa"/>
            <w:vAlign w:val="bottom"/>
            <w:gridSpan w:val="3"/>
          </w:tcPr>
          <w:p>
            <w:pPr>
              <w:jc w:val="right"/>
              <w:ind w:right="968"/>
              <w:spacing w:after="0"/>
              <w:rPr>
                <w:sz w:val="20"/>
                <w:szCs w:val="20"/>
                <w:color w:val="auto"/>
              </w:rPr>
            </w:pPr>
            <w:r>
              <w:rPr>
                <w:rFonts w:ascii="Times New Roman" w:cs="Times New Roman" w:eastAsia="Times New Roman" w:hAnsi="Times New Roman"/>
                <w:sz w:val="14"/>
                <w:szCs w:val="14"/>
                <w:i w:val="1"/>
                <w:iCs w:val="1"/>
                <w:color w:val="auto"/>
              </w:rPr>
              <w:t>(thousands)</w:t>
            </w:r>
          </w:p>
        </w:tc>
        <w:tc>
          <w:tcPr>
            <w:tcW w:w="1240" w:type="dxa"/>
            <w:vAlign w:val="bottom"/>
          </w:tcPr>
          <w:p>
            <w:pPr>
              <w:jc w:val="center"/>
              <w:ind w:right="335"/>
              <w:spacing w:after="0"/>
              <w:rPr>
                <w:sz w:val="20"/>
                <w:szCs w:val="20"/>
                <w:color w:val="auto"/>
              </w:rPr>
            </w:pPr>
            <w:r>
              <w:rPr>
                <w:rFonts w:ascii="Times New Roman" w:cs="Times New Roman" w:eastAsia="Times New Roman" w:hAnsi="Times New Roman"/>
                <w:sz w:val="14"/>
                <w:szCs w:val="14"/>
                <w:i w:val="1"/>
                <w:iCs w:val="1"/>
                <w:color w:val="auto"/>
              </w:rPr>
              <w:t>(dollars)</w:t>
            </w:r>
          </w:p>
        </w:tc>
        <w:tc>
          <w:tcPr>
            <w:tcW w:w="0" w:type="dxa"/>
            <w:vAlign w:val="bottom"/>
          </w:tcPr>
          <w:p>
            <w:pPr>
              <w:spacing w:after="0"/>
              <w:rPr>
                <w:sz w:val="1"/>
                <w:szCs w:val="1"/>
                <w:color w:val="auto"/>
              </w:rPr>
            </w:pPr>
          </w:p>
        </w:tc>
      </w:tr>
      <w:tr>
        <w:trPr>
          <w:trHeight w:val="23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Issued and outstanding at January 1</w:t>
            </w:r>
          </w:p>
        </w:tc>
        <w:tc>
          <w:tcPr>
            <w:tcW w:w="8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39,628</w:t>
            </w:r>
          </w:p>
        </w:tc>
        <w:tc>
          <w:tcPr>
            <w:tcW w:w="5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0" w:type="dxa"/>
            <w:vAlign w:val="bottom"/>
          </w:tcPr>
          <w:p>
            <w:pPr>
              <w:spacing w:after="0"/>
              <w:rPr>
                <w:sz w:val="1"/>
                <w:szCs w:val="1"/>
                <w:color w:val="auto"/>
              </w:rPr>
            </w:pP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Awards issued in 2020</w:t>
            </w:r>
          </w:p>
        </w:tc>
        <w:tc>
          <w:tcPr>
            <w:tcW w:w="8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0" w:type="dxa"/>
            <w:vAlign w:val="bottom"/>
          </w:tcPr>
          <w:p>
            <w:pPr>
              <w:spacing w:after="0"/>
              <w:rPr>
                <w:sz w:val="1"/>
                <w:szCs w:val="1"/>
                <w:color w:val="auto"/>
              </w:rPr>
            </w:pPr>
          </w:p>
        </w:tc>
      </w:tr>
      <w:tr>
        <w:trPr>
          <w:trHeight w:val="229"/>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8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(8,990)</w:t>
            </w: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0" w:type="dxa"/>
            <w:vAlign w:val="bottom"/>
          </w:tcPr>
          <w:p>
            <w:pPr>
              <w:spacing w:after="0"/>
              <w:rPr>
                <w:sz w:val="1"/>
                <w:szCs w:val="1"/>
                <w:color w:val="auto"/>
              </w:rPr>
            </w:pPr>
          </w:p>
        </w:tc>
      </w:tr>
      <w:tr>
        <w:trPr>
          <w:trHeight w:val="234"/>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8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5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0" w:type="dxa"/>
            <w:vAlign w:val="bottom"/>
          </w:tcPr>
          <w:p>
            <w:pPr>
              <w:spacing w:after="0"/>
              <w:rPr>
                <w:sz w:val="1"/>
                <w:szCs w:val="1"/>
                <w:color w:val="auto"/>
              </w:rPr>
            </w:pPr>
          </w:p>
        </w:tc>
      </w:tr>
      <w:tr>
        <w:trPr>
          <w:trHeight w:val="223"/>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Issued and outstanding at December 31</w:t>
            </w:r>
          </w:p>
        </w:tc>
        <w:tc>
          <w:tcPr>
            <w:tcW w:w="8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39,585</w:t>
            </w:r>
          </w:p>
        </w:tc>
        <w:tc>
          <w:tcPr>
            <w:tcW w:w="5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0" w:type="dxa"/>
            <w:vAlign w:val="bottom"/>
          </w:tcPr>
          <w:p>
            <w:pPr>
              <w:spacing w:after="0"/>
              <w:rPr>
                <w:sz w:val="1"/>
                <w:szCs w:val="1"/>
                <w:color w:val="auto"/>
              </w:rPr>
            </w:pPr>
          </w:p>
        </w:tc>
      </w:tr>
      <w:tr>
        <w:trPr>
          <w:trHeight w:val="668"/>
        </w:trPr>
        <w:tc>
          <w:tcPr>
            <w:tcW w:w="7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Value of restricted stock units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2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Grant price </w:t>
            </w:r>
            <w:r>
              <w:rPr>
                <w:rFonts w:ascii="Times New Roman" w:cs="Times New Roman" w:eastAsia="Times New Roman" w:hAnsi="Times New Roman"/>
                <w:sz w:val="18"/>
                <w:szCs w:val="18"/>
                <w:i w:val="1"/>
                <w:iCs w:val="1"/>
                <w:color w:val="auto"/>
              </w:rPr>
              <w:t>(dollars)</w:t>
            </w: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41.15</w:t>
            </w:r>
          </w:p>
        </w:tc>
        <w:tc>
          <w:tcPr>
            <w:tcW w:w="14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68.77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0" w:type="dxa"/>
            <w:vAlign w:val="bottom"/>
          </w:tcPr>
          <w:p>
            <w:pPr>
              <w:spacing w:after="0"/>
              <w:rPr>
                <w:sz w:val="1"/>
                <w:szCs w:val="1"/>
                <w:color w:val="auto"/>
              </w:rPr>
            </w:pPr>
          </w:p>
        </w:tc>
      </w:tr>
      <w:tr>
        <w:trPr>
          <w:trHeight w:val="38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Value at date of grant:</w:t>
            </w:r>
          </w:p>
        </w:tc>
        <w:tc>
          <w:tcPr>
            <w:tcW w:w="800" w:type="dxa"/>
            <w:vAlign w:val="bottom"/>
          </w:tcPr>
          <w:p>
            <w:pPr>
              <w:spacing w:after="0"/>
              <w:rPr>
                <w:sz w:val="24"/>
                <w:szCs w:val="24"/>
                <w:color w:val="auto"/>
              </w:rPr>
            </w:pPr>
          </w:p>
        </w:tc>
        <w:tc>
          <w:tcPr>
            <w:tcW w:w="14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Units settled in stock</w:t>
            </w: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325</w:t>
            </w:r>
          </w:p>
        </w:tc>
        <w:tc>
          <w:tcPr>
            <w:tcW w:w="14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559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34"/>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Units settled in cash</w:t>
            </w: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32</w:t>
            </w:r>
          </w:p>
        </w:tc>
        <w:tc>
          <w:tcPr>
            <w:tcW w:w="14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value</w:t>
            </w:r>
          </w:p>
        </w:tc>
        <w:tc>
          <w:tcPr>
            <w:tcW w:w="5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color w:val="auto"/>
              </w:rPr>
              <w:t>357</w:t>
            </w:r>
          </w:p>
        </w:tc>
        <w:tc>
          <w:tcPr>
            <w:tcW w:w="1420" w:type="dxa"/>
            <w:vAlign w:val="bottom"/>
            <w:tcBorders>
              <w:top w:val="single" w:sz="8" w:color="auto"/>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614</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2020, there was $1,356 million of unrecognized compensation cost related to the nonvested restricted awards. This cost is expected to be recognized over a weighted-average period of 4.2 years. The compensation cost charged against income for the restricted stock and restricted stock units was $672 million, $741 million, and $774 million for 2020, 2019, and 2018, respectively. The income tax benefit recognized in income related to this compensation expense was $51 million, $51 million, and $42 million for the same periods, respectively. The fair value of shares and units vested in 2020, 2019, and 2018 was $367 million, $647 million, and $722 million, respectively. Cash payments of $34 million, $56 million, and $61 million for vested restricted stock units settled in cash were made in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Litigation and Other Contingencies</w:t>
      </w:r>
    </w:p>
    <w:p>
      <w:pPr>
        <w:spacing w:after="0" w:line="1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Litigation. </w:t>
      </w:r>
      <w:r>
        <w:rPr>
          <w:rFonts w:ascii="Times New Roman" w:cs="Times New Roman" w:eastAsia="Times New Roman" w:hAnsi="Times New Roman"/>
          <w:sz w:val="18"/>
          <w:szCs w:val="18"/>
          <w:color w:val="auto"/>
        </w:rPr>
        <w:t>A variety of claims have been made against ExxonMobil and certain of its consolidated subsidiaries in a number of pending lawsuits.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has regular litigation reviews, including updates from corporate and outside counsel, to assess the need for accounting recognition or disclosure of these contingencies. The Corporation accrues an undiscounted liability for those contingencies where the incurrence of a loss is probable and the amount can be reasonably estimated. If a range of amounts can be reasonably estimated and no amount within the range is a better estimate than any other amount, then the minimum of the range is accrued. The Corporation does not record liabilities when the likelihood that the liability has been incurred is probable but the amount cannot be reasonably estimated or when the liability is believed to be only reasonably possible or remote. For contingencies where an unfavorable outcome is reasonably possible and which are significant, the Corporation discloses the nature of the contingency and, where feasible, an estimate of the possible loss. For purposes of our contingency disclosures, “significant” includes material matters, as well as other matters, which management believes should be disclosed. ExxonMobil will continue to defend itself vigorously in these matters. Based on a consideration of all relevant facts and circumstances, the Corporation does not believe the ultimate outcome of any currently pending lawsuit against ExxonMobil will have a material adverse effect upon the Corporation’s operations, financial condition, or financial statements taken as a whole.</w:t>
      </w:r>
    </w:p>
    <w:p>
      <w:pPr>
        <w:spacing w:after="0" w:line="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Contingencies. </w:t>
      </w:r>
      <w:r>
        <w:rPr>
          <w:rFonts w:ascii="Times New Roman" w:cs="Times New Roman" w:eastAsia="Times New Roman" w:hAnsi="Times New Roman"/>
          <w:sz w:val="18"/>
          <w:szCs w:val="18"/>
          <w:color w:val="auto"/>
        </w:rPr>
        <w:t>The Corporation and certain of its consolidated subsidiaries were contingently liable at December 31, 2020, for guarantees relating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notes, loans and performance under contracts. Where guarantees for environmental remediation and other similar matters do not include a stated cap, the amounts reflect management’s estimate of the maximum potential exposure.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2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340" w:type="dxa"/>
            <w:vAlign w:val="bottom"/>
            <w:tcBorders>
              <w:bottom w:val="single" w:sz="8" w:color="auto"/>
            </w:tcBorders>
          </w:tcPr>
          <w:p>
            <w:pPr>
              <w:spacing w:after="0"/>
              <w:rPr>
                <w:sz w:val="16"/>
                <w:szCs w:val="16"/>
                <w:color w:val="auto"/>
              </w:rPr>
            </w:pPr>
          </w:p>
        </w:tc>
      </w:tr>
      <w:tr>
        <w:trPr>
          <w:trHeight w:val="203"/>
        </w:trPr>
        <w:tc>
          <w:tcPr>
            <w:tcW w:w="6320" w:type="dxa"/>
            <w:vAlign w:val="bottom"/>
          </w:tcPr>
          <w:p>
            <w:pPr>
              <w:spacing w:after="0"/>
              <w:rPr>
                <w:sz w:val="17"/>
                <w:szCs w:val="17"/>
                <w:color w:val="auto"/>
              </w:rPr>
            </w:pPr>
          </w:p>
        </w:tc>
        <w:tc>
          <w:tcPr>
            <w:tcW w:w="170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Equity Company</w:t>
            </w:r>
          </w:p>
        </w:tc>
        <w:tc>
          <w:tcPr>
            <w:tcW w:w="1880" w:type="dxa"/>
            <w:vAlign w:val="bottom"/>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 Third-Party</w:t>
            </w:r>
          </w:p>
        </w:tc>
        <w:tc>
          <w:tcPr>
            <w:tcW w:w="1340" w:type="dxa"/>
            <w:vAlign w:val="bottom"/>
          </w:tcPr>
          <w:p>
            <w:pPr>
              <w:spacing w:after="0"/>
              <w:rPr>
                <w:sz w:val="17"/>
                <w:szCs w:val="17"/>
                <w:color w:val="auto"/>
              </w:rPr>
            </w:pPr>
          </w:p>
        </w:tc>
      </w:tr>
      <w:tr>
        <w:trPr>
          <w:trHeight w:val="204"/>
        </w:trPr>
        <w:tc>
          <w:tcPr>
            <w:tcW w:w="6320" w:type="dxa"/>
            <w:vAlign w:val="bottom"/>
          </w:tcPr>
          <w:p>
            <w:pPr>
              <w:spacing w:after="0"/>
              <w:rPr>
                <w:sz w:val="17"/>
                <w:szCs w:val="17"/>
                <w:color w:val="auto"/>
              </w:rPr>
            </w:pPr>
          </w:p>
        </w:tc>
        <w:tc>
          <w:tcPr>
            <w:tcW w:w="170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 xml:space="preserve">Obligations </w:t>
            </w:r>
            <w:r>
              <w:rPr>
                <w:rFonts w:ascii="Times New Roman" w:cs="Times New Roman" w:eastAsia="Times New Roman" w:hAnsi="Times New Roman"/>
                <w:sz w:val="14"/>
                <w:szCs w:val="14"/>
                <w:i w:val="1"/>
                <w:iCs w:val="1"/>
                <w:color w:val="auto"/>
              </w:rPr>
              <w:t>(1)</w:t>
            </w:r>
          </w:p>
        </w:tc>
        <w:tc>
          <w:tcPr>
            <w:tcW w:w="1880" w:type="dxa"/>
            <w:vAlign w:val="bottom"/>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3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3"/>
        </w:trPr>
        <w:tc>
          <w:tcPr>
            <w:tcW w:w="6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80" w:type="dxa"/>
            <w:vAlign w:val="bottom"/>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340" w:type="dxa"/>
            <w:vAlign w:val="bottom"/>
          </w:tcPr>
          <w:p>
            <w:pPr>
              <w:spacing w:after="0"/>
              <w:rPr>
                <w:sz w:val="18"/>
                <w:szCs w:val="18"/>
                <w:color w:val="auto"/>
              </w:rPr>
            </w:pPr>
          </w:p>
        </w:tc>
      </w:tr>
      <w:tr>
        <w:trPr>
          <w:trHeight w:val="235"/>
        </w:trPr>
        <w:tc>
          <w:tcPr>
            <w:tcW w:w="6320" w:type="dxa"/>
            <w:vAlign w:val="bottom"/>
          </w:tcPr>
          <w:p>
            <w:pPr>
              <w:jc w:val="right"/>
              <w:ind w:right="5390"/>
              <w:spacing w:after="0"/>
              <w:rPr>
                <w:sz w:val="20"/>
                <w:szCs w:val="20"/>
                <w:color w:val="auto"/>
              </w:rPr>
            </w:pPr>
            <w:r>
              <w:rPr>
                <w:rFonts w:ascii="Times New Roman" w:cs="Times New Roman" w:eastAsia="Times New Roman" w:hAnsi="Times New Roman"/>
                <w:sz w:val="18"/>
                <w:szCs w:val="18"/>
                <w:color w:val="auto"/>
              </w:rPr>
              <w:t>Guarantees</w:t>
            </w:r>
          </w:p>
        </w:tc>
        <w:tc>
          <w:tcPr>
            <w:tcW w:w="17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0"/>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Debt-related</w:t>
            </w:r>
          </w:p>
        </w:tc>
        <w:tc>
          <w:tcPr>
            <w:tcW w:w="17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986</w:t>
            </w:r>
          </w:p>
        </w:tc>
        <w:tc>
          <w:tcPr>
            <w:tcW w:w="1880" w:type="dxa"/>
            <w:vAlign w:val="bottom"/>
          </w:tcPr>
          <w:p>
            <w:pPr>
              <w:jc w:val="right"/>
              <w:ind w:right="320"/>
              <w:spacing w:after="0"/>
              <w:rPr>
                <w:sz w:val="20"/>
                <w:szCs w:val="20"/>
                <w:color w:val="auto"/>
              </w:rPr>
            </w:pPr>
            <w:r>
              <w:rPr>
                <w:rFonts w:ascii="Times New Roman" w:cs="Times New Roman" w:eastAsia="Times New Roman" w:hAnsi="Times New Roman"/>
                <w:sz w:val="18"/>
                <w:szCs w:val="18"/>
                <w:color w:val="auto"/>
              </w:rPr>
              <w:t>124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34"/>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745</w:t>
            </w:r>
          </w:p>
        </w:tc>
        <w:tc>
          <w:tcPr>
            <w:tcW w:w="1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8"/>
                <w:szCs w:val="18"/>
                <w:color w:val="auto"/>
              </w:rPr>
              <w:t>4,944</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5,689</w:t>
            </w:r>
          </w:p>
        </w:tc>
      </w:tr>
      <w:tr>
        <w:trPr>
          <w:trHeight w:val="223"/>
        </w:trPr>
        <w:tc>
          <w:tcPr>
            <w:tcW w:w="6320" w:type="dxa"/>
            <w:vAlign w:val="bottom"/>
          </w:tcPr>
          <w:p>
            <w:pPr>
              <w:jc w:val="right"/>
              <w:ind w:right="539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1,731</w:t>
            </w:r>
          </w:p>
        </w:tc>
        <w:tc>
          <w:tcPr>
            <w:tcW w:w="1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8"/>
                <w:szCs w:val="18"/>
                <w:color w:val="auto"/>
              </w:rPr>
              <w:t>5,068</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6,799</w:t>
            </w: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ExxonMobil share.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Corporation and its affiliates have numerous long-term sales and purchase commitments in their various business activities, all of which are expected to be fulfilled with no adverse consequences material to the Corporation’s operations or financial condition.</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 Venezuelan nationalization decree issued in February 2007, a subsidiary of the Venezuelan National Oil Company (PdVSA) assumed the operatorship of the Cerro Negro Heavy Oil Project. The decree also required conversion of the Cerro Negro Project into a “mixed enterprise” and an increase in PdVSA’s or one of its affiliate’s ownership interest in the Project. ExxonMobil refused to accede to the terms proffered by the government, and on June 27, 2007, the government expropriated ExxonMobil’s 41.67 percent interest in the Cerro Negro Project.</w:t>
      </w:r>
    </w:p>
    <w:p>
      <w:pPr>
        <w:spacing w:after="0" w:line="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ExxonMobil collected awards of $908 million in an arbitration against PdVSA under the rules of the International Chamber of Commerce in respect of an indemnity related to the Cerro Negro Project and $260 million in an arbitration for compensation due for the La Ceiba Project and for export curtailments at the Cerro Negro Project under rules of International Centre for Settlement of Investment Disputes (ICSID). An ICSID arbitration award relating to the Cerro Negro Project’s expropriation ($1.4 billion) was annulled based on a determination that a prior Tribunal failed to adequately explain why the cap on damages in the indemnity owed by PdVSA did not affect or limit the amount owed for the expropriation of the Cerro Negro Project. ExxonMobil filed a new claim seeking to restore the original award of damages for the Cerro Negro Project with ICSID on September 26, 2018.</w:t>
      </w:r>
    </w:p>
    <w:p>
      <w:pPr>
        <w:spacing w:after="0" w:line="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net impact of this matter on the Corporation’s consolidated financial results cannot be reasonably estimated. Regardless, the Corporation does not expect the resolution to have a material effect upon the Corporation’s operations or financial condition.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 affiliate of ExxonMobil is one of the Contractors under a Production Sharing Contract (PSC) with the Nigerian National Petroleum Corporation (NNPC) covering the Erha block located in the offshore waters of Nigeria. ExxonMobil's affiliate is the operator of the block and owns a 56.25 percent interest under the PSC. The Contractors are in dispute with NNPC regarding NNPC's lifting of crude oil in excess of its entitlement under the terms of the PSC. In accordance with the terms of the PSC, the Contractors initiated arbitration in Abuja, Nigeria, under the Nigerian Arbitration and Conciliation Act. On October 24, 2011, a three-member arbitral Tribunal issued an award upholding the Contractors' position in all material respects and awarding damages to the Contractors jointly in an amount of approximately $1.8 billion plus $234 million in accrued interest. The Contractors petitioned a Nigerian federal court for enforcement of the award, and NNPC petitioned the same court to have the award set aside. On May 22, 2012, the court set aside the award. The Contractors appealed that judgment to the Court of Appeal, Abuja Judicial Division. On July 22, 2016, the Court of Appeal upheld the decision of the lower court setting aside the award. On October 21, 2016, the Contractors appealed the decision to the Supreme Court of Nigeria. In June 2013, the Contractors filed a lawsuit against NNPC in the Nigerian federal high court in order to preserve their ability to seek enforcement of the PSC in the courts if necessary. Following dismissal by this court, the Contractors appealed to the Nigerian Court of Appeal in June 2016. In October 2014, the Contractors filed suit in the United States District Court for the Southern District of New York (SDNY) to enforce, if necessary, the arbitration award against NNPC assets residing within that jurisdiction. NNPC moved to dismiss the lawsuit. On September 4, 2019, the SDNY dismissed the Contractors’ petition to recognize and enforce the Erha arbitration award. The Contractors filed a notice of appeal in the Second Circuit on October 2, 2019. At this time, the net impact of this matter on the Corporation's consolidated financial results cannot be reasonably estimated. However, regardless of the outcome of enforcement proceedings, the Corporation does not expect the proceedings to have a material effect upon the Corporation's operations or financial condition.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Pension and Other Postretirement Benefits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benefit obligations and plan assets associated with the Corporation’s principal benefit plans are measured on December 31.</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180" w:type="dxa"/>
            <w:vAlign w:val="bottom"/>
            <w:gridSpan w:val="3"/>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Other Postretirement</w:t>
            </w:r>
          </w:p>
        </w:tc>
        <w:tc>
          <w:tcPr>
            <w:tcW w:w="0" w:type="dxa"/>
            <w:vAlign w:val="bottom"/>
          </w:tcPr>
          <w:p>
            <w:pPr>
              <w:spacing w:after="0"/>
              <w:rPr>
                <w:sz w:val="1"/>
                <w:szCs w:val="1"/>
                <w:color w:val="auto"/>
              </w:rPr>
            </w:pPr>
          </w:p>
        </w:tc>
      </w:tr>
      <w:tr>
        <w:trPr>
          <w:trHeight w:val="37"/>
        </w:trPr>
        <w:tc>
          <w:tcPr>
            <w:tcW w:w="506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U.S.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Non-U.S.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0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91"/>
        </w:trPr>
        <w:tc>
          <w:tcPr>
            <w:tcW w:w="5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left="575"/>
              <w:spacing w:after="0"/>
              <w:rPr>
                <w:sz w:val="20"/>
                <w:szCs w:val="20"/>
                <w:color w:val="auto"/>
              </w:rPr>
            </w:pPr>
            <w:r>
              <w:rPr>
                <w:rFonts w:ascii="Times New Roman" w:cs="Times New Roman" w:eastAsia="Times New Roman" w:hAnsi="Times New Roman"/>
                <w:sz w:val="14"/>
                <w:szCs w:val="14"/>
                <w:i w:val="1"/>
                <w:iCs w:val="1"/>
                <w:color w:val="auto"/>
              </w:rPr>
              <w:t>(percent)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assumptions used to determine benefit obligations</w:t>
            </w: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 December 31</w:t>
            </w: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Discount rate</w:t>
            </w:r>
          </w:p>
        </w:tc>
        <w:tc>
          <w:tcPr>
            <w:tcW w:w="12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2.80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134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1.60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19"/>
                <w:szCs w:val="19"/>
                <w:color w:val="auto"/>
              </w:rPr>
            </w:pPr>
          </w:p>
        </w:tc>
        <w:tc>
          <w:tcPr>
            <w:tcW w:w="13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2.80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4"/>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rate of compensation increase</w:t>
            </w:r>
          </w:p>
        </w:tc>
        <w:tc>
          <w:tcPr>
            <w:tcW w:w="12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5.50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0"/>
                <w:szCs w:val="20"/>
                <w:color w:val="auto"/>
              </w:rPr>
            </w:pPr>
          </w:p>
        </w:tc>
        <w:tc>
          <w:tcPr>
            <w:tcW w:w="134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4.20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tcPr>
          <w:p>
            <w:pPr>
              <w:spacing w:after="0"/>
              <w:rPr>
                <w:sz w:val="20"/>
                <w:szCs w:val="20"/>
                <w:color w:val="auto"/>
              </w:rPr>
            </w:pPr>
          </w:p>
        </w:tc>
        <w:tc>
          <w:tcPr>
            <w:tcW w:w="13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5.50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354"/>
        </w:trPr>
        <w:tc>
          <w:tcPr>
            <w:tcW w:w="5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1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obligation at January 1</w:t>
            </w:r>
          </w:p>
        </w:tc>
        <w:tc>
          <w:tcPr>
            <w:tcW w:w="12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20,959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18,174</w:t>
            </w:r>
          </w:p>
        </w:tc>
        <w:tc>
          <w:tcPr>
            <w:tcW w:w="100" w:type="dxa"/>
            <w:vAlign w:val="bottom"/>
          </w:tcPr>
          <w:p>
            <w:pPr>
              <w:spacing w:after="0"/>
              <w:rPr>
                <w:sz w:val="19"/>
                <w:szCs w:val="19"/>
                <w:color w:val="auto"/>
              </w:rPr>
            </w:pPr>
          </w:p>
        </w:tc>
        <w:tc>
          <w:tcPr>
            <w:tcW w:w="134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29,918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25,378</w:t>
            </w:r>
          </w:p>
        </w:tc>
        <w:tc>
          <w:tcPr>
            <w:tcW w:w="120" w:type="dxa"/>
            <w:vAlign w:val="bottom"/>
          </w:tcPr>
          <w:p>
            <w:pPr>
              <w:spacing w:after="0"/>
              <w:rPr>
                <w:sz w:val="19"/>
                <w:szCs w:val="19"/>
                <w:color w:val="auto"/>
              </w:rPr>
            </w:pPr>
          </w:p>
        </w:tc>
        <w:tc>
          <w:tcPr>
            <w:tcW w:w="13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8,113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12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965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9"/>
                <w:szCs w:val="19"/>
                <w:color w:val="auto"/>
              </w:rPr>
            </w:pPr>
          </w:p>
        </w:tc>
        <w:tc>
          <w:tcPr>
            <w:tcW w:w="134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707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19"/>
                <w:szCs w:val="19"/>
                <w:color w:val="auto"/>
              </w:rPr>
            </w:pPr>
          </w:p>
        </w:tc>
        <w:tc>
          <w:tcPr>
            <w:tcW w:w="13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181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12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708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134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657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Pr>
          <w:p>
            <w:pPr>
              <w:spacing w:after="0"/>
              <w:rPr>
                <w:sz w:val="19"/>
                <w:szCs w:val="19"/>
                <w:color w:val="auto"/>
              </w:rPr>
            </w:pPr>
          </w:p>
        </w:tc>
        <w:tc>
          <w:tcPr>
            <w:tcW w:w="13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277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Actuarial loss/(gain) </w:t>
            </w:r>
            <w:r>
              <w:rPr>
                <w:rFonts w:ascii="Times New Roman" w:cs="Times New Roman" w:eastAsia="Times New Roman" w:hAnsi="Times New Roman"/>
                <w:sz w:val="14"/>
                <w:szCs w:val="14"/>
                <w:i w:val="1"/>
                <w:iCs w:val="1"/>
                <w:color w:val="auto"/>
              </w:rPr>
              <w:t>(1)</w:t>
            </w:r>
          </w:p>
        </w:tc>
        <w:tc>
          <w:tcPr>
            <w:tcW w:w="12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1,287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tcPr>
          <w:p>
            <w:pPr>
              <w:spacing w:after="0"/>
              <w:rPr>
                <w:sz w:val="19"/>
                <w:szCs w:val="19"/>
                <w:color w:val="auto"/>
              </w:rPr>
            </w:pPr>
          </w:p>
        </w:tc>
        <w:tc>
          <w:tcPr>
            <w:tcW w:w="134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2,344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20" w:type="dxa"/>
            <w:vAlign w:val="bottom"/>
          </w:tcPr>
          <w:p>
            <w:pPr>
              <w:spacing w:after="0"/>
              <w:rPr>
                <w:sz w:val="19"/>
                <w:szCs w:val="19"/>
                <w:color w:val="auto"/>
              </w:rPr>
            </w:pPr>
          </w:p>
        </w:tc>
        <w:tc>
          <w:tcPr>
            <w:tcW w:w="13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(66)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Benefits paid </w:t>
            </w:r>
            <w:r>
              <w:rPr>
                <w:rFonts w:ascii="Times New Roman" w:cs="Times New Roman" w:eastAsia="Times New Roman" w:hAnsi="Times New Roman"/>
                <w:sz w:val="14"/>
                <w:szCs w:val="14"/>
                <w:i w:val="1"/>
                <w:iCs w:val="1"/>
                <w:color w:val="auto"/>
              </w:rPr>
              <w:t>(2) (3)</w:t>
            </w:r>
          </w:p>
        </w:tc>
        <w:tc>
          <w:tcPr>
            <w:tcW w:w="12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(1,987)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134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(1,317)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20" w:type="dxa"/>
            <w:vAlign w:val="bottom"/>
          </w:tcPr>
          <w:p>
            <w:pPr>
              <w:spacing w:after="0"/>
              <w:rPr>
                <w:sz w:val="19"/>
                <w:szCs w:val="19"/>
                <w:color w:val="auto"/>
              </w:rPr>
            </w:pPr>
          </w:p>
        </w:tc>
        <w:tc>
          <w:tcPr>
            <w:tcW w:w="13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(510)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exchange rate changes</w:t>
            </w:r>
          </w:p>
        </w:tc>
        <w:tc>
          <w:tcPr>
            <w:tcW w:w="12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1,375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19"/>
                <w:szCs w:val="19"/>
                <w:color w:val="auto"/>
              </w:rPr>
            </w:pPr>
          </w:p>
        </w:tc>
        <w:tc>
          <w:tcPr>
            <w:tcW w:w="13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Amendments, divestments and other</w:t>
            </w:r>
          </w:p>
        </w:tc>
        <w:tc>
          <w:tcPr>
            <w:tcW w:w="12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(270)</w:t>
            </w:r>
          </w:p>
        </w:tc>
        <w:tc>
          <w:tcPr>
            <w:tcW w:w="8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color w:val="auto"/>
              </w:rPr>
              <w:t>(58)</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rPr>
              <w:t>117</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December 31</w:t>
            </w:r>
          </w:p>
        </w:tc>
        <w:tc>
          <w:tcPr>
            <w:tcW w:w="12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rPr>
              <w:t>21,662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20,959</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8"/>
                <w:szCs w:val="18"/>
                <w:color w:val="auto"/>
              </w:rPr>
              <w:t>33,626</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29,918</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8"/>
                <w:szCs w:val="18"/>
                <w:color w:val="auto"/>
              </w:rPr>
              <w:t>8,135</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0" w:type="dxa"/>
            <w:vAlign w:val="bottom"/>
          </w:tcPr>
          <w:p>
            <w:pPr>
              <w:spacing w:after="0"/>
              <w:rPr>
                <w:sz w:val="1"/>
                <w:szCs w:val="1"/>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 at December 31</w:t>
            </w:r>
          </w:p>
        </w:tc>
        <w:tc>
          <w:tcPr>
            <w:tcW w:w="124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17,502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100" w:type="dxa"/>
            <w:vAlign w:val="bottom"/>
          </w:tcPr>
          <w:p>
            <w:pPr>
              <w:spacing w:after="0"/>
              <w:rPr>
                <w:sz w:val="19"/>
                <w:szCs w:val="19"/>
                <w:color w:val="auto"/>
              </w:rPr>
            </w:pPr>
          </w:p>
        </w:tc>
        <w:tc>
          <w:tcPr>
            <w:tcW w:w="134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30,952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27,236</w:t>
            </w:r>
          </w:p>
        </w:tc>
        <w:tc>
          <w:tcPr>
            <w:tcW w:w="120" w:type="dxa"/>
            <w:vAlign w:val="bottom"/>
          </w:tcPr>
          <w:p>
            <w:pPr>
              <w:spacing w:after="0"/>
              <w:rPr>
                <w:sz w:val="19"/>
                <w:szCs w:val="19"/>
                <w:color w:val="auto"/>
              </w:rPr>
            </w:pPr>
          </w:p>
        </w:tc>
        <w:tc>
          <w:tcPr>
            <w:tcW w:w="130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93"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Actuarial loss/(gain) primarily reflects changes in discount rates, partially offset by lower long-term rates of compensation.</w:t>
      </w:r>
    </w:p>
    <w:p>
      <w:pPr>
        <w:spacing w:after="0" w:line="63"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Benefit payments for funded and unfunded plans.</w:t>
      </w:r>
    </w:p>
    <w:p>
      <w:pPr>
        <w:spacing w:after="0" w:line="63"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2020 and 2019, other postretirement benefits paid are net of $16 million and $20 million of Medicare subsidy receipts, respectively.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selection of the discount rate for U.S. plans, several sources of information are considered, including interest rate market indicators and the effective discount rate determined by use of a yield curve based on high-quality, noncallable bonds applied to the estimated cash outflows for benefit payments. For major non-U.S. plans, the discount rate is determined by using a spot yield curve of high-quality, local-currency-denominated bonds at an average maturity approximating that of the liabilities.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measurement of the accumulated postretirement benefit obligation assumes a health care cost trend rate of 4.5 percent in 2022 and subsequent years.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180" w:type="dxa"/>
            <w:vAlign w:val="bottom"/>
            <w:gridSpan w:val="3"/>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Other Postretirement</w:t>
            </w:r>
          </w:p>
        </w:tc>
        <w:tc>
          <w:tcPr>
            <w:tcW w:w="0" w:type="dxa"/>
            <w:vAlign w:val="bottom"/>
          </w:tcPr>
          <w:p>
            <w:pPr>
              <w:spacing w:after="0"/>
              <w:rPr>
                <w:sz w:val="1"/>
                <w:szCs w:val="1"/>
                <w:color w:val="auto"/>
              </w:rPr>
            </w:pPr>
          </w:p>
        </w:tc>
      </w:tr>
      <w:tr>
        <w:trPr>
          <w:trHeight w:val="37"/>
        </w:trPr>
        <w:tc>
          <w:tcPr>
            <w:tcW w:w="506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060" w:type="dxa"/>
            <w:vAlign w:val="bottom"/>
          </w:tcPr>
          <w:p>
            <w:pPr>
              <w:spacing w:after="0"/>
              <w:rPr>
                <w:sz w:val="16"/>
                <w:szCs w:val="16"/>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U.S.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Non-U.S.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0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7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91"/>
        </w:trPr>
        <w:tc>
          <w:tcPr>
            <w:tcW w:w="5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1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Fair value at January 1</w:t>
            </w: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13,636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100" w:type="dxa"/>
            <w:vAlign w:val="bottom"/>
          </w:tcPr>
          <w:p>
            <w:pPr>
              <w:spacing w:after="0"/>
              <w:rPr>
                <w:sz w:val="19"/>
                <w:szCs w:val="19"/>
                <w:color w:val="auto"/>
              </w:rPr>
            </w:pPr>
          </w:p>
        </w:tc>
        <w:tc>
          <w:tcPr>
            <w:tcW w:w="134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22,916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19,486</w:t>
            </w:r>
          </w:p>
        </w:tc>
        <w:tc>
          <w:tcPr>
            <w:tcW w:w="120" w:type="dxa"/>
            <w:vAlign w:val="bottom"/>
          </w:tcPr>
          <w:p>
            <w:pPr>
              <w:spacing w:after="0"/>
              <w:rPr>
                <w:sz w:val="19"/>
                <w:szCs w:val="19"/>
                <w:color w:val="auto"/>
              </w:rPr>
            </w:pPr>
          </w:p>
        </w:tc>
        <w:tc>
          <w:tcPr>
            <w:tcW w:w="13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425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2,269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Pr>
          <w:p>
            <w:pPr>
              <w:spacing w:after="0"/>
              <w:rPr>
                <w:sz w:val="19"/>
                <w:szCs w:val="19"/>
                <w:color w:val="auto"/>
              </w:rPr>
            </w:pPr>
          </w:p>
        </w:tc>
        <w:tc>
          <w:tcPr>
            <w:tcW w:w="134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2,795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20" w:type="dxa"/>
            <w:vAlign w:val="bottom"/>
          </w:tcPr>
          <w:p>
            <w:pPr>
              <w:spacing w:after="0"/>
              <w:rPr>
                <w:sz w:val="19"/>
                <w:szCs w:val="19"/>
                <w:color w:val="auto"/>
              </w:rPr>
            </w:pPr>
          </w:p>
        </w:tc>
        <w:tc>
          <w:tcPr>
            <w:tcW w:w="13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42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exchange rate changes</w:t>
            </w: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1,011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19"/>
                <w:szCs w:val="19"/>
                <w:color w:val="auto"/>
              </w:rPr>
            </w:pPr>
          </w:p>
        </w:tc>
        <w:tc>
          <w:tcPr>
            <w:tcW w:w="13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 contribution</w:t>
            </w: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1,004</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9"/>
                <w:szCs w:val="19"/>
                <w:color w:val="auto"/>
              </w:rPr>
            </w:pPr>
          </w:p>
        </w:tc>
        <w:tc>
          <w:tcPr>
            <w:tcW w:w="134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597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19"/>
                <w:szCs w:val="19"/>
                <w:color w:val="auto"/>
              </w:rPr>
            </w:pPr>
          </w:p>
        </w:tc>
        <w:tc>
          <w:tcPr>
            <w:tcW w:w="13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37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Benefits paid </w:t>
            </w:r>
            <w:r>
              <w:rPr>
                <w:rFonts w:ascii="Times New Roman" w:cs="Times New Roman" w:eastAsia="Times New Roman" w:hAnsi="Times New Roman"/>
                <w:sz w:val="14"/>
                <w:szCs w:val="14"/>
                <w:i w:val="1"/>
                <w:iCs w:val="1"/>
                <w:color w:val="auto"/>
              </w:rPr>
              <w:t>(1)</w:t>
            </w:r>
          </w:p>
        </w:tc>
        <w:tc>
          <w:tcPr>
            <w:tcW w:w="12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(1,609)</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19"/>
                <w:szCs w:val="19"/>
                <w:color w:val="auto"/>
              </w:rPr>
            </w:pPr>
          </w:p>
        </w:tc>
        <w:tc>
          <w:tcPr>
            <w:tcW w:w="134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(992)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Pr>
          <w:p>
            <w:pPr>
              <w:spacing w:after="0"/>
              <w:rPr>
                <w:sz w:val="19"/>
                <w:szCs w:val="19"/>
                <w:color w:val="auto"/>
              </w:rPr>
            </w:pPr>
          </w:p>
        </w:tc>
        <w:tc>
          <w:tcPr>
            <w:tcW w:w="13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(58)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4"/>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color w:val="auto"/>
              </w:rPr>
              <w:t>(111)</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December 31</w:t>
            </w:r>
          </w:p>
        </w:tc>
        <w:tc>
          <w:tcPr>
            <w:tcW w:w="12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color w:val="auto"/>
              </w:rPr>
              <w:t>15,300</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8"/>
                <w:szCs w:val="18"/>
                <w:color w:val="auto"/>
              </w:rPr>
              <w:t>26,216</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8"/>
                <w:szCs w:val="18"/>
                <w:color w:val="auto"/>
              </w:rPr>
              <w:t>446</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(1)</w:t>
      </w:r>
      <w:r>
        <w:rPr>
          <w:sz w:val="20"/>
          <w:szCs w:val="20"/>
          <w:color w:val="auto"/>
        </w:rPr>
        <w:tab/>
      </w:r>
      <w:r>
        <w:rPr>
          <w:rFonts w:ascii="Times New Roman" w:cs="Times New Roman" w:eastAsia="Times New Roman" w:hAnsi="Times New Roman"/>
          <w:sz w:val="17"/>
          <w:szCs w:val="17"/>
          <w:i w:val="1"/>
          <w:iCs w:val="1"/>
          <w:color w:val="auto"/>
        </w:rPr>
        <w:t>Benefit payments for funded plans.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funding levels of all qualified pension plans are in compliance with standards set by applicable law or regulation. As shown in the table below, certain smaller U.S. pension plans and a number of non-U.S. pension plans are not funded because local applicable tax rules and regulatory practices do not encourage funding of these plans. All defined benefit pension obligations, regardless of the funding status of the underlying plans, are fully supported by the financial strength of the Corporation or the respective sponsoring affiliate.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180" w:type="dxa"/>
            <w:vAlign w:val="bottom"/>
            <w:gridSpan w:val="3"/>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660" w:type="dxa"/>
            <w:vAlign w:val="bottom"/>
          </w:tcPr>
          <w:p>
            <w:pPr>
              <w:spacing w:after="0"/>
              <w:rPr>
                <w:sz w:val="16"/>
                <w:szCs w:val="16"/>
                <w:color w:val="auto"/>
              </w:rPr>
            </w:pPr>
          </w:p>
        </w:tc>
      </w:tr>
      <w:tr>
        <w:trPr>
          <w:trHeight w:val="37"/>
        </w:trPr>
        <w:tc>
          <w:tcPr>
            <w:tcW w:w="714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86"/>
        </w:trPr>
        <w:tc>
          <w:tcPr>
            <w:tcW w:w="7140" w:type="dxa"/>
            <w:vAlign w:val="bottom"/>
          </w:tcPr>
          <w:p>
            <w:pPr>
              <w:spacing w:after="0"/>
              <w:rPr>
                <w:sz w:val="16"/>
                <w:szCs w:val="16"/>
                <w:color w:val="auto"/>
              </w:rPr>
            </w:pPr>
          </w:p>
        </w:tc>
        <w:tc>
          <w:tcPr>
            <w:tcW w:w="12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U.S.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Non-U.S.</w:t>
            </w:r>
          </w:p>
        </w:tc>
        <w:tc>
          <w:tcPr>
            <w:tcW w:w="660" w:type="dxa"/>
            <w:vAlign w:val="bottom"/>
          </w:tcPr>
          <w:p>
            <w:pPr>
              <w:spacing w:after="0"/>
              <w:rPr>
                <w:sz w:val="16"/>
                <w:szCs w:val="16"/>
                <w:color w:val="auto"/>
              </w:rPr>
            </w:pPr>
          </w:p>
        </w:tc>
      </w:tr>
      <w:tr>
        <w:trPr>
          <w:trHeight w:val="23"/>
        </w:trPr>
        <w:tc>
          <w:tcPr>
            <w:tcW w:w="71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6"/>
        </w:trPr>
        <w:tc>
          <w:tcPr>
            <w:tcW w:w="7140" w:type="dxa"/>
            <w:vAlign w:val="bottom"/>
          </w:tcPr>
          <w:p>
            <w:pPr>
              <w:spacing w:after="0"/>
              <w:rPr>
                <w:sz w:val="16"/>
                <w:szCs w:val="16"/>
                <w:color w:val="auto"/>
              </w:rPr>
            </w:pPr>
          </w:p>
        </w:tc>
        <w:tc>
          <w:tcPr>
            <w:tcW w:w="12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34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6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3"/>
        </w:trPr>
        <w:tc>
          <w:tcPr>
            <w:tcW w:w="7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6"/>
        </w:trPr>
        <w:tc>
          <w:tcPr>
            <w:tcW w:w="7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180" w:type="dxa"/>
            <w:vAlign w:val="bottom"/>
            <w:gridSpan w:val="3"/>
          </w:tcPr>
          <w:p>
            <w:pPr>
              <w:jc w:val="right"/>
              <w:ind w:right="737"/>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660" w:type="dxa"/>
            <w:vAlign w:val="bottom"/>
          </w:tcPr>
          <w:p>
            <w:pPr>
              <w:spacing w:after="0"/>
              <w:rPr>
                <w:sz w:val="16"/>
                <w:szCs w:val="16"/>
                <w:color w:val="auto"/>
              </w:rPr>
            </w:pPr>
          </w:p>
        </w:tc>
      </w:tr>
      <w:tr>
        <w:trPr>
          <w:trHeight w:val="262"/>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in excess of/(less than) benefit obligation</w:t>
            </w:r>
          </w:p>
        </w:tc>
        <w:tc>
          <w:tcPr>
            <w:tcW w:w="1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23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Balance at December 31</w:t>
            </w:r>
          </w:p>
        </w:tc>
        <w:tc>
          <w:tcPr>
            <w:tcW w:w="1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Funded plans</w:t>
            </w:r>
          </w:p>
        </w:tc>
        <w:tc>
          <w:tcPr>
            <w:tcW w:w="126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(4,156)</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00" w:type="dxa"/>
            <w:vAlign w:val="bottom"/>
          </w:tcPr>
          <w:p>
            <w:pPr>
              <w:spacing w:after="0"/>
              <w:rPr>
                <w:sz w:val="19"/>
                <w:szCs w:val="19"/>
                <w:color w:val="auto"/>
              </w:rPr>
            </w:pPr>
          </w:p>
        </w:tc>
        <w:tc>
          <w:tcPr>
            <w:tcW w:w="134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(1,223)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34"/>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Unfunded plans</w:t>
            </w:r>
          </w:p>
        </w:tc>
        <w:tc>
          <w:tcPr>
            <w:tcW w:w="12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8"/>
                <w:szCs w:val="18"/>
                <w:color w:val="auto"/>
              </w:rPr>
              <w:t>(2,206)</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8"/>
                <w:szCs w:val="18"/>
                <w:color w:val="auto"/>
              </w:rPr>
              <w:t>(6,187)</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8"/>
                <w:szCs w:val="18"/>
                <w:color w:val="auto"/>
              </w:rPr>
              <w:t>(6,362)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8"/>
                <w:szCs w:val="18"/>
                <w:color w:val="auto"/>
              </w:rPr>
              <w:t>(7,410)</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(7,002)</w:t>
            </w: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authoritative guidance for defined benefit pension and other postretirement plans requires an employer to recognize the overfunded or underfunded status of a defined benefit postretirement plan as an asset or liability in its statement of financial position and to recognize changes in that funded status in the year in which the changes occur through other comprehensive income.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160" w:type="dxa"/>
            <w:vAlign w:val="bottom"/>
            <w:gridSpan w:val="3"/>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060" w:type="dxa"/>
            <w:vAlign w:val="bottom"/>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5060" w:type="dxa"/>
            <w:vAlign w:val="bottom"/>
          </w:tcPr>
          <w:p>
            <w:pPr>
              <w:spacing w:after="0"/>
              <w:rPr>
                <w:sz w:val="20"/>
                <w:szCs w:val="20"/>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U.S.</w:t>
            </w: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Non-U.S.</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0" w:type="dxa"/>
            <w:vAlign w:val="bottom"/>
          </w:tcPr>
          <w:p>
            <w:pPr>
              <w:spacing w:after="0"/>
              <w:rPr>
                <w:sz w:val="1"/>
                <w:szCs w:val="1"/>
                <w:color w:val="auto"/>
              </w:rPr>
            </w:pPr>
          </w:p>
        </w:tc>
      </w:tr>
      <w:tr>
        <w:trPr>
          <w:trHeight w:val="209"/>
        </w:trPr>
        <w:tc>
          <w:tcPr>
            <w:tcW w:w="50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60" w:type="dxa"/>
            <w:vAlign w:val="bottom"/>
            <w:tcBorders>
              <w:bottom w:val="single" w:sz="8" w:color="auto"/>
            </w:tcBorders>
            <w:gridSpan w:val="2"/>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91"/>
        </w:trPr>
        <w:tc>
          <w:tcPr>
            <w:tcW w:w="5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gridSpan w:val="2"/>
          </w:tcPr>
          <w:p>
            <w:pPr>
              <w:jc w:val="right"/>
              <w:ind w:right="332"/>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in excess of/(less than) benefit obligation</w:t>
            </w:r>
          </w:p>
        </w:tc>
        <w:tc>
          <w:tcPr>
            <w:tcW w:w="1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Balance at December 31 </w:t>
            </w:r>
            <w:r>
              <w:rPr>
                <w:rFonts w:ascii="Times New Roman" w:cs="Times New Roman" w:eastAsia="Times New Roman" w:hAnsi="Times New Roman"/>
                <w:sz w:val="14"/>
                <w:szCs w:val="14"/>
                <w:i w:val="1"/>
                <w:iCs w:val="1"/>
                <w:color w:val="auto"/>
              </w:rPr>
              <w:t>(1)</w:t>
            </w:r>
          </w:p>
        </w:tc>
        <w:tc>
          <w:tcPr>
            <w:tcW w:w="12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(6,362)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(7,410)</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26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(7,689)</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0" w:type="dxa"/>
            <w:vAlign w:val="bottom"/>
          </w:tcPr>
          <w:p>
            <w:pPr>
              <w:spacing w:after="0"/>
              <w:rPr>
                <w:sz w:val="1"/>
                <w:szCs w:val="1"/>
                <w:color w:val="auto"/>
              </w:rPr>
            </w:pPr>
          </w:p>
        </w:tc>
      </w:tr>
      <w:tr>
        <w:trPr>
          <w:trHeight w:val="31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recorded in the consolidated</w:t>
            </w: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sheet consist of:</w:t>
            </w: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1,931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9"/>
                <w:szCs w:val="19"/>
                <w:color w:val="auto"/>
              </w:rPr>
            </w:pP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12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(377)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19"/>
                <w:szCs w:val="19"/>
                <w:color w:val="auto"/>
              </w:rPr>
            </w:pPr>
          </w:p>
        </w:tc>
        <w:tc>
          <w:tcPr>
            <w:tcW w:w="13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(273)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6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(327)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34"/>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Postretirement benefits reserves</w:t>
            </w:r>
          </w:p>
        </w:tc>
        <w:tc>
          <w:tcPr>
            <w:tcW w:w="12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(5,985)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(9,068)</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126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(7,362)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recorded</w:t>
            </w:r>
          </w:p>
        </w:tc>
        <w:tc>
          <w:tcPr>
            <w:tcW w:w="12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(6,362)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(7,410)</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(7,002)</w:t>
            </w:r>
          </w:p>
        </w:tc>
        <w:tc>
          <w:tcPr>
            <w:tcW w:w="126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(7,689)</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0" w:type="dxa"/>
            <w:vAlign w:val="bottom"/>
          </w:tcPr>
          <w:p>
            <w:pPr>
              <w:spacing w:after="0"/>
              <w:rPr>
                <w:sz w:val="1"/>
                <w:szCs w:val="1"/>
                <w:color w:val="auto"/>
              </w:rPr>
            </w:pPr>
          </w:p>
        </w:tc>
      </w:tr>
      <w:tr>
        <w:trPr>
          <w:trHeight w:val="31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recorded in accumulated other</w:t>
            </w: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comprehensive income consist of:</w:t>
            </w: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actuarial loss/(gain)</w:t>
            </w:r>
          </w:p>
        </w:tc>
        <w:tc>
          <w:tcPr>
            <w:tcW w:w="124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3,102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20" w:type="dxa"/>
            <w:vAlign w:val="bottom"/>
          </w:tcPr>
          <w:p>
            <w:pPr>
              <w:spacing w:after="0"/>
              <w:rPr>
                <w:sz w:val="19"/>
                <w:szCs w:val="19"/>
                <w:color w:val="auto"/>
              </w:rPr>
            </w:pPr>
          </w:p>
        </w:tc>
        <w:tc>
          <w:tcPr>
            <w:tcW w:w="132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5,904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26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1,164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0" w:type="dxa"/>
            <w:vAlign w:val="bottom"/>
          </w:tcPr>
          <w:p>
            <w:pPr>
              <w:spacing w:after="0"/>
              <w:rPr>
                <w:sz w:val="1"/>
                <w:szCs w:val="1"/>
                <w:color w:val="auto"/>
              </w:rPr>
            </w:pPr>
          </w:p>
        </w:tc>
      </w:tr>
      <w:tr>
        <w:trPr>
          <w:trHeight w:val="234"/>
        </w:trPr>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Prior service cost</w:t>
            </w:r>
          </w:p>
        </w:tc>
        <w:tc>
          <w:tcPr>
            <w:tcW w:w="12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(275)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8"/>
                <w:szCs w:val="18"/>
                <w:color w:val="auto"/>
              </w:rPr>
              <w:t>208</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60" w:type="dxa"/>
            <w:vAlign w:val="bottom"/>
            <w:tcBorders>
              <w:bottom w:val="single" w:sz="8" w:color="auto"/>
            </w:tcBorders>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(274)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155"/>
        </w:trPr>
        <w:tc>
          <w:tcPr>
            <w:tcW w:w="50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recorded in accumulated other</w:t>
            </w:r>
          </w:p>
        </w:tc>
        <w:tc>
          <w:tcPr>
            <w:tcW w:w="1240" w:type="dxa"/>
            <w:vAlign w:val="bottom"/>
            <w:vMerge w:val="restart"/>
          </w:tcPr>
          <w:p>
            <w:pPr>
              <w:jc w:val="right"/>
              <w:ind w:right="294"/>
              <w:spacing w:after="0"/>
              <w:rPr>
                <w:sz w:val="20"/>
                <w:szCs w:val="20"/>
                <w:color w:val="auto"/>
              </w:rPr>
            </w:pPr>
            <w:r>
              <w:rPr>
                <w:rFonts w:ascii="Times New Roman" w:cs="Times New Roman" w:eastAsia="Times New Roman" w:hAnsi="Times New Roman"/>
                <w:sz w:val="18"/>
                <w:szCs w:val="18"/>
                <w:color w:val="auto"/>
              </w:rPr>
              <w:t>2,827</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20" w:type="dxa"/>
            <w:vAlign w:val="bottom"/>
          </w:tcPr>
          <w:p>
            <w:pPr>
              <w:spacing w:after="0"/>
              <w:rPr>
                <w:sz w:val="13"/>
                <w:szCs w:val="13"/>
                <w:color w:val="auto"/>
              </w:rPr>
            </w:pPr>
          </w:p>
        </w:tc>
        <w:tc>
          <w:tcPr>
            <w:tcW w:w="1320" w:type="dxa"/>
            <w:vAlign w:val="bottom"/>
            <w:vMerge w:val="restart"/>
          </w:tcPr>
          <w:p>
            <w:pPr>
              <w:jc w:val="right"/>
              <w:ind w:right="375"/>
              <w:spacing w:after="0"/>
              <w:rPr>
                <w:sz w:val="20"/>
                <w:szCs w:val="20"/>
                <w:color w:val="auto"/>
              </w:rPr>
            </w:pPr>
            <w:r>
              <w:rPr>
                <w:rFonts w:ascii="Times New Roman" w:cs="Times New Roman" w:eastAsia="Times New Roman" w:hAnsi="Times New Roman"/>
                <w:sz w:val="18"/>
                <w:szCs w:val="18"/>
                <w:color w:val="auto"/>
              </w:rPr>
              <w:t>6,112</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26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8"/>
                <w:szCs w:val="18"/>
                <w:color w:val="auto"/>
              </w:rPr>
              <w:t>890</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30"/>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comprehensive income</w:t>
            </w:r>
          </w:p>
        </w:tc>
        <w:tc>
          <w:tcPr>
            <w:tcW w:w="124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gridSpan w:val="2"/>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hanging="372"/>
        <w:spacing w:after="0"/>
        <w:tabs>
          <w:tab w:leader="none" w:pos="38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Fair value of assets less benefit obligation shown on the preceding page.</w:t>
      </w: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232" w:lineRule="exact"/>
        <w:rPr>
          <w:rFonts w:ascii="Times New Roman" w:cs="Times New Roman" w:eastAsia="Times New Roman" w:hAnsi="Times New Roman"/>
          <w:sz w:val="18"/>
          <w:szCs w:val="18"/>
          <w:i w:val="1"/>
          <w:iCs w:val="1"/>
          <w:color w:val="auto"/>
        </w:rPr>
      </w:pPr>
    </w:p>
    <w:p>
      <w:pPr>
        <w:ind w:left="55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long-term expected rate of return on funded assets shown below is established for each benefit plan by developing a forward-looking, long-term return assumption for each asset class, taking into account factors such as the expected real return for the specific asset class and inflation. A single, long-term rate of return is then calculated as the weighted average of the target asset allocation percentages and the long-term return assumption for each asset class.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00" w:type="dxa"/>
            <w:vAlign w:val="bottom"/>
            <w:gridSpan w:val="3"/>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48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44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U.S.</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Non-U.S.</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0" w:type="dxa"/>
            <w:vAlign w:val="bottom"/>
          </w:tcPr>
          <w:p>
            <w:pPr>
              <w:spacing w:after="0"/>
              <w:rPr>
                <w:sz w:val="1"/>
                <w:szCs w:val="1"/>
                <w:color w:val="auto"/>
              </w:rPr>
            </w:pPr>
          </w:p>
        </w:tc>
      </w:tr>
      <w:tr>
        <w:trPr>
          <w:trHeight w:val="209"/>
        </w:trPr>
        <w:tc>
          <w:tcPr>
            <w:tcW w:w="4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7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2018</w:t>
            </w:r>
          </w:p>
        </w:tc>
        <w:tc>
          <w:tcPr>
            <w:tcW w:w="820" w:type="dxa"/>
            <w:vAlign w:val="bottom"/>
            <w:tcBorders>
              <w:bottom w:val="single" w:sz="8" w:color="auto"/>
            </w:tcBorders>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74"/>
        </w:trPr>
        <w:tc>
          <w:tcPr>
            <w:tcW w:w="44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Weighted-average assumptions used to determine net</w:t>
            </w: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periodic benefit cost for years ended December 31</w:t>
            </w: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jc w:val="right"/>
              <w:ind w:right="293"/>
              <w:spacing w:after="0"/>
              <w:rPr>
                <w:sz w:val="20"/>
                <w:szCs w:val="20"/>
                <w:color w:val="auto"/>
              </w:rPr>
            </w:pPr>
            <w:r>
              <w:rPr>
                <w:rFonts w:ascii="Times New Roman" w:cs="Times New Roman" w:eastAsia="Times New Roman" w:hAnsi="Times New Roman"/>
                <w:sz w:val="14"/>
                <w:szCs w:val="14"/>
                <w:i w:val="1"/>
                <w:iCs w:val="1"/>
                <w:color w:val="auto"/>
              </w:rPr>
              <w:t>(percent)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Discount rate</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3.50</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2.30</w:t>
            </w: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3.00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3.50</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4.40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9"/>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rate of return on funded assets</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5.30</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4.10</w:t>
            </w: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4.10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4.60</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4.60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34"/>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rate of compensation increase</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5.75</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4.80</w:t>
            </w: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4.30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5.75</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5.75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38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cost</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965</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707</w:t>
            </w: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551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8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181</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708</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766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657</w:t>
            </w: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763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8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277</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315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29"/>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(703)</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(568)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9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(777)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8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(18)</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actuarial loss/(gain)</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310</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416</w:t>
            </w: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306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95</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7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(42)</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4"/>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pension enhancement and curtailment/settlement cost</w:t>
            </w:r>
          </w:p>
        </w:tc>
        <w:tc>
          <w:tcPr>
            <w:tcW w:w="7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280</w:t>
            </w: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49</w:t>
            </w:r>
          </w:p>
        </w:tc>
        <w:tc>
          <w:tcPr>
            <w:tcW w:w="9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(98)</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7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1,565</w:t>
            </w: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1,429</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801</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82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493</w:t>
            </w:r>
          </w:p>
        </w:tc>
        <w:tc>
          <w:tcPr>
            <w:tcW w:w="7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452</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31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amounts recorded in accumulated other</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comprehensive income:</w:t>
            </w: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actuarial loss/(gain)</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(279)</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446</w:t>
            </w: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1,268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(92)</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517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29"/>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actuarial (loss)/gain</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(590)</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(469)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9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(208)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(95)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Prior service cost/(credit)</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(271)</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379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prior service (cost)/credit</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9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42</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4"/>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exchange rate changes</w:t>
            </w:r>
          </w:p>
        </w:tc>
        <w:tc>
          <w:tcPr>
            <w:tcW w:w="7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236</w:t>
            </w:r>
          </w:p>
        </w:tc>
        <w:tc>
          <w:tcPr>
            <w:tcW w:w="9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19</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20" w:type="dxa"/>
            <w:vAlign w:val="bottom"/>
            <w:tcBorders>
              <w:bottom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11</w:t>
            </w:r>
          </w:p>
        </w:tc>
        <w:tc>
          <w:tcPr>
            <w:tcW w:w="7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8"/>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recorded in other comprehensive income</w:t>
            </w: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(1,145)</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w:t>
            </w: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1,402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8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(134)</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504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180"/>
        </w:trPr>
        <w:tc>
          <w:tcPr>
            <w:tcW w:w="44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Total recorded in net periodic benefit cost and other</w:t>
            </w:r>
          </w:p>
        </w:tc>
        <w:tc>
          <w:tcPr>
            <w:tcW w:w="78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color w:val="auto"/>
              </w:rPr>
              <w:t>420</w:t>
            </w:r>
          </w:p>
        </w:tc>
        <w:tc>
          <w:tcPr>
            <w:tcW w:w="78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1,564</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15"/>
                <w:szCs w:val="15"/>
                <w:color w:val="auto"/>
              </w:rPr>
            </w:pPr>
          </w:p>
        </w:tc>
        <w:tc>
          <w:tcPr>
            <w:tcW w:w="7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1,090</w:t>
            </w:r>
          </w:p>
        </w:tc>
        <w:tc>
          <w:tcPr>
            <w:tcW w:w="960" w:type="dxa"/>
            <w:vAlign w:val="bottom"/>
            <w:vMerge w:val="restart"/>
          </w:tcPr>
          <w:p>
            <w:pPr>
              <w:jc w:val="right"/>
              <w:ind w:right="233"/>
              <w:spacing w:after="0"/>
              <w:rPr>
                <w:sz w:val="20"/>
                <w:szCs w:val="20"/>
                <w:color w:val="auto"/>
              </w:rPr>
            </w:pPr>
            <w:r>
              <w:rPr>
                <w:rFonts w:ascii="Times New Roman" w:cs="Times New Roman" w:eastAsia="Times New Roman" w:hAnsi="Times New Roman"/>
                <w:sz w:val="18"/>
                <w:szCs w:val="18"/>
                <w:color w:val="auto"/>
              </w:rPr>
              <w:t>2,203</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2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8"/>
                <w:szCs w:val="18"/>
                <w:color w:val="auto"/>
              </w:rPr>
              <w:t>359</w:t>
            </w:r>
          </w:p>
        </w:tc>
        <w:tc>
          <w:tcPr>
            <w:tcW w:w="72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rPr>
              <w:t>956</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comprehensive income, before tax</w:t>
            </w:r>
          </w:p>
        </w:tc>
        <w:tc>
          <w:tcPr>
            <w:tcW w:w="78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gridSpan w:val="2"/>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for defined contribution plans were $358 million, $422 million and $391 million in 2020, 2019 and 2018, respectively.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 in accumulated other comprehensive income is shown in the table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374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Total Pension and Other Postretirement Benefits</w:t>
            </w:r>
          </w:p>
        </w:tc>
        <w:tc>
          <w:tcPr>
            <w:tcW w:w="560" w:type="dxa"/>
            <w:vAlign w:val="bottom"/>
          </w:tcPr>
          <w:p>
            <w:pPr>
              <w:spacing w:after="0"/>
              <w:rPr>
                <w:sz w:val="16"/>
                <w:szCs w:val="16"/>
                <w:color w:val="auto"/>
              </w:rPr>
            </w:pPr>
          </w:p>
        </w:tc>
      </w:tr>
      <w:tr>
        <w:trPr>
          <w:trHeight w:val="37"/>
        </w:trPr>
        <w:tc>
          <w:tcPr>
            <w:tcW w:w="694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04"/>
        </w:trPr>
        <w:tc>
          <w:tcPr>
            <w:tcW w:w="69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8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6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80" w:type="dxa"/>
            <w:vAlign w:val="bottom"/>
          </w:tcPr>
          <w:p>
            <w:pPr>
              <w:jc w:val="right"/>
              <w:ind w:right="933"/>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560" w:type="dxa"/>
            <w:vAlign w:val="bottom"/>
          </w:tcPr>
          <w:p>
            <w:pPr>
              <w:spacing w:after="0"/>
              <w:rPr>
                <w:sz w:val="16"/>
                <w:szCs w:val="16"/>
                <w:color w:val="auto"/>
              </w:rPr>
            </w:pPr>
          </w:p>
        </w:tc>
      </w:tr>
      <w:tr>
        <w:trPr>
          <w:trHeight w:val="262"/>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(Charge)/credit to other comprehensive income, before tax</w:t>
            </w:r>
          </w:p>
        </w:tc>
        <w:tc>
          <w:tcPr>
            <w:tcW w:w="14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29"/>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pension</w:t>
            </w:r>
          </w:p>
        </w:tc>
        <w:tc>
          <w:tcPr>
            <w:tcW w:w="14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1,145</w:t>
            </w:r>
          </w:p>
        </w:tc>
        <w:tc>
          <w:tcPr>
            <w:tcW w:w="228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(135)</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Non-U.S. pension</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w:t>
            </w:r>
          </w:p>
        </w:tc>
        <w:tc>
          <w:tcPr>
            <w:tcW w:w="228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(1,402)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34"/>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postretirement benefits</w:t>
            </w:r>
          </w:p>
        </w:tc>
        <w:tc>
          <w:tcPr>
            <w:tcW w:w="14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134</w:t>
            </w:r>
          </w:p>
        </w:tc>
        <w:tc>
          <w:tcPr>
            <w:tcW w:w="228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rPr>
              <w:t>(504)</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18"/>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(charge)/credit to other comprehensive income, before tax</w:t>
            </w:r>
          </w:p>
        </w:tc>
        <w:tc>
          <w:tcPr>
            <w:tcW w:w="14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1,189</w:t>
            </w:r>
          </w:p>
        </w:tc>
        <w:tc>
          <w:tcPr>
            <w:tcW w:w="228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(2,041)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(Charge)/credit to income tax (see Note 4)</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(153)</w:t>
            </w:r>
          </w:p>
        </w:tc>
        <w:tc>
          <w:tcPr>
            <w:tcW w:w="2280" w:type="dxa"/>
            <w:vAlign w:val="bottom"/>
          </w:tcPr>
          <w:p>
            <w:pPr>
              <w:jc w:val="right"/>
              <w:ind w:right="893"/>
              <w:spacing w:after="0"/>
              <w:rPr>
                <w:sz w:val="20"/>
                <w:szCs w:val="20"/>
                <w:color w:val="auto"/>
              </w:rPr>
            </w:pPr>
            <w:r>
              <w:rPr>
                <w:rFonts w:ascii="Times New Roman" w:cs="Times New Roman" w:eastAsia="Times New Roman" w:hAnsi="Times New Roman"/>
                <w:sz w:val="18"/>
                <w:szCs w:val="18"/>
                <w:color w:val="auto"/>
              </w:rPr>
              <w:t>550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(Charge)/credit to investment in equity companies</w:t>
            </w:r>
          </w:p>
        </w:tc>
        <w:tc>
          <w:tcPr>
            <w:tcW w:w="14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(110)</w:t>
            </w:r>
          </w:p>
        </w:tc>
        <w:tc>
          <w:tcPr>
            <w:tcW w:w="228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rPr>
              <w:t>(19)</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8"/>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(Charge)/credit to other comprehensive income including noncontrolling interests, after tax</w:t>
            </w:r>
          </w:p>
        </w:tc>
        <w:tc>
          <w:tcPr>
            <w:tcW w:w="14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926</w:t>
            </w:r>
          </w:p>
        </w:tc>
        <w:tc>
          <w:tcPr>
            <w:tcW w:w="228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(1,510)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34"/>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Charge/(credit) to equity of noncontrolling interests</w:t>
            </w:r>
          </w:p>
        </w:tc>
        <w:tc>
          <w:tcPr>
            <w:tcW w:w="14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30</w:t>
            </w:r>
          </w:p>
        </w:tc>
        <w:tc>
          <w:tcPr>
            <w:tcW w:w="228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8"/>
                <w:szCs w:val="18"/>
                <w:color w:val="auto"/>
              </w:rPr>
              <w:t>146</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(Charge)/credit to other comprehensive income attributable to ExxonMobil</w:t>
            </w:r>
          </w:p>
        </w:tc>
        <w:tc>
          <w:tcPr>
            <w:tcW w:w="14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956</w:t>
            </w:r>
          </w:p>
        </w:tc>
        <w:tc>
          <w:tcPr>
            <w:tcW w:w="228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rPr>
              <w:t>(1,364)</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Corporation’s investment strategy for benefit plan assets reflects a long-term view, a careful assessment of the risks inherent in plan assets and liabilities and broad diversification to reduce the risk of the portfolio. The benefit plan assets are primarily invested in passive global equity and local currency fixed income index funds to diversify risk while minimizing costs. The equity funds hold ExxonMobil stock only to the extent necessary to replicate the relevant equity index. The fixed income funds are largely invested in investment grade corporate and government debt securities.</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Studies are periodically conducted to establish the preferred target asset allocation percentages. The target asset allocation for the U.S. benefit plans and the major non-U.S. plans is 30 percent equity securities and 70 percent debt securities. The equity for the U.S. and certain non-U.S. plans include a small allocation to private equity partnerships that primarily focus on early-stage venture capital of 4 percent and 2 percent, respectively.</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measurement levels are accounting terms that refer to different methods of valuing assets. The terms do not represent the relative risk or credit quality of an investment.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2020 fair value of the benefit plan assets, including the level within the fair value hierarchy, is shown in the tables below:</w:t>
      </w:r>
    </w:p>
    <w:p>
      <w:pPr>
        <w:spacing w:after="0" w:line="246" w:lineRule="exact"/>
        <w:rPr>
          <w:sz w:val="20"/>
          <w:szCs w:val="20"/>
          <w:color w:val="auto"/>
        </w:rPr>
      </w:pPr>
    </w:p>
    <w:p>
      <w:pPr>
        <w:jc w:val="right"/>
        <w:ind w:right="1720"/>
        <w:spacing w:after="0"/>
        <w:tabs>
          <w:tab w:leader="none" w:pos="1100" w:val="left"/>
        </w:tabs>
        <w:rPr>
          <w:sz w:val="20"/>
          <w:szCs w:val="20"/>
          <w:color w:val="auto"/>
        </w:rPr>
      </w:pPr>
      <w:r>
        <w:rPr>
          <w:rFonts w:ascii="Times New Roman" w:cs="Times New Roman" w:eastAsia="Times New Roman" w:hAnsi="Times New Roman"/>
          <w:sz w:val="14"/>
          <w:szCs w:val="14"/>
          <w:b w:val="1"/>
          <w:bCs w:val="1"/>
          <w:color w:val="auto"/>
        </w:rPr>
        <w:t>U.S. Pension</w:t>
      </w:r>
      <w:r>
        <w:rPr>
          <w:sz w:val="20"/>
          <w:szCs w:val="20"/>
          <w:color w:val="auto"/>
        </w:rPr>
        <w:tab/>
      </w:r>
      <w:r>
        <w:rPr>
          <w:rFonts w:ascii="Times New Roman" w:cs="Times New Roman" w:eastAsia="Times New Roman" w:hAnsi="Times New Roman"/>
          <w:sz w:val="14"/>
          <w:szCs w:val="14"/>
          <w:b w:val="1"/>
          <w:bCs w:val="1"/>
          <w:color w:val="auto"/>
        </w:rPr>
        <w:t>Non- U.S. 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24765</wp:posOffset>
            </wp:positionV>
            <wp:extent cx="56146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1467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p>
      <w:pPr>
        <w:ind w:left="3320"/>
        <w:spacing w:after="0"/>
        <w:rPr>
          <w:sz w:val="20"/>
          <w:szCs w:val="20"/>
          <w:color w:val="auto"/>
        </w:rPr>
      </w:pPr>
      <w:r>
        <w:rPr>
          <w:rFonts w:ascii="Times New Roman" w:cs="Times New Roman" w:eastAsia="Times New Roman" w:hAnsi="Times New Roman"/>
          <w:sz w:val="14"/>
          <w:szCs w:val="14"/>
          <w:b w:val="1"/>
          <w:bCs w:val="1"/>
          <w:color w:val="auto"/>
        </w:rPr>
        <w:t>December 31, 2020, Using:</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Measurement at</w:t>
      </w:r>
    </w:p>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2020, Using:</w:t>
      </w:r>
    </w:p>
    <w:p>
      <w:pPr>
        <w:spacing w:after="0" w:line="11" w:lineRule="exact"/>
        <w:rPr>
          <w:sz w:val="20"/>
          <w:szCs w:val="20"/>
          <w:color w:val="auto"/>
        </w:rPr>
      </w:pPr>
    </w:p>
    <w:p>
      <w:pPr>
        <w:sectPr>
          <w:pgSz w:w="11900" w:h="16838" w:orient="portrait"/>
          <w:cols w:equalWidth="0" w:num="2">
            <w:col w:w="7000" w:space="720"/>
            <w:col w:w="352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2400" w:type="dxa"/>
            <w:vAlign w:val="bottom"/>
          </w:tcPr>
          <w:p>
            <w:pPr>
              <w:spacing w:after="0"/>
              <w:rPr>
                <w:sz w:val="12"/>
                <w:szCs w:val="12"/>
                <w:color w:val="auto"/>
              </w:rPr>
            </w:pPr>
          </w:p>
        </w:tc>
        <w:tc>
          <w:tcPr>
            <w:tcW w:w="74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8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900" w:type="dxa"/>
            <w:vAlign w:val="bottom"/>
            <w:tcBorders>
              <w:top w:val="single" w:sz="8" w:color="auto"/>
            </w:tcBorders>
            <w:gridSpan w:val="2"/>
          </w:tcPr>
          <w:p>
            <w:pPr>
              <w:jc w:val="center"/>
              <w:ind w:right="40"/>
              <w:spacing w:after="0" w:line="139" w:lineRule="exact"/>
              <w:rPr>
                <w:sz w:val="20"/>
                <w:szCs w:val="20"/>
                <w:color w:val="auto"/>
              </w:rPr>
            </w:pPr>
            <w:r>
              <w:rPr>
                <w:rFonts w:ascii="Times New Roman" w:cs="Times New Roman" w:eastAsia="Times New Roman" w:hAnsi="Times New Roman"/>
                <w:sz w:val="14"/>
                <w:szCs w:val="14"/>
                <w:b w:val="1"/>
                <w:bCs w:val="1"/>
                <w:color w:val="auto"/>
              </w:rPr>
              <w:t>Net Asset</w:t>
            </w:r>
          </w:p>
        </w:tc>
        <w:tc>
          <w:tcPr>
            <w:tcW w:w="6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64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74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Net Asset</w:t>
            </w:r>
          </w:p>
        </w:tc>
        <w:tc>
          <w:tcPr>
            <w:tcW w:w="120" w:type="dxa"/>
            <w:vAlign w:val="bottom"/>
          </w:tcPr>
          <w:p>
            <w:pPr>
              <w:spacing w:after="0"/>
              <w:rPr>
                <w:sz w:val="12"/>
                <w:szCs w:val="12"/>
                <w:color w:val="auto"/>
              </w:rPr>
            </w:pPr>
          </w:p>
        </w:tc>
        <w:tc>
          <w:tcPr>
            <w:tcW w:w="6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4"/>
          </w:tcPr>
          <w:p>
            <w:pPr>
              <w:jc w:val="right"/>
              <w:ind w:right="266"/>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securities</w:t>
            </w: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w:t>
            </w: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0" w:type="dxa"/>
            <w:vAlign w:val="bottom"/>
          </w:tcPr>
          <w:p>
            <w:pPr>
              <w:spacing w:after="0"/>
              <w:rPr>
                <w:sz w:val="1"/>
                <w:szCs w:val="1"/>
                <w:color w:val="auto"/>
              </w:rPr>
            </w:pPr>
          </w:p>
        </w:tc>
      </w:tr>
      <w:tr>
        <w:trPr>
          <w:trHeight w:val="229"/>
        </w:trPr>
        <w:tc>
          <w:tcPr>
            <w:tcW w:w="2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Non-U.S.</w:t>
            </w: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tcPr>
          <w:p>
            <w:pPr>
              <w:jc w:val="right"/>
              <w:ind w:right="166"/>
              <w:spacing w:after="0"/>
              <w:rPr>
                <w:sz w:val="20"/>
                <w:szCs w:val="20"/>
                <w:color w:val="auto"/>
              </w:rPr>
            </w:pPr>
            <w:r>
              <w:rPr>
                <w:rFonts w:ascii="Times New Roman" w:cs="Times New Roman" w:eastAsia="Times New Roman" w:hAnsi="Times New Roman"/>
                <w:sz w:val="11"/>
                <w:szCs w:val="11"/>
                <w:i w:val="1"/>
                <w:iCs w:val="1"/>
                <w:color w:val="auto"/>
              </w:rPr>
              <w:t>(1)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0" w:type="dxa"/>
            <w:vAlign w:val="bottom"/>
          </w:tcPr>
          <w:p>
            <w:pPr>
              <w:spacing w:after="0"/>
              <w:rPr>
                <w:sz w:val="1"/>
                <w:szCs w:val="1"/>
                <w:color w:val="auto"/>
              </w:rPr>
            </w:pPr>
          </w:p>
        </w:tc>
      </w:tr>
      <w:tr>
        <w:trPr>
          <w:trHeight w:val="229"/>
        </w:trPr>
        <w:tc>
          <w:tcPr>
            <w:tcW w:w="2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Private equity</w:t>
            </w: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30"/>
        </w:trPr>
        <w:tc>
          <w:tcPr>
            <w:tcW w:w="2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securities</w:t>
            </w: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w:t>
            </w:r>
          </w:p>
        </w:tc>
        <w:tc>
          <w:tcPr>
            <w:tcW w:w="380" w:type="dxa"/>
            <w:vAlign w:val="bottom"/>
          </w:tcPr>
          <w:p>
            <w:pPr>
              <w:jc w:val="right"/>
              <w:ind w:right="166"/>
              <w:spacing w:after="0"/>
              <w:rPr>
                <w:sz w:val="20"/>
                <w:szCs w:val="20"/>
                <w:color w:val="auto"/>
              </w:rPr>
            </w:pPr>
            <w:r>
              <w:rPr>
                <w:rFonts w:ascii="Times New Roman" w:cs="Times New Roman" w:eastAsia="Times New Roman" w:hAnsi="Times New Roman"/>
                <w:sz w:val="11"/>
                <w:szCs w:val="11"/>
                <w:i w:val="1"/>
                <w:iCs w:val="1"/>
                <w:color w:val="auto"/>
              </w:rPr>
              <w:t>(2)</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80" w:type="dxa"/>
            <w:vAlign w:val="bottom"/>
          </w:tcPr>
          <w:p>
            <w:pPr>
              <w:jc w:val="right"/>
              <w:ind w:right="166"/>
              <w:spacing w:after="0"/>
              <w:rPr>
                <w:sz w:val="20"/>
                <w:szCs w:val="20"/>
                <w:color w:val="auto"/>
              </w:rPr>
            </w:pPr>
            <w:r>
              <w:rPr>
                <w:rFonts w:ascii="Times New Roman" w:cs="Times New Roman" w:eastAsia="Times New Roman" w:hAnsi="Times New Roman"/>
                <w:sz w:val="11"/>
                <w:szCs w:val="11"/>
                <w:i w:val="1"/>
                <w:iCs w:val="1"/>
                <w:color w:val="auto"/>
              </w:rPr>
              <w:t>(2)</w:t>
            </w:r>
          </w:p>
        </w:tc>
        <w:tc>
          <w:tcPr>
            <w:tcW w:w="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0" w:type="dxa"/>
            <w:vAlign w:val="bottom"/>
          </w:tcPr>
          <w:p>
            <w:pPr>
              <w:spacing w:after="0"/>
              <w:rPr>
                <w:sz w:val="1"/>
                <w:szCs w:val="1"/>
                <w:color w:val="auto"/>
              </w:rPr>
            </w:pPr>
          </w:p>
        </w:tc>
      </w:tr>
      <w:tr>
        <w:trPr>
          <w:trHeight w:val="230"/>
        </w:trPr>
        <w:tc>
          <w:tcPr>
            <w:tcW w:w="2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Government</w:t>
            </w: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380" w:type="dxa"/>
            <w:vAlign w:val="bottom"/>
          </w:tcPr>
          <w:p>
            <w:pPr>
              <w:jc w:val="right"/>
              <w:ind w:right="166"/>
              <w:spacing w:after="0"/>
              <w:rPr>
                <w:sz w:val="20"/>
                <w:szCs w:val="20"/>
                <w:color w:val="auto"/>
              </w:rPr>
            </w:pPr>
            <w:r>
              <w:rPr>
                <w:rFonts w:ascii="Times New Roman" w:cs="Times New Roman" w:eastAsia="Times New Roman" w:hAnsi="Times New Roman"/>
                <w:sz w:val="11"/>
                <w:szCs w:val="11"/>
                <w:i w:val="1"/>
                <w:iCs w:val="1"/>
                <w:color w:val="auto"/>
              </w:rPr>
              <w:t>(2)</w:t>
            </w: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380" w:type="dxa"/>
            <w:vAlign w:val="bottom"/>
          </w:tcPr>
          <w:p>
            <w:pPr>
              <w:jc w:val="right"/>
              <w:ind w:right="166"/>
              <w:spacing w:after="0"/>
              <w:rPr>
                <w:sz w:val="20"/>
                <w:szCs w:val="20"/>
                <w:color w:val="auto"/>
              </w:rPr>
            </w:pPr>
            <w:r>
              <w:rPr>
                <w:rFonts w:ascii="Times New Roman" w:cs="Times New Roman" w:eastAsia="Times New Roman" w:hAnsi="Times New Roman"/>
                <w:sz w:val="11"/>
                <w:szCs w:val="11"/>
                <w:i w:val="1"/>
                <w:iCs w:val="1"/>
                <w:color w:val="auto"/>
              </w:rPr>
              <w:t>(3)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80" w:type="dxa"/>
            <w:vAlign w:val="bottom"/>
          </w:tcPr>
          <w:p>
            <w:pPr>
              <w:jc w:val="right"/>
              <w:ind w:right="166"/>
              <w:spacing w:after="0"/>
              <w:rPr>
                <w:sz w:val="20"/>
                <w:szCs w:val="20"/>
                <w:color w:val="auto"/>
              </w:rPr>
            </w:pPr>
            <w:r>
              <w:rPr>
                <w:rFonts w:ascii="Times New Roman" w:cs="Times New Roman" w:eastAsia="Times New Roman" w:hAnsi="Times New Roman"/>
                <w:sz w:val="11"/>
                <w:szCs w:val="11"/>
                <w:i w:val="1"/>
                <w:iCs w:val="1"/>
                <w:color w:val="auto"/>
              </w:rPr>
              <w:t>(2)</w:t>
            </w:r>
          </w:p>
        </w:tc>
        <w:tc>
          <w:tcPr>
            <w:tcW w:w="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12,359</w:t>
            </w:r>
          </w:p>
        </w:tc>
        <w:tc>
          <w:tcPr>
            <w:tcW w:w="0" w:type="dxa"/>
            <w:vAlign w:val="bottom"/>
          </w:tcPr>
          <w:p>
            <w:pPr>
              <w:spacing w:after="0"/>
              <w:rPr>
                <w:sz w:val="1"/>
                <w:szCs w:val="1"/>
                <w:color w:val="auto"/>
              </w:rPr>
            </w:pPr>
          </w:p>
        </w:tc>
      </w:tr>
      <w:tr>
        <w:trPr>
          <w:trHeight w:val="229"/>
        </w:trPr>
        <w:tc>
          <w:tcPr>
            <w:tcW w:w="2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Asset-backed</w:t>
            </w: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tcPr>
          <w:p>
            <w:pPr>
              <w:jc w:val="right"/>
              <w:ind w:right="166"/>
              <w:spacing w:after="0"/>
              <w:rPr>
                <w:sz w:val="20"/>
                <w:szCs w:val="20"/>
                <w:color w:val="auto"/>
              </w:rPr>
            </w:pPr>
            <w:r>
              <w:rPr>
                <w:rFonts w:ascii="Times New Roman" w:cs="Times New Roman" w:eastAsia="Times New Roman" w:hAnsi="Times New Roman"/>
                <w:sz w:val="11"/>
                <w:szCs w:val="11"/>
                <w:i w:val="1"/>
                <w:iCs w:val="1"/>
                <w:color w:val="auto"/>
              </w:rPr>
              <w:t>(2)</w:t>
            </w:r>
          </w:p>
        </w:tc>
        <w:tc>
          <w:tcPr>
            <w:tcW w:w="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34"/>
        </w:trPr>
        <w:tc>
          <w:tcPr>
            <w:tcW w:w="2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7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i w:val="1"/>
                <w:iCs w:val="1"/>
                <w:color w:val="auto"/>
              </w:rPr>
              <w:t>(4)</w:t>
            </w:r>
          </w:p>
        </w:tc>
        <w:tc>
          <w:tcPr>
            <w:tcW w:w="8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at fair value</w:t>
            </w:r>
          </w:p>
        </w:tc>
        <w:tc>
          <w:tcPr>
            <w:tcW w:w="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10,407</w:t>
            </w:r>
          </w:p>
        </w:tc>
        <w:tc>
          <w:tcPr>
            <w:tcW w:w="3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380" w:type="dxa"/>
            <w:vAlign w:val="bottom"/>
          </w:tcPr>
          <w:p>
            <w:pPr>
              <w:spacing w:after="0"/>
              <w:rPr>
                <w:sz w:val="19"/>
                <w:szCs w:val="19"/>
                <w:color w:val="auto"/>
              </w:rPr>
            </w:pPr>
          </w:p>
        </w:tc>
        <w:tc>
          <w:tcPr>
            <w:tcW w:w="8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25,486</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26,193</w:t>
            </w:r>
          </w:p>
        </w:tc>
        <w:tc>
          <w:tcPr>
            <w:tcW w:w="0" w:type="dxa"/>
            <w:vAlign w:val="bottom"/>
          </w:tcPr>
          <w:p>
            <w:pPr>
              <w:spacing w:after="0"/>
              <w:rPr>
                <w:sz w:val="1"/>
                <w:szCs w:val="1"/>
                <w:color w:val="auto"/>
              </w:rPr>
            </w:pPr>
          </w:p>
        </w:tc>
      </w:tr>
      <w:tr>
        <w:trPr>
          <w:trHeight w:val="155"/>
        </w:trPr>
        <w:tc>
          <w:tcPr>
            <w:tcW w:w="2400" w:type="dxa"/>
            <w:vAlign w:val="bottom"/>
          </w:tcPr>
          <w:p>
            <w:pPr>
              <w:ind w:left="480"/>
              <w:spacing w:after="0" w:line="156" w:lineRule="exact"/>
              <w:rPr>
                <w:sz w:val="20"/>
                <w:szCs w:val="20"/>
                <w:color w:val="auto"/>
              </w:rPr>
            </w:pPr>
            <w:r>
              <w:rPr>
                <w:rFonts w:ascii="Times New Roman" w:cs="Times New Roman" w:eastAsia="Times New Roman" w:hAnsi="Times New Roman"/>
                <w:sz w:val="18"/>
                <w:szCs w:val="18"/>
                <w:color w:val="auto"/>
              </w:rPr>
              <w:t>Insurance contracts at</w:t>
            </w:r>
          </w:p>
        </w:tc>
        <w:tc>
          <w:tcPr>
            <w:tcW w:w="7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5"/>
        </w:trPr>
        <w:tc>
          <w:tcPr>
            <w:tcW w:w="2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contract value</w:t>
            </w: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plan assets</w:t>
            </w: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26,216</w:t>
            </w:r>
          </w:p>
        </w:tc>
        <w:tc>
          <w:tcPr>
            <w:tcW w:w="0" w:type="dxa"/>
            <w:vAlign w:val="bottom"/>
          </w:tcPr>
          <w:p>
            <w:pPr>
              <w:spacing w:after="0"/>
              <w:rPr>
                <w:sz w:val="1"/>
                <w:szCs w:val="1"/>
                <w:color w:val="auto"/>
              </w:rPr>
            </w:pPr>
          </w:p>
        </w:tc>
      </w:tr>
    </w:tbl>
    <w:p>
      <w:pPr>
        <w:spacing w:after="0" w:line="371"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non-U.S. equity securities held in separate accounts, fair value is based on observable quoted prices on active exchanges.</w:t>
      </w:r>
    </w:p>
    <w:p>
      <w:pPr>
        <w:spacing w:after="0" w:line="63"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corporate, government and asset-backed debt securities, fair value is based on observable inputs of comparable market transactions.</w:t>
      </w:r>
    </w:p>
    <w:p>
      <w:pPr>
        <w:spacing w:after="0" w:line="63"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government debt securities that are traded on active exchanges, fair value is based on observable quoted prices.</w:t>
      </w:r>
    </w:p>
    <w:p>
      <w:pPr>
        <w:spacing w:after="0" w:line="63"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cash balances that are subject to withdrawal penalties or other adjustments, the fair value is treated as a Level 2 input.</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Postretirement</w:t>
            </w:r>
          </w:p>
        </w:tc>
        <w:tc>
          <w:tcPr>
            <w:tcW w:w="1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08"/>
        </w:trPr>
        <w:tc>
          <w:tcPr>
            <w:tcW w:w="4900" w:type="dxa"/>
            <w:vAlign w:val="bottom"/>
          </w:tcPr>
          <w:p>
            <w:pPr>
              <w:spacing w:after="0"/>
              <w:rPr>
                <w:sz w:val="18"/>
                <w:szCs w:val="18"/>
                <w:color w:val="auto"/>
              </w:rPr>
            </w:pPr>
          </w:p>
        </w:tc>
        <w:tc>
          <w:tcPr>
            <w:tcW w:w="4940" w:type="dxa"/>
            <w:vAlign w:val="bottom"/>
            <w:tcBorders>
              <w:bottom w:val="single" w:sz="8" w:color="auto"/>
            </w:tcBorders>
            <w:gridSpan w:val="6"/>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Fair Value Measurement at December 31, 2020, Using:</w:t>
            </w:r>
          </w:p>
        </w:tc>
        <w:tc>
          <w:tcPr>
            <w:tcW w:w="1240" w:type="dxa"/>
            <w:vAlign w:val="bottom"/>
          </w:tcPr>
          <w:p>
            <w:pPr>
              <w:spacing w:after="0"/>
              <w:rPr>
                <w:sz w:val="18"/>
                <w:szCs w:val="18"/>
                <w:color w:val="auto"/>
              </w:rPr>
            </w:pPr>
          </w:p>
        </w:tc>
      </w:tr>
      <w:tr>
        <w:trPr>
          <w:trHeight w:val="211"/>
        </w:trPr>
        <w:tc>
          <w:tcPr>
            <w:tcW w:w="49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Asset Value</w:t>
            </w:r>
          </w:p>
        </w:tc>
        <w:tc>
          <w:tcPr>
            <w:tcW w:w="12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1"/>
        </w:trPr>
        <w:tc>
          <w:tcPr>
            <w:tcW w:w="4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2"/>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9"/>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securities</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tcPr>
          <w:p>
            <w:pPr>
              <w:jc w:val="right"/>
              <w:ind w:right="126"/>
              <w:spacing w:after="0"/>
              <w:rPr>
                <w:sz w:val="20"/>
                <w:szCs w:val="20"/>
                <w:color w:val="auto"/>
              </w:rPr>
            </w:pPr>
            <w:r>
              <w:rPr>
                <w:rFonts w:ascii="Times New Roman" w:cs="Times New Roman" w:eastAsia="Times New Roman" w:hAnsi="Times New Roman"/>
                <w:sz w:val="11"/>
                <w:szCs w:val="11"/>
                <w:i w:val="1"/>
                <w:iCs w:val="1"/>
                <w:color w:val="auto"/>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4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Non-U.S.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tcPr>
          <w:p>
            <w:pPr>
              <w:jc w:val="right"/>
              <w:ind w:right="126"/>
              <w:spacing w:after="0"/>
              <w:rPr>
                <w:sz w:val="20"/>
                <w:szCs w:val="20"/>
                <w:color w:val="auto"/>
              </w:rPr>
            </w:pPr>
            <w:r>
              <w:rPr>
                <w:rFonts w:ascii="Times New Roman" w:cs="Times New Roman" w:eastAsia="Times New Roman" w:hAnsi="Times New Roman"/>
                <w:sz w:val="11"/>
                <w:szCs w:val="11"/>
                <w:i w:val="1"/>
                <w:iCs w:val="1"/>
                <w:color w:val="auto"/>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securities</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4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i w:val="1"/>
                <w:iCs w:val="1"/>
                <w:color w:val="auto"/>
              </w:rPr>
              <w:t>(2)</w:t>
            </w:r>
          </w:p>
        </w:tc>
        <w:tc>
          <w:tcPr>
            <w:tcW w:w="14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0"/>
        </w:trPr>
        <w:tc>
          <w:tcPr>
            <w:tcW w:w="4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Government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i w:val="1"/>
                <w:iCs w:val="1"/>
                <w:color w:val="auto"/>
              </w:rPr>
              <w:t>(2)</w:t>
            </w:r>
          </w:p>
        </w:tc>
        <w:tc>
          <w:tcPr>
            <w:tcW w:w="14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0"/>
        </w:trPr>
        <w:tc>
          <w:tcPr>
            <w:tcW w:w="49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Asset-backed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at fair value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r>
    </w:tbl>
    <w:p>
      <w:pPr>
        <w:spacing w:after="0" w:line="358"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equity securities held in separate accounts, fair value is based on observable quoted prices on active exchanges.</w:t>
      </w:r>
    </w:p>
    <w:p>
      <w:pPr>
        <w:spacing w:after="0" w:line="63"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corporate, government and asset-backed debt securities, fair value is based on observable inputs of comparable market transactions.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2019 fair value of the benefit plan assets, including the level within the fair value hierarchy, is shown in the tables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4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U.S. Pension</w:t>
            </w:r>
          </w:p>
        </w:tc>
        <w:tc>
          <w:tcPr>
            <w:tcW w:w="8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Non-U.S. Pension</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00" w:type="dxa"/>
            <w:vAlign w:val="bottom"/>
            <w:gridSpan w:val="3"/>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80" w:type="dxa"/>
            <w:vAlign w:val="bottom"/>
            <w:gridSpan w:val="3"/>
          </w:tcPr>
          <w:p>
            <w:pPr>
              <w:jc w:val="center"/>
              <w:ind w:right="152"/>
              <w:spacing w:after="0" w:line="134" w:lineRule="exact"/>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2019, Using:</w:t>
            </w:r>
          </w:p>
        </w:tc>
        <w:tc>
          <w:tcPr>
            <w:tcW w:w="8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December 31, 2019, Using:</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440" w:type="dxa"/>
            <w:vAlign w:val="bottom"/>
          </w:tcPr>
          <w:p>
            <w:pPr>
              <w:spacing w:after="0"/>
              <w:rPr>
                <w:sz w:val="11"/>
                <w:szCs w:val="11"/>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1"/>
                <w:szCs w:val="11"/>
                <w:color w:val="auto"/>
              </w:rPr>
            </w:pPr>
          </w:p>
        </w:tc>
        <w:tc>
          <w:tcPr>
            <w:tcW w:w="9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20" w:type="dxa"/>
            <w:vAlign w:val="bottom"/>
          </w:tcPr>
          <w:p>
            <w:pPr>
              <w:jc w:val="right"/>
              <w:ind w:right="54"/>
              <w:spacing w:after="0" w:line="129" w:lineRule="exact"/>
              <w:rPr>
                <w:sz w:val="20"/>
                <w:szCs w:val="20"/>
                <w:color w:val="auto"/>
              </w:rPr>
            </w:pPr>
            <w:r>
              <w:rPr>
                <w:rFonts w:ascii="Times New Roman" w:cs="Times New Roman" w:eastAsia="Times New Roman" w:hAnsi="Times New Roman"/>
                <w:sz w:val="14"/>
                <w:szCs w:val="14"/>
                <w:b w:val="1"/>
                <w:bCs w:val="1"/>
                <w:color w:val="auto"/>
              </w:rPr>
              <w:t>Net Asset</w:t>
            </w:r>
          </w:p>
        </w:tc>
        <w:tc>
          <w:tcPr>
            <w:tcW w:w="7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64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1"/>
                <w:szCs w:val="11"/>
                <w:color w:val="auto"/>
              </w:rPr>
            </w:pPr>
          </w:p>
        </w:tc>
        <w:tc>
          <w:tcPr>
            <w:tcW w:w="86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1"/>
                <w:szCs w:val="11"/>
                <w:color w:val="auto"/>
              </w:rPr>
            </w:pPr>
          </w:p>
        </w:tc>
        <w:tc>
          <w:tcPr>
            <w:tcW w:w="8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 Asset</w:t>
            </w:r>
          </w:p>
        </w:tc>
        <w:tc>
          <w:tcPr>
            <w:tcW w:w="100" w:type="dxa"/>
            <w:vAlign w:val="bottom"/>
          </w:tcPr>
          <w:p>
            <w:pPr>
              <w:spacing w:after="0"/>
              <w:rPr>
                <w:sz w:val="11"/>
                <w:szCs w:val="11"/>
                <w:color w:val="auto"/>
              </w:rPr>
            </w:pPr>
          </w:p>
        </w:tc>
        <w:tc>
          <w:tcPr>
            <w:tcW w:w="7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2"/>
        </w:trPr>
        <w:tc>
          <w:tcPr>
            <w:tcW w:w="24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2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4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gridSpan w:val="2"/>
            <w:vMerge w:val="continue"/>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80" w:type="dxa"/>
            <w:vAlign w:val="bottom"/>
            <w:gridSpan w:val="4"/>
          </w:tcPr>
          <w:p>
            <w:pPr>
              <w:jc w:val="right"/>
              <w:ind w:right="106"/>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securities</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1,960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0" w:type="dxa"/>
            <w:vAlign w:val="bottom"/>
          </w:tcPr>
          <w:p>
            <w:pPr>
              <w:spacing w:after="0"/>
              <w:rPr>
                <w:sz w:val="1"/>
                <w:szCs w:val="1"/>
                <w:color w:val="auto"/>
              </w:rPr>
            </w:pPr>
          </w:p>
        </w:tc>
      </w:tr>
      <w:tr>
        <w:trPr>
          <w:trHeight w:val="229"/>
        </w:trPr>
        <w:tc>
          <w:tcPr>
            <w:tcW w:w="2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Non-U.S.</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1,656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jc w:val="right"/>
              <w:ind w:right="26"/>
              <w:spacing w:after="0"/>
              <w:rPr>
                <w:sz w:val="20"/>
                <w:szCs w:val="20"/>
                <w:color w:val="auto"/>
              </w:rPr>
            </w:pPr>
            <w:r>
              <w:rPr>
                <w:rFonts w:ascii="Times New Roman" w:cs="Times New Roman" w:eastAsia="Times New Roman" w:hAnsi="Times New Roman"/>
                <w:sz w:val="11"/>
                <w:szCs w:val="11"/>
                <w:i w:val="1"/>
                <w:iCs w:val="1"/>
                <w:color w:val="auto"/>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0" w:type="dxa"/>
            <w:vAlign w:val="bottom"/>
          </w:tcPr>
          <w:p>
            <w:pPr>
              <w:spacing w:after="0"/>
              <w:rPr>
                <w:sz w:val="1"/>
                <w:szCs w:val="1"/>
                <w:color w:val="auto"/>
              </w:rPr>
            </w:pPr>
          </w:p>
        </w:tc>
      </w:tr>
      <w:tr>
        <w:trPr>
          <w:trHeight w:val="229"/>
        </w:trPr>
        <w:tc>
          <w:tcPr>
            <w:tcW w:w="2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Private equity</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499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0"/>
        </w:trPr>
        <w:tc>
          <w:tcPr>
            <w:tcW w:w="2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securities</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i w:val="1"/>
                <w:iCs w:val="1"/>
                <w:color w:val="auto"/>
              </w:rPr>
              <w:t>(2)</w:t>
            </w:r>
          </w:p>
        </w:tc>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0" w:type="dxa"/>
            <w:vAlign w:val="bottom"/>
          </w:tcPr>
          <w:p>
            <w:pPr>
              <w:jc w:val="right"/>
              <w:ind w:right="166"/>
              <w:spacing w:after="0"/>
              <w:rPr>
                <w:sz w:val="20"/>
                <w:szCs w:val="20"/>
                <w:color w:val="auto"/>
              </w:rPr>
            </w:pPr>
            <w:r>
              <w:rPr>
                <w:rFonts w:ascii="Times New Roman" w:cs="Times New Roman" w:eastAsia="Times New Roman" w:hAnsi="Times New Roman"/>
                <w:sz w:val="11"/>
                <w:szCs w:val="11"/>
                <w:i w:val="1"/>
                <w:iCs w:val="1"/>
                <w:color w:val="auto"/>
              </w:rPr>
              <w:t>(2)</w:t>
            </w: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0" w:type="dxa"/>
            <w:vAlign w:val="bottom"/>
          </w:tcPr>
          <w:p>
            <w:pPr>
              <w:spacing w:after="0"/>
              <w:rPr>
                <w:sz w:val="1"/>
                <w:szCs w:val="1"/>
                <w:color w:val="auto"/>
              </w:rPr>
            </w:pPr>
          </w:p>
        </w:tc>
      </w:tr>
      <w:tr>
        <w:trPr>
          <w:trHeight w:val="229"/>
        </w:trPr>
        <w:tc>
          <w:tcPr>
            <w:tcW w:w="2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Government</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i w:val="1"/>
                <w:iCs w:val="1"/>
                <w:color w:val="auto"/>
              </w:rPr>
              <w:t>(2)</w:t>
            </w:r>
          </w:p>
        </w:tc>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40" w:type="dxa"/>
            <w:vAlign w:val="bottom"/>
          </w:tcPr>
          <w:p>
            <w:pPr>
              <w:jc w:val="right"/>
              <w:ind w:right="26"/>
              <w:spacing w:after="0"/>
              <w:rPr>
                <w:sz w:val="20"/>
                <w:szCs w:val="20"/>
                <w:color w:val="auto"/>
              </w:rPr>
            </w:pPr>
            <w:r>
              <w:rPr>
                <w:rFonts w:ascii="Times New Roman" w:cs="Times New Roman" w:eastAsia="Times New Roman" w:hAnsi="Times New Roman"/>
                <w:sz w:val="11"/>
                <w:szCs w:val="11"/>
                <w:i w:val="1"/>
                <w:iCs w:val="1"/>
                <w:color w:val="auto"/>
              </w:rPr>
              <w:t>(3)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0" w:type="dxa"/>
            <w:vAlign w:val="bottom"/>
          </w:tcPr>
          <w:p>
            <w:pPr>
              <w:jc w:val="right"/>
              <w:ind w:right="166"/>
              <w:spacing w:after="0"/>
              <w:rPr>
                <w:sz w:val="20"/>
                <w:szCs w:val="20"/>
                <w:color w:val="auto"/>
              </w:rPr>
            </w:pPr>
            <w:r>
              <w:rPr>
                <w:rFonts w:ascii="Times New Roman" w:cs="Times New Roman" w:eastAsia="Times New Roman" w:hAnsi="Times New Roman"/>
                <w:sz w:val="11"/>
                <w:szCs w:val="11"/>
                <w:i w:val="1"/>
                <w:iCs w:val="1"/>
                <w:color w:val="auto"/>
              </w:rPr>
              <w:t>(2)</w:t>
            </w: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0" w:type="dxa"/>
            <w:vAlign w:val="bottom"/>
          </w:tcPr>
          <w:p>
            <w:pPr>
              <w:spacing w:after="0"/>
              <w:rPr>
                <w:sz w:val="1"/>
                <w:szCs w:val="1"/>
                <w:color w:val="auto"/>
              </w:rPr>
            </w:pPr>
          </w:p>
        </w:tc>
      </w:tr>
      <w:tr>
        <w:trPr>
          <w:trHeight w:val="230"/>
        </w:trPr>
        <w:tc>
          <w:tcPr>
            <w:tcW w:w="2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Asset-backed</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tcPr>
          <w:p>
            <w:pPr>
              <w:jc w:val="right"/>
              <w:ind w:right="166"/>
              <w:spacing w:after="0"/>
              <w:rPr>
                <w:sz w:val="20"/>
                <w:szCs w:val="20"/>
                <w:color w:val="auto"/>
              </w:rPr>
            </w:pPr>
            <w:r>
              <w:rPr>
                <w:rFonts w:ascii="Times New Roman" w:cs="Times New Roman" w:eastAsia="Times New Roman" w:hAnsi="Times New Roman"/>
                <w:sz w:val="11"/>
                <w:szCs w:val="11"/>
                <w:i w:val="1"/>
                <w:iCs w:val="1"/>
                <w:color w:val="auto"/>
              </w:rPr>
              <w:t>(2)</w:t>
            </w: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34"/>
        </w:trPr>
        <w:tc>
          <w:tcPr>
            <w:tcW w:w="2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7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107</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i w:val="1"/>
                <w:iCs w:val="1"/>
                <w:color w:val="auto"/>
              </w:rPr>
              <w:t>(4)</w:t>
            </w:r>
          </w:p>
        </w:tc>
        <w:tc>
          <w:tcPr>
            <w:tcW w:w="8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3"/>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at fair value</w:t>
            </w:r>
          </w:p>
        </w:tc>
        <w:tc>
          <w:tcPr>
            <w:tcW w:w="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w:t>
            </w:r>
          </w:p>
        </w:tc>
        <w:tc>
          <w:tcPr>
            <w:tcW w:w="220" w:type="dxa"/>
            <w:vAlign w:val="bottom"/>
          </w:tcPr>
          <w:p>
            <w:pPr>
              <w:spacing w:after="0"/>
              <w:rPr>
                <w:sz w:val="19"/>
                <w:szCs w:val="19"/>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4,226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400" w:type="dxa"/>
            <w:vAlign w:val="bottom"/>
          </w:tcPr>
          <w:p>
            <w:pPr>
              <w:spacing w:after="0"/>
              <w:rPr>
                <w:sz w:val="19"/>
                <w:szCs w:val="19"/>
                <w:color w:val="auto"/>
              </w:rPr>
            </w:pP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22,894</w:t>
            </w:r>
          </w:p>
        </w:tc>
        <w:tc>
          <w:tcPr>
            <w:tcW w:w="0" w:type="dxa"/>
            <w:vAlign w:val="bottom"/>
          </w:tcPr>
          <w:p>
            <w:pPr>
              <w:spacing w:after="0"/>
              <w:rPr>
                <w:sz w:val="1"/>
                <w:szCs w:val="1"/>
                <w:color w:val="auto"/>
              </w:rPr>
            </w:pPr>
          </w:p>
        </w:tc>
      </w:tr>
      <w:tr>
        <w:trPr>
          <w:trHeight w:val="155"/>
        </w:trPr>
        <w:tc>
          <w:tcPr>
            <w:tcW w:w="2440" w:type="dxa"/>
            <w:vAlign w:val="bottom"/>
          </w:tcPr>
          <w:p>
            <w:pPr>
              <w:ind w:left="480"/>
              <w:spacing w:after="0" w:line="156" w:lineRule="exact"/>
              <w:rPr>
                <w:sz w:val="20"/>
                <w:szCs w:val="20"/>
                <w:color w:val="auto"/>
              </w:rPr>
            </w:pPr>
            <w:r>
              <w:rPr>
                <w:rFonts w:ascii="Times New Roman" w:cs="Times New Roman" w:eastAsia="Times New Roman" w:hAnsi="Times New Roman"/>
                <w:sz w:val="18"/>
                <w:szCs w:val="18"/>
                <w:color w:val="auto"/>
              </w:rPr>
              <w:t>Insurance contracts at</w:t>
            </w:r>
          </w:p>
        </w:tc>
        <w:tc>
          <w:tcPr>
            <w:tcW w:w="7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5"/>
        </w:trPr>
        <w:tc>
          <w:tcPr>
            <w:tcW w:w="2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contract value</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plan assets</w:t>
            </w: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non-U.S. equity securities held in separate accounts, fair value is based on observable quoted prices on active exchanges.</w:t>
      </w:r>
    </w:p>
    <w:p>
      <w:pPr>
        <w:spacing w:after="0" w:line="63"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corporate, government and asset-backed debt securities, fair value is based on observable inputs of comparable market transactions.</w:t>
      </w:r>
    </w:p>
    <w:p>
      <w:pPr>
        <w:spacing w:after="0" w:line="63"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government debt securities that are traded on active exchanges, fair value is based on observable quoted prices.</w:t>
      </w:r>
    </w:p>
    <w:p>
      <w:pPr>
        <w:spacing w:after="0" w:line="63"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cash balances that are subject to withdrawal penalties or other adjustments, the fair value is treated as a Level 2 input.</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Other Postretirement</w:t>
            </w:r>
          </w:p>
        </w:tc>
        <w:tc>
          <w:tcPr>
            <w:tcW w:w="1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08"/>
        </w:trPr>
        <w:tc>
          <w:tcPr>
            <w:tcW w:w="49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5"/>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Fair Value Measurement at December 31, 2019, Using:</w:t>
            </w:r>
          </w:p>
        </w:tc>
        <w:tc>
          <w:tcPr>
            <w:tcW w:w="1240" w:type="dxa"/>
            <w:vAlign w:val="bottom"/>
          </w:tcPr>
          <w:p>
            <w:pPr>
              <w:spacing w:after="0"/>
              <w:rPr>
                <w:sz w:val="18"/>
                <w:szCs w:val="18"/>
                <w:color w:val="auto"/>
              </w:rPr>
            </w:pPr>
          </w:p>
        </w:tc>
      </w:tr>
      <w:tr>
        <w:trPr>
          <w:trHeight w:val="211"/>
        </w:trPr>
        <w:tc>
          <w:tcPr>
            <w:tcW w:w="49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Net Asset Value</w:t>
            </w:r>
          </w:p>
        </w:tc>
        <w:tc>
          <w:tcPr>
            <w:tcW w:w="12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1"/>
        </w:trPr>
        <w:tc>
          <w:tcPr>
            <w:tcW w:w="4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2"/>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category:</w:t>
            </w: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0"/>
        </w:trPr>
        <w:tc>
          <w:tcPr>
            <w:tcW w:w="5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Equity securities</w:t>
            </w: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U.S.</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5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Non-U.S.</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5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Debt securities</w:t>
            </w: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i w:val="1"/>
                <w:iCs w:val="1"/>
                <w:color w:val="auto"/>
              </w:rPr>
              <w:t>(1)</w:t>
            </w:r>
          </w:p>
        </w:tc>
        <w:tc>
          <w:tcPr>
            <w:tcW w:w="14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5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Government</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i w:val="1"/>
                <w:iCs w:val="1"/>
                <w:color w:val="auto"/>
              </w:rPr>
              <w:t>(1)</w:t>
            </w:r>
          </w:p>
        </w:tc>
        <w:tc>
          <w:tcPr>
            <w:tcW w:w="14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5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Asset-backed</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7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at fair value</w:t>
            </w:r>
          </w:p>
        </w:tc>
        <w:tc>
          <w:tcPr>
            <w:tcW w:w="8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r>
    </w:tbl>
    <w:p>
      <w:pPr>
        <w:spacing w:after="0" w:line="371" w:lineRule="exact"/>
        <w:rPr>
          <w:sz w:val="20"/>
          <w:szCs w:val="20"/>
          <w:color w:val="auto"/>
        </w:rPr>
      </w:pPr>
    </w:p>
    <w:p>
      <w:pPr>
        <w:ind w:left="5540" w:right="1000" w:hanging="5532"/>
        <w:spacing w:after="0" w:line="801" w:lineRule="auto"/>
        <w:tabs>
          <w:tab w:leader="none" w:pos="332"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For corporate, government and asset-backed debt securities, fair value is based on observable inputs of comparable market transactions. </w:t>
      </w: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pension plans with an accumulated benefit obligation and projected benefit obligation in excess of plan assets is shown in the table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20" w:type="dxa"/>
            <w:vAlign w:val="bottom"/>
            <w:gridSpan w:val="5"/>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26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U.S.</w:t>
            </w:r>
          </w:p>
        </w:tc>
        <w:tc>
          <w:tcPr>
            <w:tcW w:w="2620" w:type="dxa"/>
            <w:vAlign w:val="bottom"/>
            <w:gridSpan w:val="2"/>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Non-U.S.</w:t>
            </w:r>
          </w:p>
        </w:tc>
        <w:tc>
          <w:tcPr>
            <w:tcW w:w="0" w:type="dxa"/>
            <w:vAlign w:val="bottom"/>
          </w:tcPr>
          <w:p>
            <w:pPr>
              <w:spacing w:after="0"/>
              <w:rPr>
                <w:sz w:val="1"/>
                <w:szCs w:val="1"/>
                <w:color w:val="auto"/>
              </w:rPr>
            </w:pPr>
          </w:p>
        </w:tc>
      </w:tr>
      <w:tr>
        <w:trPr>
          <w:trHeight w:val="23"/>
        </w:trPr>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3"/>
        </w:trPr>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20" w:type="dxa"/>
            <w:vAlign w:val="bottom"/>
            <w:gridSpan w:val="5"/>
          </w:tcPr>
          <w:p>
            <w:pPr>
              <w:jc w:val="right"/>
              <w:ind w:right="674"/>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9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For funded pension plans with an accumulated benefit obligation</w:t>
            </w: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9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in excess of plan assets:</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16,129</w:t>
            </w: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14,940</w:t>
            </w:r>
          </w:p>
        </w:tc>
        <w:tc>
          <w:tcPr>
            <w:tcW w:w="1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4,602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0" w:type="dxa"/>
            <w:vAlign w:val="bottom"/>
          </w:tcPr>
          <w:p>
            <w:pPr>
              <w:spacing w:after="0"/>
              <w:rPr>
                <w:sz w:val="1"/>
                <w:szCs w:val="1"/>
                <w:color w:val="auto"/>
              </w:rPr>
            </w:pPr>
          </w:p>
        </w:tc>
      </w:tr>
      <w:tr>
        <w:trPr>
          <w:trHeight w:val="234"/>
        </w:trPr>
        <w:tc>
          <w:tcPr>
            <w:tcW w:w="59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15,300</w:t>
            </w: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13,636</w:t>
            </w:r>
          </w:p>
        </w:tc>
        <w:tc>
          <w:tcPr>
            <w:tcW w:w="100" w:type="dxa"/>
            <w:vAlign w:val="bottom"/>
          </w:tcPr>
          <w:p>
            <w:pPr>
              <w:spacing w:after="0"/>
              <w:rPr>
                <w:sz w:val="20"/>
                <w:szCs w:val="20"/>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2,652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459"/>
        </w:trPr>
        <w:tc>
          <w:tcPr>
            <w:tcW w:w="59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For funded pension plans with a projected benefit obligation</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of plan assets:</w:t>
            </w: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20" w:type="dxa"/>
            <w:vAlign w:val="bottom"/>
            <w:gridSpan w:val="2"/>
          </w:tcPr>
          <w:p>
            <w:pPr>
              <w:ind w:left="240"/>
              <w:spacing w:after="0" w:line="191" w:lineRule="exact"/>
              <w:rPr>
                <w:sz w:val="20"/>
                <w:szCs w:val="20"/>
                <w:color w:val="auto"/>
              </w:rPr>
            </w:pPr>
            <w:r>
              <w:rPr>
                <w:rFonts w:ascii="Times New Roman" w:cs="Times New Roman" w:eastAsia="Times New Roman" w:hAnsi="Times New Roman"/>
                <w:sz w:val="18"/>
                <w:szCs w:val="18"/>
                <w:color w:val="auto"/>
                <w:w w:val="85"/>
              </w:rPr>
              <w:t>in excess</w:t>
            </w:r>
          </w:p>
        </w:tc>
        <w:tc>
          <w:tcPr>
            <w:tcW w:w="5080" w:type="dxa"/>
            <w:vAlign w:val="bottom"/>
            <w:gridSpan w:val="3"/>
            <w:vMerge w:val="continue"/>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9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19,456</w:t>
            </w: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18,292</w:t>
            </w:r>
          </w:p>
        </w:tc>
        <w:tc>
          <w:tcPr>
            <w:tcW w:w="10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13,836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12,496</w:t>
            </w:r>
          </w:p>
        </w:tc>
        <w:tc>
          <w:tcPr>
            <w:tcW w:w="0" w:type="dxa"/>
            <w:vAlign w:val="bottom"/>
          </w:tcPr>
          <w:p>
            <w:pPr>
              <w:spacing w:after="0"/>
              <w:rPr>
                <w:sz w:val="1"/>
                <w:szCs w:val="1"/>
                <w:color w:val="auto"/>
              </w:rPr>
            </w:pPr>
          </w:p>
        </w:tc>
      </w:tr>
      <w:tr>
        <w:trPr>
          <w:trHeight w:val="234"/>
        </w:trPr>
        <w:tc>
          <w:tcPr>
            <w:tcW w:w="59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15,300</w:t>
            </w: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13,636</w:t>
            </w:r>
          </w:p>
        </w:tc>
        <w:tc>
          <w:tcPr>
            <w:tcW w:w="100" w:type="dxa"/>
            <w:vAlign w:val="bottom"/>
          </w:tcPr>
          <w:p>
            <w:pPr>
              <w:spacing w:after="0"/>
              <w:rPr>
                <w:sz w:val="20"/>
                <w:szCs w:val="20"/>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10,681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0" w:type="dxa"/>
            <w:vAlign w:val="bottom"/>
          </w:tcPr>
          <w:p>
            <w:pPr>
              <w:spacing w:after="0"/>
              <w:rPr>
                <w:sz w:val="1"/>
                <w:szCs w:val="1"/>
                <w:color w:val="auto"/>
              </w:rPr>
            </w:pPr>
          </w:p>
        </w:tc>
      </w:tr>
      <w:tr>
        <w:trPr>
          <w:trHeight w:val="445"/>
        </w:trPr>
        <w:tc>
          <w:tcPr>
            <w:tcW w:w="59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For unfunded pension plans:</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9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2,667</w:t>
            </w:r>
          </w:p>
        </w:tc>
        <w:tc>
          <w:tcPr>
            <w:tcW w:w="1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6,187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0" w:type="dxa"/>
            <w:vAlign w:val="bottom"/>
          </w:tcPr>
          <w:p>
            <w:pPr>
              <w:spacing w:after="0"/>
              <w:rPr>
                <w:sz w:val="1"/>
                <w:szCs w:val="1"/>
                <w:color w:val="auto"/>
              </w:rPr>
            </w:pPr>
          </w:p>
        </w:tc>
      </w:tr>
      <w:tr>
        <w:trPr>
          <w:trHeight w:val="234"/>
        </w:trPr>
        <w:tc>
          <w:tcPr>
            <w:tcW w:w="590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Pr>
          <w:p>
            <w:pPr>
              <w:spacing w:after="0"/>
              <w:rPr>
                <w:sz w:val="20"/>
                <w:szCs w:val="20"/>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5,469</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0" w:type="dxa"/>
            <w:vAlign w:val="bottom"/>
          </w:tcPr>
          <w:p>
            <w:pPr>
              <w:spacing w:after="0"/>
              <w:rPr>
                <w:sz w:val="1"/>
                <w:szCs w:val="1"/>
                <w:color w:val="auto"/>
              </w:rPr>
            </w:pPr>
          </w:p>
        </w:tc>
      </w:tr>
      <w:tr>
        <w:trPr>
          <w:trHeight w:val="567"/>
        </w:trPr>
        <w:tc>
          <w:tcPr>
            <w:tcW w:w="5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All other postretirement benefit plans are unfunded or underfunded.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1"/>
        </w:trPr>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620" w:type="dxa"/>
            <w:vAlign w:val="bottom"/>
            <w:gridSpan w:val="2"/>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0" w:type="dxa"/>
            <w:vAlign w:val="bottom"/>
          </w:tcPr>
          <w:p>
            <w:pPr>
              <w:spacing w:after="0"/>
              <w:rPr>
                <w:sz w:val="1"/>
                <w:szCs w:val="1"/>
                <w:color w:val="auto"/>
              </w:rPr>
            </w:pPr>
          </w:p>
        </w:tc>
      </w:tr>
      <w:tr>
        <w:trPr>
          <w:trHeight w:val="37"/>
        </w:trPr>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vMerge w:val="restart"/>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U.S.</w:t>
            </w:r>
          </w:p>
        </w:tc>
        <w:tc>
          <w:tcPr>
            <w:tcW w:w="1540" w:type="dxa"/>
            <w:vAlign w:val="bottom"/>
            <w:gridSpan w:val="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280" w:type="dxa"/>
            <w:vAlign w:val="bottom"/>
            <w:vMerge w:val="restart"/>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340" w:type="dxa"/>
            <w:vAlign w:val="bottom"/>
          </w:tcPr>
          <w:p>
            <w:pPr>
              <w:jc w:val="right"/>
              <w:ind w:right="33"/>
              <w:spacing w:after="0" w:line="129" w:lineRule="exact"/>
              <w:rPr>
                <w:sz w:val="20"/>
                <w:szCs w:val="20"/>
                <w:color w:val="auto"/>
              </w:rPr>
            </w:pPr>
            <w:r>
              <w:rPr>
                <w:rFonts w:ascii="Times New Roman" w:cs="Times New Roman" w:eastAsia="Times New Roman" w:hAnsi="Times New Roman"/>
                <w:sz w:val="14"/>
                <w:szCs w:val="14"/>
                <w:b w:val="1"/>
                <w:bCs w:val="1"/>
                <w:color w:val="auto"/>
              </w:rPr>
              <w:t>Medicare Subsidy</w:t>
            </w:r>
          </w:p>
        </w:tc>
        <w:tc>
          <w:tcPr>
            <w:tcW w:w="0" w:type="dxa"/>
            <w:vAlign w:val="bottom"/>
          </w:tcPr>
          <w:p>
            <w:pPr>
              <w:spacing w:after="0"/>
              <w:rPr>
                <w:sz w:val="1"/>
                <w:szCs w:val="1"/>
                <w:color w:val="auto"/>
              </w:rPr>
            </w:pPr>
          </w:p>
        </w:tc>
      </w:tr>
      <w:tr>
        <w:trPr>
          <w:trHeight w:val="112"/>
        </w:trPr>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34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Receipt</w:t>
            </w:r>
          </w:p>
        </w:tc>
        <w:tc>
          <w:tcPr>
            <w:tcW w:w="0" w:type="dxa"/>
            <w:vAlign w:val="bottom"/>
          </w:tcPr>
          <w:p>
            <w:pPr>
              <w:spacing w:after="0"/>
              <w:rPr>
                <w:sz w:val="1"/>
                <w:szCs w:val="1"/>
                <w:color w:val="auto"/>
              </w:rPr>
            </w:pPr>
          </w:p>
        </w:tc>
      </w:tr>
      <w:tr>
        <w:trPr>
          <w:trHeight w:val="78"/>
        </w:trPr>
        <w:tc>
          <w:tcPr>
            <w:tcW w:w="3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4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20" w:type="dxa"/>
            <w:vAlign w:val="bottom"/>
            <w:gridSpan w:val="5"/>
          </w:tcPr>
          <w:p>
            <w:pPr>
              <w:jc w:val="right"/>
              <w:ind w:right="874"/>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9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Contributions expected in 2021</w:t>
            </w:r>
          </w:p>
        </w:tc>
        <w:tc>
          <w:tcPr>
            <w:tcW w:w="11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865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Benefit payments expected in:</w:t>
            </w: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2,434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424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1,079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426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1,105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420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1,124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418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1,142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415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4"/>
        </w:trPr>
        <w:tc>
          <w:tcPr>
            <w:tcW w:w="548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2026 - 2030</w:t>
            </w:r>
          </w:p>
        </w:tc>
        <w:tc>
          <w:tcPr>
            <w:tcW w:w="420" w:type="dxa"/>
            <w:vAlign w:val="bottom"/>
          </w:tcPr>
          <w:p>
            <w:pPr>
              <w:spacing w:after="0"/>
              <w:rPr>
                <w:sz w:val="20"/>
                <w:szCs w:val="20"/>
                <w:color w:val="auto"/>
              </w:rPr>
            </w:pPr>
          </w:p>
        </w:tc>
        <w:tc>
          <w:tcPr>
            <w:tcW w:w="11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5,971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2,058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Disclosures about Segments and Related Information</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Upstream, Downstream and Chemical functions best define the operating segments of the business that are reported separately. The factors used to identify these reportable segments are based on the nature of the operations that are undertaken by each segment. The Upstream segment is organized and operates to explore for and produce crude oil and natural gas. The Downstream segment is organized and operates to manufacture and sell petroleum products. The Chemical segment is organized and operates to manufacture and sell petrochemicals. These segments are broadly understood across the petroleum and petrochemical industries.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functions have been defined as the operating segments of the Corporation because they are the segments (1) that engage in business activities from which revenues are recognized and expenses are incurred; (2) whose operating results are regularly reviewed by the Corporation’s chief operating decision maker to make decisions about resources to be allocated to the segment and to assess its performance; and (3) for which discrete financial information is available.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after income tax include transfers at estimated market prices.</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Corporate and financing segment, interest revenue relates to interest earned on cash deposits and marketable securities. Interest expense includes non-debt-related interest expense of $148 million in 2020, $105 million in 2019 and $84 million in 2018.</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9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Upstream</w:t>
            </w:r>
          </w:p>
        </w:tc>
        <w:tc>
          <w:tcPr>
            <w:tcW w:w="186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Downstream</w:t>
            </w:r>
          </w:p>
        </w:tc>
        <w:tc>
          <w:tcPr>
            <w:tcW w:w="1740" w:type="dxa"/>
            <w:vAlign w:val="bottom"/>
            <w:gridSpan w:val="2"/>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Chemical</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90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920" w:type="dxa"/>
            <w:vAlign w:val="bottom"/>
            <w:gridSpan w:val="3"/>
            <w:vMerge w:val="continue"/>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w:t>
            </w: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40" w:type="dxa"/>
            <w:vAlign w:val="bottom"/>
          </w:tcPr>
          <w:p>
            <w:pPr>
              <w:spacing w:after="0"/>
              <w:rPr>
                <w:sz w:val="15"/>
                <w:szCs w:val="15"/>
                <w:color w:val="auto"/>
              </w:rPr>
            </w:pPr>
          </w:p>
        </w:tc>
        <w:tc>
          <w:tcPr>
            <w:tcW w:w="96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U.S.</w:t>
            </w:r>
          </w:p>
        </w:tc>
        <w:tc>
          <w:tcPr>
            <w:tcW w:w="8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20" w:type="dxa"/>
            <w:vAlign w:val="bottom"/>
          </w:tcPr>
          <w:p>
            <w:pPr>
              <w:spacing w:after="0"/>
              <w:rPr>
                <w:sz w:val="15"/>
                <w:szCs w:val="15"/>
                <w:color w:val="auto"/>
              </w:rPr>
            </w:pPr>
          </w:p>
        </w:tc>
        <w:tc>
          <w:tcPr>
            <w:tcW w:w="9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U.S.</w:t>
            </w:r>
          </w:p>
        </w:tc>
        <w:tc>
          <w:tcPr>
            <w:tcW w:w="8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U.S.</w:t>
            </w:r>
          </w:p>
        </w:tc>
        <w:tc>
          <w:tcPr>
            <w:tcW w:w="8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Non-U.S.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Financing</w:t>
            </w:r>
          </w:p>
        </w:tc>
        <w:tc>
          <w:tcPr>
            <w:tcW w:w="90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6"/>
        </w:trPr>
        <w:tc>
          <w:tcPr>
            <w:tcW w:w="3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of December 31, 2020</w:t>
            </w: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(Loss) after income tax</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(19,385)</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tcPr>
          <w:p>
            <w:pPr>
              <w:spacing w:after="0"/>
              <w:rPr>
                <w:sz w:val="19"/>
                <w:szCs w:val="19"/>
                <w:color w:val="auto"/>
              </w:rPr>
            </w:pP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(852)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1,277</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(3,296)</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(22,440)</w:t>
            </w:r>
          </w:p>
        </w:tc>
        <w:tc>
          <w:tcPr>
            <w:tcW w:w="0" w:type="dxa"/>
            <w:vAlign w:val="bottom"/>
          </w:tcPr>
          <w:p>
            <w:pPr>
              <w:spacing w:after="0"/>
              <w:rPr>
                <w:sz w:val="1"/>
                <w:szCs w:val="1"/>
                <w:color w:val="auto"/>
              </w:rPr>
            </w:pPr>
          </w:p>
        </w:tc>
      </w:tr>
      <w:tr>
        <w:trPr>
          <w:trHeight w:val="216"/>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Effect of asset impairments - noncash</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(17,138)</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(2,287)</w:t>
            </w:r>
          </w:p>
        </w:tc>
        <w:tc>
          <w:tcPr>
            <w:tcW w:w="12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(15)</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(609)</w:t>
            </w:r>
          </w:p>
        </w:tc>
        <w:tc>
          <w:tcPr>
            <w:tcW w:w="10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(100)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(69)</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(35)</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(20,253)</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of equity companies included above</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(559)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134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other operating revenue</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5,876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8,673</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48,256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92,640</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8,529</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14,562</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178,574</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revenue</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8,508</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19,642</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12,258</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15,162</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6,099</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3,881</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221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depletion expense</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28,627</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12,723</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716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685</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892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46,009</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revenue</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991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(5,958)</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2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(324)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440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(1,197)</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(5,632)</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5,726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2,983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1,221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671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17,342</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equity companies</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4,792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18,135</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352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2,543</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3,514</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29,772</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71,287</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144,730</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23,754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34,848</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17,839</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20,220</w:t>
            </w:r>
          </w:p>
        </w:tc>
        <w:tc>
          <w:tcPr>
            <w:tcW w:w="1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20,072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332,750</w:t>
            </w:r>
          </w:p>
        </w:tc>
        <w:tc>
          <w:tcPr>
            <w:tcW w:w="0" w:type="dxa"/>
            <w:vAlign w:val="bottom"/>
          </w:tcPr>
          <w:p>
            <w:pPr>
              <w:spacing w:after="0"/>
              <w:rPr>
                <w:sz w:val="1"/>
                <w:szCs w:val="1"/>
                <w:color w:val="auto"/>
              </w:rPr>
            </w:pPr>
          </w:p>
        </w:tc>
      </w:tr>
      <w:tr>
        <w:trPr>
          <w:trHeight w:val="45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of December 31, 2019</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after income tax</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536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13,906</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1,717</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206</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(3,017)</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14,340</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of equity companies included above</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282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4,534</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196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5,441</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other operating revenue</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9,364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13,779</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70,523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134,460</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9,723</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17,693</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255,583</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revenue</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10,893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30,864</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22,416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24,775</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7,864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5,905</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224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depletion expense</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6,162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9,305</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674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555</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849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18,998</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revenue</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731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5,509</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465</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58</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(1,265)</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5,282</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10,404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7,347</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2,685</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1,344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758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24,904</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equity companies</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5,313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17,736</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319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1,835</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3,335</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(309)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29,291</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95,750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151,181</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23,442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37,133</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16,544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20,376</w:t>
            </w:r>
          </w:p>
        </w:tc>
        <w:tc>
          <w:tcPr>
            <w:tcW w:w="1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18,171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362,597</w:t>
            </w:r>
          </w:p>
        </w:tc>
        <w:tc>
          <w:tcPr>
            <w:tcW w:w="0" w:type="dxa"/>
            <w:vAlign w:val="bottom"/>
          </w:tcPr>
          <w:p>
            <w:pPr>
              <w:spacing w:after="0"/>
              <w:rPr>
                <w:sz w:val="1"/>
                <w:szCs w:val="1"/>
                <w:color w:val="auto"/>
              </w:rPr>
            </w:pPr>
          </w:p>
        </w:tc>
      </w:tr>
      <w:tr>
        <w:trPr>
          <w:trHeight w:val="45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of December 31, 2018</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after income tax</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1,739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12,340</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2,962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1,642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(2,600)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20,840</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of equity companies included above</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608</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5,816</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156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48</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(380)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7,355</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other operating revenue</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10,359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15,158</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74,327</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147,007</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12,239</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20,204</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279,332</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revenue</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8,683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29,659</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21,954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29,888</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9,044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7,217</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205</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depletion expense</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6,024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9,257</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684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405</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879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18,745</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revenue</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77</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643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8,149</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946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566</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(1,486)</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9,532</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7,119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7,974</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1,152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1,146</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717</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20,051</w:t>
            </w: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equity companies</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4,566</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16,337</w:t>
            </w:r>
          </w:p>
        </w:tc>
        <w:tc>
          <w:tcPr>
            <w:tcW w:w="12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293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100" w:type="dxa"/>
            <w:vAlign w:val="bottom"/>
          </w:tcPr>
          <w:p>
            <w:pPr>
              <w:spacing w:after="0"/>
              <w:rPr>
                <w:sz w:val="18"/>
                <w:szCs w:val="18"/>
                <w:color w:val="auto"/>
              </w:rPr>
            </w:pPr>
          </w:p>
        </w:tc>
        <w:tc>
          <w:tcPr>
            <w:tcW w:w="9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870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3,431</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(277)</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26,382</w:t>
            </w:r>
          </w:p>
        </w:tc>
        <w:tc>
          <w:tcPr>
            <w:tcW w:w="0" w:type="dxa"/>
            <w:vAlign w:val="bottom"/>
          </w:tcPr>
          <w:p>
            <w:pPr>
              <w:spacing w:after="0"/>
              <w:rPr>
                <w:sz w:val="1"/>
                <w:szCs w:val="1"/>
                <w:color w:val="auto"/>
              </w:rPr>
            </w:pPr>
          </w:p>
        </w:tc>
      </w:tr>
      <w:tr>
        <w:trPr>
          <w:trHeight w:val="219"/>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90,310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148,914</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17,898</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34,024</w:t>
            </w: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14,904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21,131</w:t>
            </w:r>
          </w:p>
        </w:tc>
        <w:tc>
          <w:tcPr>
            <w:tcW w:w="1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19,015</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346,196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0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743"/>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Geographic</w:t>
            </w: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7"/>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Sales and other operating revenue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6"/>
        </w:trPr>
        <w:tc>
          <w:tcPr>
            <w:tcW w:w="7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jc w:val="right"/>
              <w:ind w:right="153"/>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880" w:type="dxa"/>
            <w:vAlign w:val="bottom"/>
          </w:tcPr>
          <w:p>
            <w:pPr>
              <w:spacing w:after="0"/>
              <w:rPr>
                <w:sz w:val="16"/>
                <w:szCs w:val="16"/>
                <w:color w:val="auto"/>
              </w:rPr>
            </w:pPr>
          </w:p>
        </w:tc>
      </w:tr>
      <w:tr>
        <w:trPr>
          <w:trHeight w:val="262"/>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62,663</w:t>
            </w: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89,612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96,930</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115,911</w:t>
            </w:r>
          </w:p>
        </w:tc>
        <w:tc>
          <w:tcPr>
            <w:tcW w:w="14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165,971</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182,402</w:t>
            </w:r>
          </w:p>
        </w:tc>
      </w:tr>
      <w:tr>
        <w:trPr>
          <w:trHeight w:val="223"/>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178,574</w:t>
            </w:r>
          </w:p>
        </w:tc>
        <w:tc>
          <w:tcPr>
            <w:tcW w:w="14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255,583</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279,332</w:t>
            </w:r>
          </w:p>
        </w:tc>
      </w:tr>
      <w:tr>
        <w:trPr>
          <w:trHeight w:val="47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Significant non-U.S. revenue sources include: </w:t>
            </w:r>
            <w:r>
              <w:rPr>
                <w:rFonts w:ascii="Times New Roman" w:cs="Times New Roman" w:eastAsia="Times New Roman" w:hAnsi="Times New Roman"/>
                <w:sz w:val="14"/>
                <w:szCs w:val="14"/>
                <w:i w:val="1"/>
                <w:iCs w:val="1"/>
                <w:color w:val="auto"/>
              </w:rPr>
              <w:t>(1)</w:t>
            </w: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9"/>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13,093</w:t>
            </w: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19,735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22,672</w:t>
            </w: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Kingdom</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11,055</w:t>
            </w: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17,479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18,702</w:t>
            </w:r>
          </w:p>
        </w:tc>
      </w:tr>
      <w:tr>
        <w:trPr>
          <w:trHeight w:val="229"/>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Singapore</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9,442</w:t>
            </w: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12,128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13,689</w:t>
            </w:r>
          </w:p>
        </w:tc>
      </w:tr>
      <w:tr>
        <w:trPr>
          <w:trHeight w:val="229"/>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France</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8,676</w:t>
            </w: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12,740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13,637</w:t>
            </w: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Italy</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7,091</w:t>
            </w: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10,459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13,396</w:t>
            </w:r>
          </w:p>
        </w:tc>
      </w:tr>
      <w:tr>
        <w:trPr>
          <w:trHeight w:val="229"/>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Belgium</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6,231</w:t>
            </w: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11,644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15,664</w:t>
            </w:r>
          </w:p>
        </w:tc>
      </w:tr>
      <w:tr>
        <w:trPr>
          <w:trHeight w:val="234"/>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Australia</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5,839</w:t>
            </w:r>
          </w:p>
        </w:tc>
        <w:tc>
          <w:tcPr>
            <w:tcW w:w="14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7,941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w:t>
            </w:r>
          </w:p>
        </w:tc>
      </w:tr>
    </w:tbl>
    <w:p>
      <w:pPr>
        <w:spacing w:after="0" w:line="169" w:lineRule="exact"/>
        <w:rPr>
          <w:sz w:val="20"/>
          <w:szCs w:val="20"/>
          <w:color w:val="auto"/>
        </w:rPr>
      </w:pPr>
    </w:p>
    <w:p>
      <w:pPr>
        <w:ind w:left="260" w:right="20" w:hanging="252"/>
        <w:spacing w:after="0" w:line="284" w:lineRule="auto"/>
        <w:tabs>
          <w:tab w:leader="none" w:pos="254"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Revenue is determined by primary country of operations. Excludes certain sales and other operating revenues in Non-U.S. operations where attribution to a specific country is not practicable.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39"/>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6"/>
        </w:trPr>
        <w:tc>
          <w:tcPr>
            <w:tcW w:w="7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880" w:type="dxa"/>
            <w:vAlign w:val="bottom"/>
          </w:tcPr>
          <w:p>
            <w:pPr>
              <w:spacing w:after="0"/>
              <w:rPr>
                <w:sz w:val="16"/>
                <w:szCs w:val="16"/>
                <w:color w:val="auto"/>
              </w:rPr>
            </w:pPr>
          </w:p>
        </w:tc>
      </w:tr>
      <w:tr>
        <w:trPr>
          <w:trHeight w:val="262"/>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94,732</w:t>
            </w:r>
          </w:p>
        </w:tc>
        <w:tc>
          <w:tcPr>
            <w:tcW w:w="14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114,372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108,147</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132,821</w:t>
            </w:r>
          </w:p>
        </w:tc>
        <w:tc>
          <w:tcPr>
            <w:tcW w:w="1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color w:val="auto"/>
              </w:rPr>
              <w:t>138,646</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138,954</w:t>
            </w:r>
          </w:p>
        </w:tc>
      </w:tr>
      <w:tr>
        <w:trPr>
          <w:trHeight w:val="223"/>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227,553</w:t>
            </w:r>
          </w:p>
        </w:tc>
        <w:tc>
          <w:tcPr>
            <w:tcW w:w="1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color w:val="auto"/>
              </w:rPr>
              <w:t>253,018</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247,101</w:t>
            </w:r>
          </w:p>
        </w:tc>
      </w:tr>
      <w:tr>
        <w:trPr>
          <w:trHeight w:val="475"/>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 non-U.S. long-lived assets include:</w:t>
            </w: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36,232</w:t>
            </w:r>
          </w:p>
        </w:tc>
        <w:tc>
          <w:tcPr>
            <w:tcW w:w="14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39,130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37,433</w:t>
            </w: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Australia</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14,792</w:t>
            </w:r>
          </w:p>
        </w:tc>
        <w:tc>
          <w:tcPr>
            <w:tcW w:w="14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13,933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14,548</w:t>
            </w: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Singapore</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12,129</w:t>
            </w:r>
          </w:p>
        </w:tc>
        <w:tc>
          <w:tcPr>
            <w:tcW w:w="14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11,645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w:t>
            </w:r>
          </w:p>
        </w:tc>
      </w:tr>
      <w:tr>
        <w:trPr>
          <w:trHeight w:val="229"/>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Kazakhstan</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8,882</w:t>
            </w:r>
          </w:p>
        </w:tc>
        <w:tc>
          <w:tcPr>
            <w:tcW w:w="14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9,315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9,726</w:t>
            </w: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Papua New Guinea</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7,803</w:t>
            </w:r>
          </w:p>
        </w:tc>
        <w:tc>
          <w:tcPr>
            <w:tcW w:w="14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8,057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8,269</w:t>
            </w: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Nigeria</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6,345</w:t>
            </w:r>
          </w:p>
        </w:tc>
        <w:tc>
          <w:tcPr>
            <w:tcW w:w="14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7,640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w:t>
            </w: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Arab Emirates</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5,381</w:t>
            </w:r>
          </w:p>
        </w:tc>
        <w:tc>
          <w:tcPr>
            <w:tcW w:w="14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5,262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w:t>
            </w:r>
          </w:p>
        </w:tc>
      </w:tr>
      <w:tr>
        <w:trPr>
          <w:trHeight w:val="229"/>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Russia</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4,616</w:t>
            </w:r>
          </w:p>
        </w:tc>
        <w:tc>
          <w:tcPr>
            <w:tcW w:w="14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5,135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5,456</w:t>
            </w:r>
          </w:p>
        </w:tc>
      </w:tr>
      <w:tr>
        <w:trPr>
          <w:trHeight w:val="234"/>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Angola</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4,405</w:t>
            </w:r>
          </w:p>
        </w:tc>
        <w:tc>
          <w:tcPr>
            <w:tcW w:w="14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5,784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Income and Other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U.S.</w:t>
            </w:r>
          </w:p>
        </w:tc>
        <w:tc>
          <w:tcPr>
            <w:tcW w:w="10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Non-U.S.</w:t>
            </w: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U.S.</w:t>
            </w:r>
          </w:p>
        </w:tc>
        <w:tc>
          <w:tcPr>
            <w:tcW w:w="11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Non-U.S.</w:t>
            </w: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U.S.</w:t>
            </w:r>
          </w:p>
        </w:tc>
        <w:tc>
          <w:tcPr>
            <w:tcW w:w="10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Non-U.S.</w:t>
            </w:r>
          </w:p>
        </w:tc>
        <w:tc>
          <w:tcPr>
            <w:tcW w:w="7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40" w:type="dxa"/>
            <w:vAlign w:val="bottom"/>
            <w:gridSpan w:val="2"/>
          </w:tcPr>
          <w:p>
            <w:pPr>
              <w:jc w:val="center"/>
              <w:ind w:left="513"/>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 and non-U.S.</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Current</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262</w:t>
            </w: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2,908</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3,170</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(121)</w:t>
            </w: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6,171</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6,050</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459</w:t>
            </w: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9,001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9,460</w:t>
            </w:r>
          </w:p>
        </w:tc>
        <w:tc>
          <w:tcPr>
            <w:tcW w:w="0" w:type="dxa"/>
            <w:vAlign w:val="bottom"/>
          </w:tcPr>
          <w:p>
            <w:pPr>
              <w:spacing w:after="0"/>
              <w:rPr>
                <w:sz w:val="1"/>
                <w:szCs w:val="1"/>
                <w:color w:val="auto"/>
              </w:rPr>
            </w:pPr>
          </w:p>
        </w:tc>
      </w:tr>
      <w:tr>
        <w:trPr>
          <w:trHeight w:val="230"/>
        </w:trPr>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 net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(6,045)</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(2,007)</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(8,052)</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(255)</w:t>
            </w:r>
          </w:p>
        </w:tc>
        <w:tc>
          <w:tcPr>
            <w:tcW w:w="11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(420)</w:t>
            </w: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(675)</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518</w:t>
            </w: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(614)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4"/>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tax on non-U.S. operations</w:t>
            </w: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13</w:t>
            </w:r>
          </w:p>
        </w:tc>
        <w:tc>
          <w:tcPr>
            <w:tcW w:w="8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89</w:t>
            </w:r>
          </w:p>
        </w:tc>
        <w:tc>
          <w:tcPr>
            <w:tcW w:w="11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89</w:t>
            </w:r>
          </w:p>
        </w:tc>
        <w:tc>
          <w:tcPr>
            <w:tcW w:w="8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42</w:t>
            </w:r>
          </w:p>
        </w:tc>
        <w:tc>
          <w:tcPr>
            <w:tcW w:w="10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8"/>
        </w:trPr>
        <w:tc>
          <w:tcPr>
            <w:tcW w:w="3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federal and non-U.S.</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(5,770)</w:t>
            </w: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901</w:t>
            </w:r>
          </w:p>
        </w:tc>
        <w:tc>
          <w:tcPr>
            <w:tcW w:w="9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(4,869)</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(287)</w:t>
            </w: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5,751</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5,464</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1,019</w:t>
            </w: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8,387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9,406</w:t>
            </w:r>
          </w:p>
        </w:tc>
        <w:tc>
          <w:tcPr>
            <w:tcW w:w="0" w:type="dxa"/>
            <w:vAlign w:val="bottom"/>
          </w:tcPr>
          <w:p>
            <w:pPr>
              <w:spacing w:after="0"/>
              <w:rPr>
                <w:sz w:val="1"/>
                <w:szCs w:val="1"/>
                <w:color w:val="auto"/>
              </w:rPr>
            </w:pPr>
          </w:p>
        </w:tc>
      </w:tr>
      <w:tr>
        <w:trPr>
          <w:trHeight w:val="234"/>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(763)</w:t>
            </w:r>
          </w:p>
        </w:tc>
        <w:tc>
          <w:tcPr>
            <w:tcW w:w="10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(763)</w:t>
            </w:r>
          </w:p>
        </w:tc>
        <w:tc>
          <w:tcPr>
            <w:tcW w:w="8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(182)</w:t>
            </w:r>
          </w:p>
        </w:tc>
        <w:tc>
          <w:tcPr>
            <w:tcW w:w="11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(182)</w:t>
            </w:r>
          </w:p>
        </w:tc>
        <w:tc>
          <w:tcPr>
            <w:tcW w:w="8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126</w:t>
            </w:r>
          </w:p>
        </w:tc>
        <w:tc>
          <w:tcPr>
            <w:tcW w:w="10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69"/>
        </w:trPr>
        <w:tc>
          <w:tcPr>
            <w:tcW w:w="3000" w:type="dxa"/>
            <w:vAlign w:val="bottom"/>
          </w:tcPr>
          <w:p>
            <w:pPr>
              <w:ind w:left="680"/>
              <w:spacing w:after="0" w:line="169" w:lineRule="exact"/>
              <w:rPr>
                <w:sz w:val="20"/>
                <w:szCs w:val="20"/>
                <w:color w:val="auto"/>
              </w:rPr>
            </w:pPr>
            <w:r>
              <w:rPr>
                <w:rFonts w:ascii="Times New Roman" w:cs="Times New Roman" w:eastAsia="Times New Roman" w:hAnsi="Times New Roman"/>
                <w:sz w:val="18"/>
                <w:szCs w:val="18"/>
                <w:color w:val="auto"/>
              </w:rPr>
              <w:t>Total income tax expense</w:t>
            </w:r>
          </w:p>
        </w:tc>
        <w:tc>
          <w:tcPr>
            <w:tcW w:w="900" w:type="dxa"/>
            <w:vAlign w:val="bottom"/>
          </w:tcPr>
          <w:p>
            <w:pPr>
              <w:jc w:val="right"/>
              <w:ind w:right="32"/>
              <w:spacing w:after="0" w:line="169" w:lineRule="exact"/>
              <w:rPr>
                <w:sz w:val="20"/>
                <w:szCs w:val="20"/>
                <w:color w:val="auto"/>
              </w:rPr>
            </w:pPr>
            <w:r>
              <w:rPr>
                <w:rFonts w:ascii="Times New Roman" w:cs="Times New Roman" w:eastAsia="Times New Roman" w:hAnsi="Times New Roman"/>
                <w:sz w:val="18"/>
                <w:szCs w:val="18"/>
                <w:color w:val="auto"/>
              </w:rPr>
              <w:t>(6,533)</w:t>
            </w:r>
          </w:p>
        </w:tc>
        <w:tc>
          <w:tcPr>
            <w:tcW w:w="1000" w:type="dxa"/>
            <w:vAlign w:val="bottom"/>
          </w:tcPr>
          <w:p>
            <w:pPr>
              <w:jc w:val="right"/>
              <w:ind w:right="153"/>
              <w:spacing w:after="0" w:line="169" w:lineRule="exact"/>
              <w:rPr>
                <w:sz w:val="20"/>
                <w:szCs w:val="20"/>
                <w:color w:val="auto"/>
              </w:rPr>
            </w:pPr>
            <w:r>
              <w:rPr>
                <w:rFonts w:ascii="Times New Roman" w:cs="Times New Roman" w:eastAsia="Times New Roman" w:hAnsi="Times New Roman"/>
                <w:sz w:val="18"/>
                <w:szCs w:val="18"/>
                <w:color w:val="auto"/>
              </w:rPr>
              <w:t>901</w:t>
            </w:r>
          </w:p>
        </w:tc>
        <w:tc>
          <w:tcPr>
            <w:tcW w:w="940" w:type="dxa"/>
            <w:vAlign w:val="bottom"/>
          </w:tcPr>
          <w:p>
            <w:pPr>
              <w:jc w:val="right"/>
              <w:ind w:right="112"/>
              <w:spacing w:after="0" w:line="169" w:lineRule="exact"/>
              <w:rPr>
                <w:sz w:val="20"/>
                <w:szCs w:val="20"/>
                <w:color w:val="auto"/>
              </w:rPr>
            </w:pPr>
            <w:r>
              <w:rPr>
                <w:rFonts w:ascii="Times New Roman" w:cs="Times New Roman" w:eastAsia="Times New Roman" w:hAnsi="Times New Roman"/>
                <w:sz w:val="18"/>
                <w:szCs w:val="18"/>
                <w:color w:val="auto"/>
              </w:rPr>
              <w:t>(5,632)</w:t>
            </w:r>
          </w:p>
        </w:tc>
        <w:tc>
          <w:tcPr>
            <w:tcW w:w="840" w:type="dxa"/>
            <w:vAlign w:val="bottom"/>
          </w:tcPr>
          <w:p>
            <w:pPr>
              <w:jc w:val="right"/>
              <w:ind w:right="33"/>
              <w:spacing w:after="0" w:line="169" w:lineRule="exact"/>
              <w:rPr>
                <w:sz w:val="20"/>
                <w:szCs w:val="20"/>
                <w:color w:val="auto"/>
              </w:rPr>
            </w:pPr>
            <w:r>
              <w:rPr>
                <w:rFonts w:ascii="Times New Roman" w:cs="Times New Roman" w:eastAsia="Times New Roman" w:hAnsi="Times New Roman"/>
                <w:sz w:val="18"/>
                <w:szCs w:val="18"/>
                <w:color w:val="auto"/>
              </w:rPr>
              <w:t>(469)</w:t>
            </w:r>
          </w:p>
        </w:tc>
        <w:tc>
          <w:tcPr>
            <w:tcW w:w="1100" w:type="dxa"/>
            <w:vAlign w:val="bottom"/>
          </w:tcPr>
          <w:p>
            <w:pPr>
              <w:jc w:val="right"/>
              <w:ind w:right="253"/>
              <w:spacing w:after="0" w:line="169" w:lineRule="exact"/>
              <w:rPr>
                <w:sz w:val="20"/>
                <w:szCs w:val="20"/>
                <w:color w:val="auto"/>
              </w:rPr>
            </w:pPr>
            <w:r>
              <w:rPr>
                <w:rFonts w:ascii="Times New Roman" w:cs="Times New Roman" w:eastAsia="Times New Roman" w:hAnsi="Times New Roman"/>
                <w:sz w:val="18"/>
                <w:szCs w:val="18"/>
                <w:color w:val="auto"/>
              </w:rPr>
              <w:t>5,751</w:t>
            </w:r>
          </w:p>
        </w:tc>
        <w:tc>
          <w:tcPr>
            <w:tcW w:w="840" w:type="dxa"/>
            <w:vAlign w:val="bottom"/>
          </w:tcPr>
          <w:p>
            <w:pPr>
              <w:jc w:val="right"/>
              <w:ind w:right="152"/>
              <w:spacing w:after="0" w:line="169" w:lineRule="exact"/>
              <w:rPr>
                <w:sz w:val="20"/>
                <w:szCs w:val="20"/>
                <w:color w:val="auto"/>
              </w:rPr>
            </w:pPr>
            <w:r>
              <w:rPr>
                <w:rFonts w:ascii="Times New Roman" w:cs="Times New Roman" w:eastAsia="Times New Roman" w:hAnsi="Times New Roman"/>
                <w:sz w:val="18"/>
                <w:szCs w:val="18"/>
                <w:color w:val="auto"/>
              </w:rPr>
              <w:t>5,282</w:t>
            </w:r>
          </w:p>
        </w:tc>
        <w:tc>
          <w:tcPr>
            <w:tcW w:w="840" w:type="dxa"/>
            <w:vAlign w:val="bottom"/>
          </w:tcPr>
          <w:p>
            <w:pPr>
              <w:jc w:val="right"/>
              <w:ind w:right="72"/>
              <w:spacing w:after="0" w:line="169" w:lineRule="exact"/>
              <w:rPr>
                <w:sz w:val="20"/>
                <w:szCs w:val="20"/>
                <w:color w:val="auto"/>
              </w:rPr>
            </w:pPr>
            <w:r>
              <w:rPr>
                <w:rFonts w:ascii="Times New Roman" w:cs="Times New Roman" w:eastAsia="Times New Roman" w:hAnsi="Times New Roman"/>
                <w:sz w:val="18"/>
                <w:szCs w:val="18"/>
                <w:color w:val="auto"/>
              </w:rPr>
              <w:t>1,145</w:t>
            </w:r>
          </w:p>
        </w:tc>
        <w:tc>
          <w:tcPr>
            <w:tcW w:w="1020" w:type="dxa"/>
            <w:vAlign w:val="bottom"/>
          </w:tcPr>
          <w:p>
            <w:pPr>
              <w:jc w:val="right"/>
              <w:ind w:right="153"/>
              <w:spacing w:after="0" w:line="169" w:lineRule="exact"/>
              <w:rPr>
                <w:sz w:val="20"/>
                <w:szCs w:val="20"/>
                <w:color w:val="auto"/>
              </w:rPr>
            </w:pPr>
            <w:r>
              <w:rPr>
                <w:rFonts w:ascii="Times New Roman" w:cs="Times New Roman" w:eastAsia="Times New Roman" w:hAnsi="Times New Roman"/>
                <w:sz w:val="18"/>
                <w:szCs w:val="18"/>
                <w:color w:val="auto"/>
              </w:rPr>
              <w:t>8,387</w:t>
            </w:r>
          </w:p>
        </w:tc>
        <w:tc>
          <w:tcPr>
            <w:tcW w:w="76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9,532</w:t>
            </w:r>
          </w:p>
        </w:tc>
        <w:tc>
          <w:tcPr>
            <w:tcW w:w="0" w:type="dxa"/>
            <w:vAlign w:val="bottom"/>
          </w:tcPr>
          <w:p>
            <w:pPr>
              <w:spacing w:after="0"/>
              <w:rPr>
                <w:sz w:val="1"/>
                <w:szCs w:val="1"/>
                <w:color w:val="auto"/>
              </w:rPr>
            </w:pPr>
          </w:p>
        </w:tc>
      </w:tr>
      <w:tr>
        <w:trPr>
          <w:trHeight w:val="211"/>
        </w:trPr>
        <w:tc>
          <w:tcPr>
            <w:tcW w:w="3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(benefit)</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taxes and duties</w:t>
            </w: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taxes and duties</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3,108</w:t>
            </w: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23,014</w:t>
            </w:r>
          </w:p>
        </w:tc>
        <w:tc>
          <w:tcPr>
            <w:tcW w:w="9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26,122</w:t>
            </w: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3,566</w:t>
            </w:r>
          </w:p>
        </w:tc>
        <w:tc>
          <w:tcPr>
            <w:tcW w:w="11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26,959</w:t>
            </w:r>
          </w:p>
        </w:tc>
        <w:tc>
          <w:tcPr>
            <w:tcW w:w="8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30,525</w:t>
            </w: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3,498</w:t>
            </w:r>
          </w:p>
        </w:tc>
        <w:tc>
          <w:tcPr>
            <w:tcW w:w="10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29,165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32,663</w:t>
            </w:r>
          </w:p>
        </w:tc>
        <w:tc>
          <w:tcPr>
            <w:tcW w:w="0" w:type="dxa"/>
            <w:vAlign w:val="bottom"/>
          </w:tcPr>
          <w:p>
            <w:pPr>
              <w:spacing w:after="0"/>
              <w:rPr>
                <w:sz w:val="1"/>
                <w:szCs w:val="1"/>
                <w:color w:val="auto"/>
              </w:rPr>
            </w:pPr>
          </w:p>
        </w:tc>
      </w:tr>
      <w:tr>
        <w:trPr>
          <w:trHeight w:val="180"/>
        </w:trPr>
        <w:tc>
          <w:tcPr>
            <w:tcW w:w="300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Included in production</w:t>
            </w:r>
          </w:p>
        </w:tc>
        <w:tc>
          <w:tcPr>
            <w:tcW w:w="90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rPr>
              <w:t>1,148</w:t>
            </w:r>
          </w:p>
        </w:tc>
        <w:tc>
          <w:tcPr>
            <w:tcW w:w="1000" w:type="dxa"/>
            <w:vAlign w:val="bottom"/>
            <w:vMerge w:val="restart"/>
          </w:tcPr>
          <w:p>
            <w:pPr>
              <w:jc w:val="right"/>
              <w:ind w:right="153"/>
              <w:spacing w:after="0"/>
              <w:rPr>
                <w:sz w:val="20"/>
                <w:szCs w:val="20"/>
                <w:color w:val="auto"/>
              </w:rPr>
            </w:pPr>
            <w:r>
              <w:rPr>
                <w:rFonts w:ascii="Times New Roman" w:cs="Times New Roman" w:eastAsia="Times New Roman" w:hAnsi="Times New Roman"/>
                <w:sz w:val="18"/>
                <w:szCs w:val="18"/>
                <w:color w:val="auto"/>
              </w:rPr>
              <w:t>663</w:t>
            </w:r>
          </w:p>
        </w:tc>
        <w:tc>
          <w:tcPr>
            <w:tcW w:w="94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color w:val="auto"/>
              </w:rPr>
              <w:t>1,811</w:t>
            </w:r>
          </w:p>
        </w:tc>
        <w:tc>
          <w:tcPr>
            <w:tcW w:w="840" w:type="dxa"/>
            <w:vAlign w:val="bottom"/>
            <w:vMerge w:val="restart"/>
          </w:tcPr>
          <w:p>
            <w:pPr>
              <w:jc w:val="right"/>
              <w:ind w:right="73"/>
              <w:spacing w:after="0"/>
              <w:rPr>
                <w:sz w:val="20"/>
                <w:szCs w:val="20"/>
                <w:color w:val="auto"/>
              </w:rPr>
            </w:pPr>
            <w:r>
              <w:rPr>
                <w:rFonts w:ascii="Times New Roman" w:cs="Times New Roman" w:eastAsia="Times New Roman" w:hAnsi="Times New Roman"/>
                <w:sz w:val="18"/>
                <w:szCs w:val="18"/>
                <w:color w:val="auto"/>
              </w:rPr>
              <w:t>1,385</w:t>
            </w:r>
          </w:p>
        </w:tc>
        <w:tc>
          <w:tcPr>
            <w:tcW w:w="1100" w:type="dxa"/>
            <w:vAlign w:val="bottom"/>
            <w:vMerge w:val="restart"/>
          </w:tcPr>
          <w:p>
            <w:pPr>
              <w:jc w:val="right"/>
              <w:ind w:right="253"/>
              <w:spacing w:after="0"/>
              <w:rPr>
                <w:sz w:val="20"/>
                <w:szCs w:val="20"/>
                <w:color w:val="auto"/>
              </w:rPr>
            </w:pPr>
            <w:r>
              <w:rPr>
                <w:rFonts w:ascii="Times New Roman" w:cs="Times New Roman" w:eastAsia="Times New Roman" w:hAnsi="Times New Roman"/>
                <w:sz w:val="18"/>
                <w:szCs w:val="18"/>
                <w:color w:val="auto"/>
              </w:rPr>
              <w:t>811</w:t>
            </w:r>
          </w:p>
        </w:tc>
        <w:tc>
          <w:tcPr>
            <w:tcW w:w="84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color w:val="auto"/>
              </w:rPr>
              <w:t>2,196</w:t>
            </w:r>
          </w:p>
        </w:tc>
        <w:tc>
          <w:tcPr>
            <w:tcW w:w="84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color w:val="auto"/>
              </w:rPr>
              <w:t>1,245</w:t>
            </w:r>
          </w:p>
        </w:tc>
        <w:tc>
          <w:tcPr>
            <w:tcW w:w="1020" w:type="dxa"/>
            <w:vAlign w:val="bottom"/>
            <w:vMerge w:val="restart"/>
          </w:tcPr>
          <w:p>
            <w:pPr>
              <w:jc w:val="right"/>
              <w:ind w:right="153"/>
              <w:spacing w:after="0"/>
              <w:rPr>
                <w:sz w:val="20"/>
                <w:szCs w:val="20"/>
                <w:color w:val="auto"/>
              </w:rPr>
            </w:pPr>
            <w:r>
              <w:rPr>
                <w:rFonts w:ascii="Times New Roman" w:cs="Times New Roman" w:eastAsia="Times New Roman" w:hAnsi="Times New Roman"/>
                <w:sz w:val="18"/>
                <w:szCs w:val="18"/>
                <w:color w:val="auto"/>
              </w:rPr>
              <w:t>857</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0" w:type="dxa"/>
            <w:vAlign w:val="bottom"/>
          </w:tcPr>
          <w:p>
            <w:pPr>
              <w:spacing w:after="0"/>
              <w:rPr>
                <w:sz w:val="1"/>
                <w:szCs w:val="1"/>
                <w:color w:val="auto"/>
              </w:rPr>
            </w:pPr>
          </w:p>
        </w:tc>
      </w:tr>
      <w:tr>
        <w:trPr>
          <w:trHeight w:val="225"/>
        </w:trPr>
        <w:tc>
          <w:tcPr>
            <w:tcW w:w="3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and manufacturing expenses</w:t>
            </w:r>
          </w:p>
        </w:tc>
        <w:tc>
          <w:tcPr>
            <w:tcW w:w="9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Included in SG&amp;A expenses</w:t>
            </w: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164</w:t>
            </w:r>
          </w:p>
        </w:tc>
        <w:tc>
          <w:tcPr>
            <w:tcW w:w="10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328</w:t>
            </w:r>
          </w:p>
        </w:tc>
        <w:tc>
          <w:tcPr>
            <w:tcW w:w="9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492</w:t>
            </w:r>
          </w:p>
        </w:tc>
        <w:tc>
          <w:tcPr>
            <w:tcW w:w="8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160</w:t>
            </w:r>
          </w:p>
        </w:tc>
        <w:tc>
          <w:tcPr>
            <w:tcW w:w="11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305</w:t>
            </w: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465</w:t>
            </w:r>
          </w:p>
        </w:tc>
        <w:tc>
          <w:tcPr>
            <w:tcW w:w="8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153</w:t>
            </w:r>
          </w:p>
        </w:tc>
        <w:tc>
          <w:tcPr>
            <w:tcW w:w="10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312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23"/>
        </w:trPr>
        <w:tc>
          <w:tcPr>
            <w:tcW w:w="3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other taxes and duties</w:t>
            </w: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4,420</w:t>
            </w:r>
          </w:p>
        </w:tc>
        <w:tc>
          <w:tcPr>
            <w:tcW w:w="10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24,005</w:t>
            </w:r>
          </w:p>
        </w:tc>
        <w:tc>
          <w:tcPr>
            <w:tcW w:w="9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28,425</w:t>
            </w:r>
          </w:p>
        </w:tc>
        <w:tc>
          <w:tcPr>
            <w:tcW w:w="8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5,111</w:t>
            </w:r>
          </w:p>
        </w:tc>
        <w:tc>
          <w:tcPr>
            <w:tcW w:w="11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28,075</w:t>
            </w: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33,186</w:t>
            </w:r>
          </w:p>
        </w:tc>
        <w:tc>
          <w:tcPr>
            <w:tcW w:w="8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4,896</w:t>
            </w:r>
          </w:p>
        </w:tc>
        <w:tc>
          <w:tcPr>
            <w:tcW w:w="10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30,334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35,230</w:t>
            </w:r>
          </w:p>
        </w:tc>
        <w:tc>
          <w:tcPr>
            <w:tcW w:w="0" w:type="dxa"/>
            <w:vAlign w:val="bottom"/>
          </w:tcPr>
          <w:p>
            <w:pPr>
              <w:spacing w:after="0"/>
              <w:rPr>
                <w:sz w:val="1"/>
                <w:szCs w:val="1"/>
                <w:color w:val="auto"/>
              </w:rPr>
            </w:pPr>
          </w:p>
        </w:tc>
      </w:tr>
      <w:tr>
        <w:trPr>
          <w:trHeight w:val="223"/>
        </w:trPr>
        <w:tc>
          <w:tcPr>
            <w:tcW w:w="30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(2,113)</w:t>
            </w:r>
          </w:p>
        </w:tc>
        <w:tc>
          <w:tcPr>
            <w:tcW w:w="10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24,906</w:t>
            </w:r>
          </w:p>
        </w:tc>
        <w:tc>
          <w:tcPr>
            <w:tcW w:w="9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22,793</w:t>
            </w:r>
          </w:p>
        </w:tc>
        <w:tc>
          <w:tcPr>
            <w:tcW w:w="8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4,642</w:t>
            </w:r>
          </w:p>
        </w:tc>
        <w:tc>
          <w:tcPr>
            <w:tcW w:w="11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33,826</w:t>
            </w: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38,468</w:t>
            </w:r>
          </w:p>
        </w:tc>
        <w:tc>
          <w:tcPr>
            <w:tcW w:w="8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6,041</w:t>
            </w:r>
          </w:p>
        </w:tc>
        <w:tc>
          <w:tcPr>
            <w:tcW w:w="10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38,721</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44,762</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above provisions for deferred income taxes include net benefits of $25 million in 2020, $740 million in 2019, and $289 million in 2018 related to changes in tax laws and rates, and a benefit of $6.3 billion in 2020 related to asset impairments.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reconciliation between income tax expense (credit) and a theoretical U.S. tax computed by applying a rate of 21 percent for 2020, 2019 and 2018 is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66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880" w:type="dxa"/>
            <w:vAlign w:val="bottom"/>
          </w:tcPr>
          <w:p>
            <w:pPr>
              <w:jc w:val="right"/>
              <w:ind w:right="492"/>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160" w:type="dxa"/>
            <w:vAlign w:val="bottom"/>
          </w:tcPr>
          <w:p>
            <w:pPr>
              <w:spacing w:after="0"/>
              <w:rPr>
                <w:sz w:val="16"/>
                <w:szCs w:val="16"/>
                <w:color w:val="auto"/>
              </w:rPr>
            </w:pPr>
          </w:p>
        </w:tc>
      </w:tr>
      <w:tr>
        <w:trPr>
          <w:trHeight w:val="262"/>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6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(27,704)</w:t>
            </w:r>
          </w:p>
        </w:tc>
        <w:tc>
          <w:tcPr>
            <w:tcW w:w="18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(53)</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5,200</w:t>
            </w:r>
          </w:p>
        </w:tc>
      </w:tr>
      <w:tr>
        <w:trPr>
          <w:trHeight w:val="234"/>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Non-U.S.</w:t>
            </w:r>
          </w:p>
        </w:tc>
        <w:tc>
          <w:tcPr>
            <w:tcW w:w="16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(1,179)</w:t>
            </w:r>
          </w:p>
        </w:tc>
        <w:tc>
          <w:tcPr>
            <w:tcW w:w="18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20,109</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25,753</w:t>
            </w:r>
          </w:p>
        </w:tc>
      </w:tr>
      <w:tr>
        <w:trPr>
          <w:trHeight w:val="223"/>
        </w:trPr>
        <w:tc>
          <w:tcPr>
            <w:tcW w:w="6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(28,883)</w:t>
            </w:r>
          </w:p>
        </w:tc>
        <w:tc>
          <w:tcPr>
            <w:tcW w:w="18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20,056</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30,953</w:t>
            </w:r>
          </w:p>
        </w:tc>
      </w:tr>
      <w:tr>
        <w:trPr>
          <w:trHeight w:val="21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Theoretical tax</w:t>
            </w:r>
          </w:p>
        </w:tc>
        <w:tc>
          <w:tcPr>
            <w:tcW w:w="16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(6,065)</w:t>
            </w:r>
          </w:p>
        </w:tc>
        <w:tc>
          <w:tcPr>
            <w:tcW w:w="188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4,212</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6,500</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equity method of accounting</w:t>
            </w:r>
          </w:p>
        </w:tc>
        <w:tc>
          <w:tcPr>
            <w:tcW w:w="16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(364)</w:t>
            </w:r>
          </w:p>
        </w:tc>
        <w:tc>
          <w:tcPr>
            <w:tcW w:w="18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(1,143)</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(1,545)</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Non-U.S. taxes in excess of/(less than) theoretical U.S. tax </w:t>
            </w:r>
            <w:r>
              <w:rPr>
                <w:rFonts w:ascii="Times New Roman" w:cs="Times New Roman" w:eastAsia="Times New Roman" w:hAnsi="Times New Roman"/>
                <w:sz w:val="14"/>
                <w:szCs w:val="14"/>
                <w:i w:val="1"/>
                <w:iCs w:val="1"/>
                <w:color w:val="auto"/>
              </w:rPr>
              <w:t>(1)(2)</w:t>
            </w:r>
          </w:p>
        </w:tc>
        <w:tc>
          <w:tcPr>
            <w:tcW w:w="16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1,606</w:t>
            </w:r>
          </w:p>
        </w:tc>
        <w:tc>
          <w:tcPr>
            <w:tcW w:w="188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2,573</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4,626</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State taxes, net of federal tax benefit </w:t>
            </w:r>
            <w:r>
              <w:rPr>
                <w:rFonts w:ascii="Times New Roman" w:cs="Times New Roman" w:eastAsia="Times New Roman" w:hAnsi="Times New Roman"/>
                <w:sz w:val="14"/>
                <w:szCs w:val="14"/>
                <w:i w:val="1"/>
                <w:iCs w:val="1"/>
                <w:color w:val="auto"/>
              </w:rPr>
              <w:t>(1)</w:t>
            </w:r>
          </w:p>
        </w:tc>
        <w:tc>
          <w:tcPr>
            <w:tcW w:w="16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(603)</w:t>
            </w:r>
          </w:p>
        </w:tc>
        <w:tc>
          <w:tcPr>
            <w:tcW w:w="18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(144)</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Enactment-date effects of U.S. tax reform</w:t>
            </w:r>
          </w:p>
        </w:tc>
        <w:tc>
          <w:tcPr>
            <w:tcW w:w="16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(291)</w:t>
            </w: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(206)</w:t>
            </w:r>
          </w:p>
        </w:tc>
        <w:tc>
          <w:tcPr>
            <w:tcW w:w="18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(216)</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142</w:t>
            </w:r>
          </w:p>
        </w:tc>
      </w:tr>
      <w:tr>
        <w:trPr>
          <w:trHeight w:val="223"/>
        </w:trPr>
        <w:tc>
          <w:tcPr>
            <w:tcW w:w="6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income tax expense (credit)</w:t>
            </w:r>
          </w:p>
        </w:tc>
        <w:tc>
          <w:tcPr>
            <w:tcW w:w="16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(5,632)</w:t>
            </w:r>
          </w:p>
        </w:tc>
        <w:tc>
          <w:tcPr>
            <w:tcW w:w="18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5,282</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9,532</w:t>
            </w:r>
          </w:p>
        </w:tc>
      </w:tr>
      <w:tr>
        <w:trPr>
          <w:trHeight w:val="46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 calculation</w:t>
            </w:r>
          </w:p>
        </w:tc>
        <w:tc>
          <w:tcPr>
            <w:tcW w:w="1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(credit)</w:t>
            </w:r>
          </w:p>
        </w:tc>
        <w:tc>
          <w:tcPr>
            <w:tcW w:w="16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(5,632)</w:t>
            </w:r>
          </w:p>
        </w:tc>
        <w:tc>
          <w:tcPr>
            <w:tcW w:w="188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5,282</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9,532</w:t>
            </w: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ExxonMobil share of equity company income taxes</w:t>
            </w:r>
          </w:p>
        </w:tc>
        <w:tc>
          <w:tcPr>
            <w:tcW w:w="16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861</w:t>
            </w:r>
          </w:p>
        </w:tc>
        <w:tc>
          <w:tcPr>
            <w:tcW w:w="18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2,490</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3,142</w:t>
            </w:r>
          </w:p>
        </w:tc>
      </w:tr>
      <w:tr>
        <w:trPr>
          <w:trHeight w:val="218"/>
        </w:trPr>
        <w:tc>
          <w:tcPr>
            <w:tcW w:w="6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income tax expense (credit)</w:t>
            </w:r>
          </w:p>
        </w:tc>
        <w:tc>
          <w:tcPr>
            <w:tcW w:w="16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(4,771)</w:t>
            </w:r>
          </w:p>
        </w:tc>
        <w:tc>
          <w:tcPr>
            <w:tcW w:w="188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7,772</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12,674</w:t>
            </w: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tc>
        <w:tc>
          <w:tcPr>
            <w:tcW w:w="16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(23,251)</w:t>
            </w:r>
          </w:p>
        </w:tc>
        <w:tc>
          <w:tcPr>
            <w:tcW w:w="18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14,774</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21,421</w:t>
            </w:r>
          </w:p>
        </w:tc>
      </w:tr>
      <w:tr>
        <w:trPr>
          <w:trHeight w:val="223"/>
        </w:trPr>
        <w:tc>
          <w:tcPr>
            <w:tcW w:w="6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income (loss) before taxes</w:t>
            </w:r>
          </w:p>
        </w:tc>
        <w:tc>
          <w:tcPr>
            <w:tcW w:w="16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(28,022)</w:t>
            </w:r>
          </w:p>
        </w:tc>
        <w:tc>
          <w:tcPr>
            <w:tcW w:w="18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color w:val="auto"/>
              </w:rPr>
              <w:t>22,546</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34,095</w:t>
            </w:r>
          </w:p>
        </w:tc>
      </w:tr>
      <w:tr>
        <w:trPr>
          <w:trHeight w:val="22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6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17 %</w:t>
            </w:r>
          </w:p>
        </w:tc>
        <w:tc>
          <w:tcPr>
            <w:tcW w:w="18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34 %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bl>
    <w:p>
      <w:pPr>
        <w:spacing w:after="0" w:line="299"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2020 includes the impact of an increase in valuation allowance of $647 million in non-U.S. and $115 million in U.S. state jurisdictions.</w:t>
      </w:r>
    </w:p>
    <w:p>
      <w:pPr>
        <w:spacing w:after="0" w:line="29" w:lineRule="exact"/>
        <w:rPr>
          <w:rFonts w:ascii="Times New Roman" w:cs="Times New Roman" w:eastAsia="Times New Roman" w:hAnsi="Times New Roman"/>
          <w:sz w:val="18"/>
          <w:szCs w:val="18"/>
          <w:i w:val="1"/>
          <w:iCs w:val="1"/>
          <w:color w:val="auto"/>
        </w:rPr>
      </w:pPr>
    </w:p>
    <w:p>
      <w:pPr>
        <w:ind w:left="340" w:hanging="332"/>
        <w:spacing w:after="0" w:line="260" w:lineRule="auto"/>
        <w:tabs>
          <w:tab w:leader="none" w:pos="334"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2019 includes taxes less than the theoretical U.S. tax of $773 million from Norway operations and the sale of upstream assets, $657 million from a tax rate change in Alberta, Canada, and $268 million from an adjustment to a prior year tax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impact of temporary differences between the amount of assets and liabilities recognized for financial reporting purposes and such amounts recognized for tax purposes.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liabilities/(assets) are comprised of the following at December 31:</w:t>
            </w:r>
          </w:p>
        </w:tc>
        <w:tc>
          <w:tcPr>
            <w:tcW w:w="21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8"/>
        </w:trPr>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Tax effects of temporary differences for:</w:t>
            </w:r>
          </w:p>
        </w:tc>
        <w:tc>
          <w:tcPr>
            <w:tcW w:w="210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6"/>
        </w:trPr>
        <w:tc>
          <w:tcPr>
            <w:tcW w:w="8400" w:type="dxa"/>
            <w:vAlign w:val="bottom"/>
          </w:tcPr>
          <w:p>
            <w:pPr>
              <w:spacing w:after="0"/>
              <w:rPr>
                <w:sz w:val="16"/>
                <w:szCs w:val="16"/>
                <w:color w:val="auto"/>
              </w:rPr>
            </w:pPr>
          </w:p>
        </w:tc>
        <w:tc>
          <w:tcPr>
            <w:tcW w:w="2100" w:type="dxa"/>
            <w:vAlign w:val="bottom"/>
          </w:tcPr>
          <w:p>
            <w:pPr>
              <w:jc w:val="right"/>
              <w:ind w:right="13"/>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740" w:type="dxa"/>
            <w:vAlign w:val="bottom"/>
          </w:tcPr>
          <w:p>
            <w:pPr>
              <w:spacing w:after="0"/>
              <w:rPr>
                <w:sz w:val="16"/>
                <w:szCs w:val="16"/>
                <w:color w:val="auto"/>
              </w:rPr>
            </w:pPr>
          </w:p>
        </w:tc>
      </w:tr>
      <w:tr>
        <w:trPr>
          <w:trHeight w:val="262"/>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10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28,778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36,029</w:t>
            </w:r>
          </w:p>
        </w:tc>
      </w:tr>
      <w:tr>
        <w:trPr>
          <w:trHeight w:val="234"/>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1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6,427</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7,653</w:t>
            </w:r>
          </w:p>
        </w:tc>
      </w:tr>
      <w:tr>
        <w:trPr>
          <w:trHeight w:val="223"/>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1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35,205</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43,682</w:t>
            </w:r>
          </w:p>
        </w:tc>
      </w:tr>
      <w:tr>
        <w:trPr>
          <w:trHeight w:val="461"/>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21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(4,703)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1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(3,150)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loss carryforwards</w:t>
            </w:r>
          </w:p>
        </w:tc>
        <w:tc>
          <w:tcPr>
            <w:tcW w:w="210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(8,982)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(7,404)</w:t>
            </w:r>
          </w:p>
        </w:tc>
      </w:tr>
      <w:tr>
        <w:trPr>
          <w:trHeight w:val="234"/>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1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rPr>
              <w:t>(7,095)</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(7,735)</w:t>
            </w:r>
          </w:p>
        </w:tc>
      </w:tr>
      <w:tr>
        <w:trPr>
          <w:trHeight w:val="223"/>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1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rPr>
              <w:t>(23,930)</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(23,254)</w:t>
            </w:r>
          </w:p>
        </w:tc>
      </w:tr>
      <w:tr>
        <w:trPr>
          <w:trHeight w:val="466"/>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valuation allowances</w:t>
            </w:r>
          </w:p>
        </w:tc>
        <w:tc>
          <w:tcPr>
            <w:tcW w:w="21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2,731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w:t>
            </w:r>
          </w:p>
        </w:tc>
      </w:tr>
      <w:tr>
        <w:trPr>
          <w:trHeight w:val="223"/>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1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14,006</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22,352</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2020, asset valuation allowances of $2,731 million increased by $807 million and included net provisions of $762 million and foreign currency effects of $41 million.</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21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6"/>
        </w:trPr>
        <w:tc>
          <w:tcPr>
            <w:tcW w:w="8400" w:type="dxa"/>
            <w:vAlign w:val="bottom"/>
          </w:tcPr>
          <w:p>
            <w:pPr>
              <w:spacing w:after="0"/>
              <w:rPr>
                <w:sz w:val="16"/>
                <w:szCs w:val="16"/>
                <w:color w:val="auto"/>
              </w:rPr>
            </w:pPr>
          </w:p>
        </w:tc>
        <w:tc>
          <w:tcPr>
            <w:tcW w:w="2140" w:type="dxa"/>
            <w:vAlign w:val="bottom"/>
          </w:tcPr>
          <w:p>
            <w:pPr>
              <w:ind w:left="84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700" w:type="dxa"/>
            <w:vAlign w:val="bottom"/>
          </w:tcPr>
          <w:p>
            <w:pPr>
              <w:spacing w:after="0"/>
              <w:rPr>
                <w:sz w:val="16"/>
                <w:szCs w:val="16"/>
                <w:color w:val="auto"/>
              </w:rPr>
            </w:pPr>
          </w:p>
        </w:tc>
      </w:tr>
      <w:tr>
        <w:trPr>
          <w:trHeight w:val="262"/>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 including intangibles, net</w:t>
            </w:r>
          </w:p>
        </w:tc>
        <w:tc>
          <w:tcPr>
            <w:tcW w:w="2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(4,159)</w:t>
            </w: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(3,268)</w:t>
            </w:r>
          </w:p>
        </w:tc>
      </w:tr>
      <w:tr>
        <w:trPr>
          <w:trHeight w:val="234"/>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1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18,165</w:t>
            </w: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25,620</w:t>
            </w:r>
          </w:p>
        </w:tc>
      </w:tr>
      <w:tr>
        <w:trPr>
          <w:trHeight w:val="223"/>
        </w:trPr>
        <w:tc>
          <w:tcPr>
            <w:tcW w:w="8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1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14,006</w:t>
            </w: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22,352</w:t>
            </w: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Corporation’s undistributed earnings from subsidiary companies outside the United States include amounts that have been retained to fund prior and future capital project expenditures. Deferred income taxes have not been recorded for potential future tax obligations, such as foreign withholding tax and state tax, as these undistributed earnings are expected to be indefinitely reinvested for the foreseeable future. As of December 31, 2020, it is not practicable to estimate the unrecognized deferred tax liability. However, unrecognized deferred taxes on remittance of these funds are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Unrecognized Tax Benefits. </w:t>
      </w:r>
      <w:r>
        <w:rPr>
          <w:rFonts w:ascii="Times New Roman" w:cs="Times New Roman" w:eastAsia="Times New Roman" w:hAnsi="Times New Roman"/>
          <w:sz w:val="18"/>
          <w:szCs w:val="18"/>
          <w:color w:val="auto"/>
        </w:rPr>
        <w:t>The Corporation is subject to income taxation in many jurisdictions around the world. Unrecognized tax benefits reflect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difference between positions taken or expected to be taken on income tax returns and the amounts recognized in the financial statements. The following table summarizes the movement in unrecognized tax benefits: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unrecognized tax benefits</w:t>
            </w:r>
          </w:p>
        </w:tc>
        <w:tc>
          <w:tcPr>
            <w:tcW w:w="1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86"/>
        </w:trPr>
        <w:tc>
          <w:tcPr>
            <w:tcW w:w="6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60" w:type="dxa"/>
            <w:vAlign w:val="bottom"/>
          </w:tcPr>
          <w:p>
            <w:pPr>
              <w:jc w:val="right"/>
              <w:ind w:right="514"/>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980" w:type="dxa"/>
            <w:vAlign w:val="bottom"/>
          </w:tcPr>
          <w:p>
            <w:pPr>
              <w:spacing w:after="0"/>
              <w:rPr>
                <w:sz w:val="16"/>
                <w:szCs w:val="16"/>
                <w:color w:val="auto"/>
              </w:rPr>
            </w:pPr>
          </w:p>
        </w:tc>
      </w:tr>
      <w:tr>
        <w:trPr>
          <w:trHeight w:val="262"/>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8,844</w:t>
            </w:r>
          </w:p>
        </w:tc>
        <w:tc>
          <w:tcPr>
            <w:tcW w:w="186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9,174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w:t>
            </w:r>
          </w:p>
        </w:tc>
      </w:tr>
      <w:tr>
        <w:trPr>
          <w:trHeight w:val="229"/>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based on current year's tax positions</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253</w:t>
            </w:r>
          </w:p>
        </w:tc>
        <w:tc>
          <w:tcPr>
            <w:tcW w:w="186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287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for prior years' tax positions</w:t>
            </w:r>
          </w:p>
        </w:tc>
        <w:tc>
          <w:tcPr>
            <w:tcW w:w="14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218</w:t>
            </w:r>
          </w:p>
        </w:tc>
        <w:tc>
          <w:tcPr>
            <w:tcW w:w="186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120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Reductions for prior years' tax positions</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w:t>
            </w:r>
          </w:p>
        </w:tc>
        <w:tc>
          <w:tcPr>
            <w:tcW w:w="186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(97)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Reductions due to lapse of the statute of limitations</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(237)</w:t>
            </w:r>
          </w:p>
        </w:tc>
        <w:tc>
          <w:tcPr>
            <w:tcW w:w="186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(279)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c>
          <w:tcPr>
            <w:tcW w:w="186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(538)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effects/other</w:t>
            </w:r>
          </w:p>
        </w:tc>
        <w:tc>
          <w:tcPr>
            <w:tcW w:w="1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8"/>
                <w:szCs w:val="18"/>
                <w:color w:val="auto"/>
              </w:rPr>
              <w:t>177</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4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8,764</w:t>
            </w:r>
          </w:p>
        </w:tc>
        <w:tc>
          <w:tcPr>
            <w:tcW w:w="18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8"/>
                <w:szCs w:val="18"/>
                <w:color w:val="auto"/>
              </w:rPr>
              <w:t>8,844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9,174</w:t>
            </w:r>
          </w:p>
        </w:tc>
      </w:tr>
    </w:tbl>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unrecognized tax benefit balances shown above are predominantly related to tax positions that would reduce the Corporation’s effective tax rate if the positions are favorably resolved. Unfavorable resolution of these tax positions generally would not increase the effective tax rate. The 2020, 2019 and 2018 changes in unrecognized tax benefits did not have a material effect on the Corporation’s net income.</w:t>
      </w:r>
    </w:p>
    <w:p>
      <w:pPr>
        <w:jc w:val="both"/>
        <w:spacing w:after="0" w:line="254" w:lineRule="auto"/>
        <w:rPr>
          <w:sz w:val="20"/>
          <w:szCs w:val="20"/>
          <w:color w:val="auto"/>
        </w:rPr>
      </w:pPr>
      <w:r>
        <w:rPr>
          <w:rFonts w:ascii="Times New Roman" w:cs="Times New Roman" w:eastAsia="Times New Roman" w:hAnsi="Times New Roman"/>
          <w:sz w:val="18"/>
          <w:szCs w:val="18"/>
          <w:color w:val="auto"/>
        </w:rPr>
        <w:t>Resolution of these tax positions through negotiations with the relevant tax authorities or through litigation will take many years to complete. It is difficult to predict the timing of resolution for tax positions since such timing is not entirely within the control of the Corporation. In the United States, the Corporation has various ongoing U.S. federal income tax positions at issue with the Internal Revenue Service (IRS) for tax years beginning in 2006. The Corporation filed a refund suit for tax years 2006-2009 in U.S. federal district court (District Court) with respect to the positions at issue for those years. These positions are reflected in the unrecognized tax benefits table above. On February 24, 2020, the Corporation received an adverse ruling on this suit. The IRS has asserted penalties associated with several of those positions. The Corporation has not recognized the penalties as an expense because the Corporation does not expect the penalties to be sustained under applicable law. On January 13, 2021, the District Court ruled that no penalties apply to the Corporation's positions in this suit. Proceedings in the District Court are continuing. Unfavorable resolution of all positions at issue with the IRS would not have a material adverse effect on the Corporation’s operations or financial condition.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reasonably possible that the total amount of unrecognized tax benefits could increase or decrease by 10 percent in the next 12 months.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tax years that remain subject to examination by major tax jurisdiction:</w:t>
      </w:r>
    </w:p>
    <w:p>
      <w:pPr>
        <w:spacing w:after="0" w:line="154" w:lineRule="exact"/>
        <w:rPr>
          <w:sz w:val="20"/>
          <w:szCs w:val="20"/>
          <w:color w:val="auto"/>
        </w:rPr>
      </w:pPr>
    </w:p>
    <w:tbl>
      <w:tblPr>
        <w:tblLayout w:type="fixed"/>
        <w:tblInd w:w="2620" w:type="dxa"/>
        <w:tblCellMar>
          <w:top w:w="0" w:type="dxa"/>
          <w:left w:w="0" w:type="dxa"/>
          <w:bottom w:w="0" w:type="dxa"/>
          <w:right w:w="0" w:type="dxa"/>
        </w:tblCellMar>
      </w:tblPr>
      <w:tr>
        <w:trPr>
          <w:trHeight w:val="245"/>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Country of Operation</w:t>
            </w:r>
          </w:p>
        </w:tc>
        <w:tc>
          <w:tcPr>
            <w:tcW w:w="2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Open Tax Years</w:t>
            </w:r>
          </w:p>
        </w:tc>
      </w:tr>
      <w:tr>
        <w:trPr>
          <w:trHeight w:val="257"/>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Abu Dhabi</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7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Angola</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7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7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7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7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Equatorial Guinea</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7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7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Iraq</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7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7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Nigeria</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7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7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Papua New Guinea</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7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Russia</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7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7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bl>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classifies interest on income tax-related balances as interest expense or interest income and classifies tax-related penalties as operating expense.</w:t>
      </w:r>
    </w:p>
    <w:p>
      <w:pPr>
        <w:jc w:val="both"/>
        <w:spacing w:after="0" w:line="266" w:lineRule="auto"/>
        <w:rPr>
          <w:sz w:val="20"/>
          <w:szCs w:val="20"/>
          <w:color w:val="auto"/>
        </w:rPr>
      </w:pPr>
      <w:r>
        <w:rPr>
          <w:rFonts w:ascii="Times New Roman" w:cs="Times New Roman" w:eastAsia="Times New Roman" w:hAnsi="Times New Roman"/>
          <w:sz w:val="18"/>
          <w:szCs w:val="18"/>
          <w:color w:val="auto"/>
        </w:rPr>
        <w:t>For 2020, the Corporation's net interest expense was a credit of $6 million on income tax reserves. The Corporation incurred $0 million and $3 million in interest expense on income tax reserves in 2019 and 2018, respectively. The related interest payable balances were $61 million and $71 million at December 31, 2020, and 2019,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Restructuring Activities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2020, ExxonMobil conducted an extensive global review of staffing levels and subsequently commenced targeted workforce reductions within a number of countries to improve efficiency and reduce costs. The programs, which are expected to be substantially completed by the end of 2021, include both voluntary and involuntary employee separations and reductions in contractors.</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2020 the Corporation recorded before-tax charges of $450 million, consisting primarily of employee separation costs, associated with announced workforce reduction programs in Europe, North America, and Australia. These costs are captured in “Selling, general and administrative expenses” on the Statement of Income and reported in the Corporate and financing segment. The Corporation estimates additional charges of up to $200 million in 2021 related to planned workforce reduction programs.</w:t>
      </w:r>
    </w:p>
    <w:p>
      <w:pPr>
        <w:spacing w:after="0" w:line="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reserves and charges related to the workforce reduction programs, which are recorded in “Accounts payable and accrued liabilities.”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Borders>
              <w:bottom w:val="single" w:sz="8" w:color="auto"/>
            </w:tcBorders>
          </w:tcPr>
          <w:p>
            <w:pPr>
              <w:spacing w:after="0"/>
              <w:rPr>
                <w:sz w:val="16"/>
                <w:szCs w:val="16"/>
                <w:color w:val="auto"/>
              </w:rPr>
            </w:pPr>
          </w:p>
        </w:tc>
        <w:tc>
          <w:tcPr>
            <w:tcW w:w="7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r>
      <w:tr>
        <w:trPr>
          <w:trHeight w:val="218"/>
        </w:trPr>
        <w:tc>
          <w:tcPr>
            <w:tcW w:w="36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4"/>
                <w:szCs w:val="14"/>
                <w:i w:val="1"/>
                <w:iCs w:val="1"/>
                <w:color w:val="auto"/>
              </w:rPr>
              <w:t>(millions of dollars)</w:t>
            </w:r>
          </w:p>
        </w:tc>
      </w:tr>
      <w:tr>
        <w:trPr>
          <w:trHeight w:val="235"/>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594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Additions/adjustments</w:t>
            </w:r>
          </w:p>
        </w:tc>
        <w:tc>
          <w:tcPr>
            <w:tcW w:w="7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tcPr>
          <w:p>
            <w:pPr>
              <w:spacing w:after="0"/>
              <w:rPr>
                <w:sz w:val="19"/>
                <w:szCs w:val="19"/>
                <w:color w:val="auto"/>
              </w:rPr>
            </w:pPr>
          </w:p>
        </w:tc>
      </w:tr>
      <w:tr>
        <w:trPr>
          <w:trHeight w:val="234"/>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made</w:t>
            </w:r>
          </w:p>
        </w:tc>
        <w:tc>
          <w:tcPr>
            <w:tcW w:w="7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20"/>
                <w:szCs w:val="20"/>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594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tcPr>
          <w:p>
            <w:pPr>
              <w:spacing w:after="0"/>
              <w:rPr>
                <w:sz w:val="19"/>
                <w:szCs w:val="19"/>
                <w:color w:val="auto"/>
              </w:rPr>
            </w:pPr>
          </w:p>
        </w:tc>
      </w:tr>
      <w:tr>
        <w:trPr>
          <w:trHeight w:val="763"/>
        </w:trPr>
        <w:tc>
          <w:tcPr>
            <w:tcW w:w="3660" w:type="dxa"/>
            <w:vAlign w:val="bottom"/>
          </w:tcPr>
          <w:p>
            <w:pPr>
              <w:spacing w:after="0"/>
              <w:rPr>
                <w:sz w:val="24"/>
                <w:szCs w:val="24"/>
                <w:color w:val="auto"/>
              </w:rPr>
            </w:pPr>
          </w:p>
        </w:tc>
        <w:tc>
          <w:tcPr>
            <w:tcW w:w="5940" w:type="dxa"/>
            <w:vAlign w:val="bottom"/>
          </w:tcPr>
          <w:p>
            <w:pPr>
              <w:jc w:val="right"/>
              <w:ind w:right="3755"/>
              <w:spacing w:after="0"/>
              <w:rPr>
                <w:sz w:val="20"/>
                <w:szCs w:val="20"/>
                <w:color w:val="auto"/>
              </w:rPr>
            </w:pPr>
            <w:r>
              <w:rPr>
                <w:rFonts w:ascii="Times New Roman" w:cs="Times New Roman" w:eastAsia="Times New Roman" w:hAnsi="Times New Roman"/>
                <w:sz w:val="18"/>
                <w:szCs w:val="18"/>
                <w:color w:val="auto"/>
              </w:rPr>
              <w:t>107</w:t>
            </w: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3660" w:type="dxa"/>
            <w:vAlign w:val="bottom"/>
            <w:tcBorders>
              <w:bottom w:val="single" w:sz="8" w:color="9A9A9A"/>
            </w:tcBorders>
          </w:tcPr>
          <w:p>
            <w:pPr>
              <w:spacing w:after="0"/>
              <w:rPr>
                <w:sz w:val="8"/>
                <w:szCs w:val="8"/>
                <w:color w:val="auto"/>
              </w:rPr>
            </w:pPr>
          </w:p>
        </w:tc>
        <w:tc>
          <w:tcPr>
            <w:tcW w:w="594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 xml:space="preserve">SUPPLEMENTAL INFORMATION ON OIL AND GAS EXPLORATION AND PRODUCTION ACTIVITIES </w:t>
      </w:r>
      <w:r>
        <w:rPr>
          <w:rFonts w:ascii="Times New Roman" w:cs="Times New Roman" w:eastAsia="Times New Roman" w:hAnsi="Times New Roman"/>
          <w:sz w:val="16"/>
          <w:szCs w:val="16"/>
          <w:b w:val="1"/>
          <w:bCs w:val="1"/>
          <w:color w:val="auto"/>
        </w:rPr>
        <w:t>(unaudited)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results of operations for producing activities shown below do not include earnings from other activities that ExxonMobil includes in the Upstream function, such as oil and gas transportation operations, LNG liquefaction and transportation operations, coal and power operations, technical service agreements, other nonoperating activities and adjustments for noncontrolling interests. These excluded amounts for both consolidated and equity companies totaled $274 million in 2020, $3,502 million in 2019 and $1,484 million in 2018. Oil sands mining operations are included in the results of operations in accordance with Securities and Exchange Commission and Financial Accounting Standards Board rules.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2060" w:type="dxa"/>
            <w:vAlign w:val="bottom"/>
            <w:vMerge w:val="restart"/>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United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Australia/</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Results of Operations</w:t>
            </w:r>
          </w:p>
        </w:tc>
        <w:tc>
          <w:tcPr>
            <w:tcW w:w="2060" w:type="dxa"/>
            <w:vAlign w:val="bottom"/>
            <w:vMerge w:val="continue"/>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Africa</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Asia</w:t>
            </w:r>
          </w:p>
        </w:tc>
        <w:tc>
          <w:tcPr>
            <w:tcW w:w="1220" w:type="dxa"/>
            <w:vAlign w:val="bottom"/>
            <w:vMerge w:val="continue"/>
          </w:tcPr>
          <w:p>
            <w:pPr>
              <w:spacing w:after="0"/>
              <w:rPr>
                <w:sz w:val="11"/>
                <w:szCs w:val="11"/>
                <w:color w:val="auto"/>
              </w:rPr>
            </w:pPr>
          </w:p>
        </w:tc>
        <w:tc>
          <w:tcPr>
            <w:tcW w:w="9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92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84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Oceania</w:t>
            </w: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sectPr>
          <w:pgSz w:w="11900" w:h="16838" w:orient="portrait"/>
          <w:cols w:equalWidth="0" w:num="1">
            <w:col w:w="11240"/>
          </w:cols>
          <w:pgMar w:left="320" w:top="765"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2020 - Revenue</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Sales to third parties</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Transfers</w:t>
      </w:r>
    </w:p>
    <w:p>
      <w:pPr>
        <w:spacing w:after="0" w:line="2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Production costs excluding taxes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Exploration expenses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Depreciation and depletion</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Taxes other than income</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Related income tax</w:t>
      </w:r>
    </w:p>
    <w:p>
      <w:pPr>
        <w:spacing w:after="0" w:line="32" w:lineRule="exact"/>
        <w:rPr>
          <w:sz w:val="20"/>
          <w:szCs w:val="20"/>
          <w:color w:val="auto"/>
        </w:rPr>
      </w:pPr>
    </w:p>
    <w:p>
      <w:pPr>
        <w:ind w:left="140" w:right="320"/>
        <w:spacing w:after="0" w:line="245" w:lineRule="auto"/>
        <w:rPr>
          <w:sz w:val="20"/>
          <w:szCs w:val="20"/>
          <w:color w:val="auto"/>
        </w:rPr>
      </w:pPr>
      <w:r>
        <w:rPr>
          <w:rFonts w:ascii="Times New Roman" w:cs="Times New Roman" w:eastAsia="Times New Roman" w:hAnsi="Times New Roman"/>
          <w:sz w:val="16"/>
          <w:szCs w:val="16"/>
          <w:color w:val="auto"/>
        </w:rPr>
        <w:t>Results of producing activities for consolidated subsidiaries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Equity Companies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2020 - Revenue</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Sales to third parties</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Transfers</w:t>
      </w:r>
    </w:p>
    <w:p>
      <w:pPr>
        <w:spacing w:after="0" w:line="2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Production costs excluding taxes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Exploration expenses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Depreciation and depletion</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Taxes other than income</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Related income tax</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Results of producing activities for equity companies</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results of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2,933</w:t>
            </w: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1,034</w:t>
            </w: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536</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262</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1,632</w:t>
            </w: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1,983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8,380</w:t>
            </w:r>
          </w:p>
        </w:tc>
      </w:tr>
      <w:tr>
        <w:trPr>
          <w:trHeight w:val="219"/>
        </w:trPr>
        <w:tc>
          <w:tcPr>
            <w:tcW w:w="12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4,943</w:t>
            </w:r>
          </w:p>
        </w:tc>
        <w:tc>
          <w:tcPr>
            <w:tcW w:w="11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3,938</w:t>
            </w:r>
          </w:p>
        </w:tc>
        <w:tc>
          <w:tcPr>
            <w:tcW w:w="10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362</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4,603</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5,584</w:t>
            </w:r>
          </w:p>
        </w:tc>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509</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19,939</w:t>
            </w:r>
          </w:p>
        </w:tc>
      </w:tr>
      <w:tr>
        <w:trPr>
          <w:trHeight w:val="207"/>
        </w:trPr>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7,876</w:t>
            </w: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4,972</w:t>
            </w: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898</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4,865</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7,216</w:t>
            </w: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2,492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28,319</w:t>
            </w:r>
          </w:p>
        </w:tc>
      </w:tr>
      <w:tr>
        <w:trPr>
          <w:trHeight w:val="216"/>
        </w:trPr>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3,877</w:t>
            </w: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3,928</w:t>
            </w: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786</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1,911</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1,471</w:t>
            </w: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483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12,456</w:t>
            </w:r>
          </w:p>
        </w:tc>
      </w:tr>
      <w:tr>
        <w:trPr>
          <w:trHeight w:val="216"/>
        </w:trPr>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51</w:t>
            </w: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573</w:t>
            </w: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33</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371</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112</w:t>
            </w: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145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w:t>
            </w:r>
          </w:p>
        </w:tc>
      </w:tr>
      <w:tr>
        <w:trPr>
          <w:trHeight w:val="216"/>
        </w:trPr>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27,489</w:t>
            </w: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5,118</w:t>
            </w: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828</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2,788</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2,171</w:t>
            </w: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733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39,127</w:t>
            </w:r>
          </w:p>
        </w:tc>
      </w:tr>
      <w:tr>
        <w:trPr>
          <w:trHeight w:val="216"/>
        </w:trPr>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615</w:t>
            </w: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106</w:t>
            </w: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32</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390</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692</w:t>
            </w: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152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w:t>
            </w:r>
          </w:p>
        </w:tc>
      </w:tr>
      <w:tr>
        <w:trPr>
          <w:trHeight w:val="219"/>
        </w:trPr>
        <w:tc>
          <w:tcPr>
            <w:tcW w:w="12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(5,650)</w:t>
            </w: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(944)</w:t>
            </w: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(343)</w:t>
            </w:r>
          </w:p>
        </w:tc>
        <w:tc>
          <w:tcPr>
            <w:tcW w:w="10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(258)</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2,130</w:t>
            </w:r>
          </w:p>
        </w:tc>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241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(4,824)</w:t>
            </w:r>
          </w:p>
        </w:tc>
      </w:tr>
      <w:tr>
        <w:trPr>
          <w:trHeight w:val="358"/>
        </w:trPr>
        <w:tc>
          <w:tcPr>
            <w:tcW w:w="12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(18,506)</w:t>
            </w: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(3,809)</w:t>
            </w: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(438)</w:t>
            </w:r>
          </w:p>
        </w:tc>
        <w:tc>
          <w:tcPr>
            <w:tcW w:w="10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(337)</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640</w:t>
            </w:r>
          </w:p>
        </w:tc>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738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(21,712)</w:t>
            </w:r>
          </w:p>
        </w:tc>
      </w:tr>
      <w:tr>
        <w:trPr>
          <w:trHeight w:val="841"/>
        </w:trPr>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410</w:t>
            </w: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513</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6,289</w:t>
            </w: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7,212</w:t>
            </w:r>
          </w:p>
        </w:tc>
      </w:tr>
      <w:tr>
        <w:trPr>
          <w:trHeight w:val="219"/>
        </w:trPr>
        <w:tc>
          <w:tcPr>
            <w:tcW w:w="12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308</w:t>
            </w:r>
          </w:p>
        </w:tc>
        <w:tc>
          <w:tcPr>
            <w:tcW w:w="11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12</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60</w:t>
            </w:r>
          </w:p>
        </w:tc>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07"/>
        </w:trPr>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718</w:t>
            </w: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525</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6,349</w:t>
            </w: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7,592</w:t>
            </w:r>
          </w:p>
        </w:tc>
      </w:tr>
      <w:tr>
        <w:trPr>
          <w:trHeight w:val="216"/>
        </w:trPr>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545</w:t>
            </w: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674</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421</w:t>
            </w: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w:t>
            </w:r>
          </w:p>
        </w:tc>
      </w:tr>
      <w:tr>
        <w:trPr>
          <w:trHeight w:val="216"/>
        </w:trPr>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6"/>
        </w:trPr>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560</w:t>
            </w: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224</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543</w:t>
            </w: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w:t>
            </w:r>
          </w:p>
        </w:tc>
      </w:tr>
      <w:tr>
        <w:trPr>
          <w:trHeight w:val="216"/>
        </w:trPr>
        <w:tc>
          <w:tcPr>
            <w:tcW w:w="12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34</w:t>
            </w: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22</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2,274</w:t>
            </w: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w:t>
            </w:r>
          </w:p>
        </w:tc>
      </w:tr>
      <w:tr>
        <w:trPr>
          <w:trHeight w:val="219"/>
        </w:trPr>
        <w:tc>
          <w:tcPr>
            <w:tcW w:w="12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(246)</w:t>
            </w:r>
          </w:p>
        </w:tc>
        <w:tc>
          <w:tcPr>
            <w:tcW w:w="10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1,126</w:t>
            </w:r>
          </w:p>
        </w:tc>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w:t>
            </w:r>
          </w:p>
        </w:tc>
      </w:tr>
      <w:tr>
        <w:trPr>
          <w:trHeight w:val="210"/>
        </w:trPr>
        <w:tc>
          <w:tcPr>
            <w:tcW w:w="12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(421)</w:t>
            </w:r>
          </w:p>
        </w:tc>
        <w:tc>
          <w:tcPr>
            <w:tcW w:w="11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(151)</w:t>
            </w:r>
          </w:p>
        </w:tc>
        <w:tc>
          <w:tcPr>
            <w:tcW w:w="10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(5)</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1,985</w:t>
            </w:r>
          </w:p>
        </w:tc>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w:t>
            </w:r>
          </w:p>
        </w:tc>
      </w:tr>
      <w:tr>
        <w:trPr>
          <w:trHeight w:val="412"/>
        </w:trPr>
        <w:tc>
          <w:tcPr>
            <w:tcW w:w="12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(18,927)</w:t>
            </w:r>
          </w:p>
        </w:tc>
        <w:tc>
          <w:tcPr>
            <w:tcW w:w="11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(3,809)</w:t>
            </w: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(589)</w:t>
            </w:r>
          </w:p>
        </w:tc>
        <w:tc>
          <w:tcPr>
            <w:tcW w:w="10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(342)</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2,625</w:t>
            </w:r>
          </w:p>
        </w:tc>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738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(20,304)</w:t>
            </w:r>
          </w:p>
        </w:tc>
      </w:tr>
    </w:tbl>
    <w:p>
      <w:pPr>
        <w:spacing w:after="0" w:line="200" w:lineRule="exact"/>
        <w:rPr>
          <w:sz w:val="20"/>
          <w:szCs w:val="20"/>
          <w:color w:val="auto"/>
        </w:rPr>
      </w:pPr>
    </w:p>
    <w:p>
      <w:pPr>
        <w:sectPr>
          <w:pgSz w:w="11900" w:h="16838" w:orient="portrait"/>
          <w:cols w:equalWidth="0" w:num="2">
            <w:col w:w="3520" w:space="520"/>
            <w:col w:w="7200"/>
          </w:cols>
          <w:pgMar w:left="320" w:top="765" w:right="339" w:bottom="1440" w:gutter="0" w:footer="0" w:header="0"/>
          <w:type w:val="continuous"/>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2080" w:type="dxa"/>
            <w:vAlign w:val="bottom"/>
            <w:vMerge w:val="restart"/>
          </w:tcPr>
          <w:p>
            <w:pPr>
              <w:jc w:val="center"/>
              <w:ind w:left="1028"/>
              <w:spacing w:after="0"/>
              <w:rPr>
                <w:sz w:val="20"/>
                <w:szCs w:val="20"/>
                <w:color w:val="auto"/>
              </w:rPr>
            </w:pPr>
            <w:r>
              <w:rPr>
                <w:rFonts w:ascii="Times New Roman" w:cs="Times New Roman" w:eastAsia="Times New Roman" w:hAnsi="Times New Roman"/>
                <w:sz w:val="14"/>
                <w:szCs w:val="14"/>
                <w:b w:val="1"/>
                <w:bCs w:val="1"/>
                <w:color w:val="auto"/>
              </w:rPr>
              <w:t>United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8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Australia/</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Results of Operations</w:t>
            </w:r>
          </w:p>
        </w:tc>
        <w:tc>
          <w:tcPr>
            <w:tcW w:w="2080" w:type="dxa"/>
            <w:vAlign w:val="bottom"/>
            <w:vMerge w:val="continue"/>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Africa</w:t>
            </w: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Asia</w:t>
            </w:r>
          </w:p>
        </w:tc>
        <w:tc>
          <w:tcPr>
            <w:tcW w:w="1200" w:type="dxa"/>
            <w:vAlign w:val="bottom"/>
            <w:vMerge w:val="continue"/>
          </w:tcPr>
          <w:p>
            <w:pPr>
              <w:spacing w:after="0"/>
              <w:rPr>
                <w:sz w:val="11"/>
                <w:szCs w:val="11"/>
                <w:color w:val="auto"/>
              </w:rPr>
            </w:pPr>
          </w:p>
        </w:tc>
        <w:tc>
          <w:tcPr>
            <w:tcW w:w="9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920" w:type="dxa"/>
            <w:vAlign w:val="bottom"/>
            <w:tcBorders>
              <w:bottom w:val="single" w:sz="8" w:color="auto"/>
            </w:tcBorders>
            <w:vMerge w:val="continue"/>
          </w:tcPr>
          <w:p>
            <w:pPr>
              <w:spacing w:after="0"/>
              <w:rPr>
                <w:sz w:val="16"/>
                <w:szCs w:val="16"/>
                <w:color w:val="auto"/>
              </w:rPr>
            </w:pPr>
          </w:p>
        </w:tc>
        <w:tc>
          <w:tcPr>
            <w:tcW w:w="2080" w:type="dxa"/>
            <w:vAlign w:val="bottom"/>
            <w:tcBorders>
              <w:bottom w:val="single" w:sz="8" w:color="auto"/>
            </w:tcBorders>
          </w:tcPr>
          <w:p>
            <w:pPr>
              <w:jc w:val="center"/>
              <w:ind w:left="1028"/>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82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Oceania</w:t>
            </w: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9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sectPr>
          <w:pgSz w:w="11900" w:h="16838" w:orient="portrait"/>
          <w:cols w:equalWidth="0" w:num="1">
            <w:col w:w="11240"/>
          </w:cols>
          <w:pgMar w:left="320" w:top="883"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2019 - Revenue</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Sales to third parties</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Transfers</w:t>
      </w:r>
    </w:p>
    <w:p>
      <w:pPr>
        <w:spacing w:after="0" w:line="2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Production costs excluding taxes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Exploration expenses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Depreciation and depletion</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Taxes other than income</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Related income tax</w:t>
      </w:r>
    </w:p>
    <w:p>
      <w:pPr>
        <w:spacing w:after="0" w:line="32" w:lineRule="exact"/>
        <w:rPr>
          <w:sz w:val="20"/>
          <w:szCs w:val="20"/>
          <w:color w:val="auto"/>
        </w:rPr>
      </w:pPr>
    </w:p>
    <w:p>
      <w:pPr>
        <w:ind w:left="140" w:right="320"/>
        <w:spacing w:after="0" w:line="245" w:lineRule="auto"/>
        <w:rPr>
          <w:sz w:val="20"/>
          <w:szCs w:val="20"/>
          <w:color w:val="auto"/>
        </w:rPr>
      </w:pPr>
      <w:r>
        <w:rPr>
          <w:rFonts w:ascii="Times New Roman" w:cs="Times New Roman" w:eastAsia="Times New Roman" w:hAnsi="Times New Roman"/>
          <w:sz w:val="16"/>
          <w:szCs w:val="16"/>
          <w:color w:val="auto"/>
        </w:rPr>
        <w:t>Results of producing activities for consolidated subsidiaries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Equity Companies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2019 - Revenue</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Sales to third parties</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Transfers</w:t>
      </w:r>
    </w:p>
    <w:p>
      <w:pPr>
        <w:spacing w:after="0" w:line="2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Production costs excluding taxes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Exploration expenses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Depreciation and depletion</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Taxes other than income</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Related income tax</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Results of producing activities for equity companies</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results of operations</w:t>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2018 - Revenue</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Sales to third parties</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Transfers</w:t>
      </w:r>
    </w:p>
    <w:p>
      <w:pPr>
        <w:spacing w:after="0" w:line="2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Production costs excluding taxes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Exploration expenses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Depreciation and depletion</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Taxes other than income</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Related income tax</w:t>
      </w:r>
    </w:p>
    <w:p>
      <w:pPr>
        <w:spacing w:after="0" w:line="32" w:lineRule="exact"/>
        <w:rPr>
          <w:sz w:val="20"/>
          <w:szCs w:val="20"/>
          <w:color w:val="auto"/>
        </w:rPr>
      </w:pPr>
    </w:p>
    <w:p>
      <w:pPr>
        <w:ind w:left="140" w:right="320"/>
        <w:spacing w:after="0" w:line="245" w:lineRule="auto"/>
        <w:rPr>
          <w:sz w:val="20"/>
          <w:szCs w:val="20"/>
          <w:color w:val="auto"/>
        </w:rPr>
      </w:pPr>
      <w:r>
        <w:rPr>
          <w:rFonts w:ascii="Times New Roman" w:cs="Times New Roman" w:eastAsia="Times New Roman" w:hAnsi="Times New Roman"/>
          <w:sz w:val="16"/>
          <w:szCs w:val="16"/>
          <w:color w:val="auto"/>
        </w:rPr>
        <w:t>Results of producing activities for consolidated subsidiaries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Equity Companies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2018 - Revenue</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Sales to third parties</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Transfers</w:t>
      </w:r>
    </w:p>
    <w:p>
      <w:pPr>
        <w:spacing w:after="0" w:line="2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Production costs excluding taxes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Exploration expenses</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Depreciation and depletion</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Taxes other than income</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Related income tax</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Results of producing activities for equity companies</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results of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5,070</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1,452</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2,141</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802</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2,393</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3,132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14,990</w:t>
            </w:r>
          </w:p>
        </w:tc>
      </w:tr>
      <w:tr>
        <w:trPr>
          <w:trHeight w:val="219"/>
        </w:trPr>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6,544</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5,979</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1,345</w:t>
            </w: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7,892</w:t>
            </w:r>
          </w:p>
        </w:tc>
        <w:tc>
          <w:tcPr>
            <w:tcW w:w="10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8,706</w:t>
            </w: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628</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31,094</w:t>
            </w:r>
          </w:p>
        </w:tc>
      </w:tr>
      <w:tr>
        <w:trPr>
          <w:trHeight w:val="207"/>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11,614</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7,431</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3,486</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8,694</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11,099</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3,760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46,084</w:t>
            </w:r>
          </w:p>
        </w:tc>
      </w:tr>
      <w:tr>
        <w:trPr>
          <w:trHeight w:val="216"/>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4,697</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4,366</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1,196</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2,387</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1,597</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637</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14,880</w:t>
            </w:r>
          </w:p>
        </w:tc>
      </w:tr>
      <w:tr>
        <w:trPr>
          <w:trHeight w:val="216"/>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120</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498</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118</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234</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119</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180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r>
      <w:tr>
        <w:trPr>
          <w:trHeight w:val="216"/>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5,916</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1,975</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601</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3,019</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2,264</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703</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14,478</w:t>
            </w:r>
          </w:p>
        </w:tc>
      </w:tr>
      <w:tr>
        <w:trPr>
          <w:trHeight w:val="216"/>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998</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122</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113</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682</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1,182</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250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w:t>
            </w:r>
          </w:p>
        </w:tc>
      </w:tr>
      <w:tr>
        <w:trPr>
          <w:trHeight w:val="219"/>
        </w:trPr>
        <w:tc>
          <w:tcPr>
            <w:tcW w:w="12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(29)</w:t>
            </w:r>
          </w:p>
        </w:tc>
        <w:tc>
          <w:tcPr>
            <w:tcW w:w="10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(423)</w:t>
            </w:r>
          </w:p>
        </w:tc>
        <w:tc>
          <w:tcPr>
            <w:tcW w:w="10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(20)</w:t>
            </w: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1,188</w:t>
            </w:r>
          </w:p>
        </w:tc>
        <w:tc>
          <w:tcPr>
            <w:tcW w:w="10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4,238</w:t>
            </w: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599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5,553</w:t>
            </w:r>
          </w:p>
        </w:tc>
      </w:tr>
      <w:tr>
        <w:trPr>
          <w:trHeight w:val="358"/>
        </w:trPr>
        <w:tc>
          <w:tcPr>
            <w:tcW w:w="12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(88)</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893</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1,478</w:t>
            </w: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1,184</w:t>
            </w:r>
          </w:p>
        </w:tc>
        <w:tc>
          <w:tcPr>
            <w:tcW w:w="10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1,699</w:t>
            </w: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1,391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6,557</w:t>
            </w:r>
          </w:p>
        </w:tc>
      </w:tr>
      <w:tr>
        <w:trPr>
          <w:trHeight w:val="841"/>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664</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1,248</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10,536</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12,448</w:t>
            </w:r>
          </w:p>
        </w:tc>
      </w:tr>
      <w:tr>
        <w:trPr>
          <w:trHeight w:val="219"/>
        </w:trPr>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530</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6</w:t>
            </w: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464</w:t>
            </w: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07"/>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1,194</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1,254</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11,000</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13,448</w:t>
            </w:r>
          </w:p>
        </w:tc>
      </w:tr>
      <w:tr>
        <w:trPr>
          <w:trHeight w:val="216"/>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595</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570</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555</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w:t>
            </w:r>
          </w:p>
        </w:tc>
      </w:tr>
      <w:tr>
        <w:trPr>
          <w:trHeight w:val="216"/>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4</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6"/>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379</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231</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528</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w:t>
            </w:r>
          </w:p>
        </w:tc>
      </w:tr>
      <w:tr>
        <w:trPr>
          <w:trHeight w:val="216"/>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75</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3,634</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3,742</w:t>
            </w:r>
          </w:p>
        </w:tc>
      </w:tr>
      <w:tr>
        <w:trPr>
          <w:trHeight w:val="219"/>
        </w:trPr>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180</w:t>
            </w:r>
          </w:p>
        </w:tc>
        <w:tc>
          <w:tcPr>
            <w:tcW w:w="1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w:t>
            </w:r>
          </w:p>
        </w:tc>
        <w:tc>
          <w:tcPr>
            <w:tcW w:w="10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2,275</w:t>
            </w: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2,454</w:t>
            </w:r>
          </w:p>
        </w:tc>
      </w:tr>
      <w:tr>
        <w:trPr>
          <w:trHeight w:val="210"/>
        </w:trPr>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186</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194</w:t>
            </w:r>
          </w:p>
        </w:tc>
        <w:tc>
          <w:tcPr>
            <w:tcW w:w="1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(5)</w:t>
            </w:r>
          </w:p>
        </w:tc>
        <w:tc>
          <w:tcPr>
            <w:tcW w:w="10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4,008</w:t>
            </w: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4,383</w:t>
            </w:r>
          </w:p>
        </w:tc>
      </w:tr>
      <w:tr>
        <w:trPr>
          <w:trHeight w:val="412"/>
        </w:trPr>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98</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893</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1,672</w:t>
            </w: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1,179</w:t>
            </w:r>
          </w:p>
        </w:tc>
        <w:tc>
          <w:tcPr>
            <w:tcW w:w="10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5,707</w:t>
            </w: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1,391</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10,940</w:t>
            </w:r>
          </w:p>
        </w:tc>
      </w:tr>
      <w:tr>
        <w:trPr>
          <w:trHeight w:val="841"/>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5,914</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1,491</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3,680</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1,136</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2,431</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3,256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17,908</w:t>
            </w:r>
          </w:p>
        </w:tc>
      </w:tr>
      <w:tr>
        <w:trPr>
          <w:trHeight w:val="219"/>
        </w:trPr>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5,822</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4,633</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1,573</w:t>
            </w: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8,844</w:t>
            </w:r>
          </w:p>
        </w:tc>
        <w:tc>
          <w:tcPr>
            <w:tcW w:w="10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8,461</w:t>
            </w: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873</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30,206</w:t>
            </w:r>
          </w:p>
        </w:tc>
      </w:tr>
      <w:tr>
        <w:trPr>
          <w:trHeight w:val="207"/>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11,736</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6,124</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5,253</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9,980</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10,892</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4,129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48,114</w:t>
            </w:r>
          </w:p>
        </w:tc>
      </w:tr>
      <w:tr>
        <w:trPr>
          <w:trHeight w:val="216"/>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3,915</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4,211</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1,348</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2,454</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1,501</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680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14,109</w:t>
            </w:r>
          </w:p>
        </w:tc>
      </w:tr>
      <w:tr>
        <w:trPr>
          <w:trHeight w:val="216"/>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237</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434</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140</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318</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209</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128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w:t>
            </w:r>
          </w:p>
        </w:tc>
      </w:tr>
      <w:tr>
        <w:trPr>
          <w:trHeight w:val="216"/>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5,775</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1,803</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665</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2,788</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2,088</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809</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13,928</w:t>
            </w:r>
          </w:p>
        </w:tc>
      </w:tr>
      <w:tr>
        <w:trPr>
          <w:trHeight w:val="216"/>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953</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133</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128</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799</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1,155</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335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3,503</w:t>
            </w:r>
          </w:p>
        </w:tc>
      </w:tr>
      <w:tr>
        <w:trPr>
          <w:trHeight w:val="219"/>
        </w:trPr>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250</w:t>
            </w:r>
          </w:p>
        </w:tc>
        <w:tc>
          <w:tcPr>
            <w:tcW w:w="10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(121)</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1,934</w:t>
            </w: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1,766</w:t>
            </w:r>
          </w:p>
        </w:tc>
        <w:tc>
          <w:tcPr>
            <w:tcW w:w="10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4,008</w:t>
            </w: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622</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8,459</w:t>
            </w:r>
          </w:p>
        </w:tc>
      </w:tr>
      <w:tr>
        <w:trPr>
          <w:trHeight w:val="358"/>
        </w:trPr>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606</w:t>
            </w:r>
          </w:p>
        </w:tc>
        <w:tc>
          <w:tcPr>
            <w:tcW w:w="10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(336)</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1,038</w:t>
            </w: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1,855</w:t>
            </w:r>
          </w:p>
        </w:tc>
        <w:tc>
          <w:tcPr>
            <w:tcW w:w="10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1,931</w:t>
            </w: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1,555</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6,649</w:t>
            </w:r>
          </w:p>
        </w:tc>
      </w:tr>
      <w:tr>
        <w:trPr>
          <w:trHeight w:val="841"/>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747</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1,420</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12,028</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14,195</w:t>
            </w:r>
          </w:p>
        </w:tc>
      </w:tr>
      <w:tr>
        <w:trPr>
          <w:trHeight w:val="219"/>
        </w:trPr>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588</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8</w:t>
            </w: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935</w:t>
            </w: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1,531</w:t>
            </w:r>
          </w:p>
        </w:tc>
      </w:tr>
      <w:tr>
        <w:trPr>
          <w:trHeight w:val="207"/>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1,335</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1,428</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12,963</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15,726</w:t>
            </w:r>
          </w:p>
        </w:tc>
      </w:tr>
      <w:tr>
        <w:trPr>
          <w:trHeight w:val="216"/>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535</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745</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409</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1,694</w:t>
            </w:r>
          </w:p>
        </w:tc>
      </w:tr>
      <w:tr>
        <w:trPr>
          <w:trHeight w:val="216"/>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4</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5</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6"/>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248</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172</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462</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r>
      <w:tr>
        <w:trPr>
          <w:trHeight w:val="216"/>
        </w:trPr>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33</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61</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4,104</w:t>
            </w:r>
          </w:p>
        </w:tc>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4,198</w:t>
            </w:r>
          </w:p>
        </w:tc>
      </w:tr>
      <w:tr>
        <w:trPr>
          <w:trHeight w:val="219"/>
        </w:trPr>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271</w:t>
            </w:r>
          </w:p>
        </w:tc>
        <w:tc>
          <w:tcPr>
            <w:tcW w:w="1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w:t>
            </w:r>
          </w:p>
        </w:tc>
        <w:tc>
          <w:tcPr>
            <w:tcW w:w="10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2,726</w:t>
            </w: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2,996</w:t>
            </w:r>
          </w:p>
        </w:tc>
      </w:tr>
      <w:tr>
        <w:trPr>
          <w:trHeight w:val="210"/>
        </w:trPr>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518</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175</w:t>
            </w:r>
          </w:p>
        </w:tc>
        <w:tc>
          <w:tcPr>
            <w:tcW w:w="1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(4)</w:t>
            </w:r>
          </w:p>
        </w:tc>
        <w:tc>
          <w:tcPr>
            <w:tcW w:w="10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5,257</w:t>
            </w: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5,946</w:t>
            </w:r>
          </w:p>
        </w:tc>
      </w:tr>
      <w:tr>
        <w:trPr>
          <w:trHeight w:val="412"/>
        </w:trPr>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1,124</w:t>
            </w:r>
          </w:p>
        </w:tc>
        <w:tc>
          <w:tcPr>
            <w:tcW w:w="10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(336)</w:t>
            </w: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1,213</w:t>
            </w: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1,851</w:t>
            </w:r>
          </w:p>
        </w:tc>
        <w:tc>
          <w:tcPr>
            <w:tcW w:w="10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7,188</w:t>
            </w: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1,555</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12,595</w:t>
            </w:r>
          </w:p>
        </w:tc>
      </w:tr>
    </w:tbl>
    <w:p>
      <w:pPr>
        <w:spacing w:after="0" w:line="200" w:lineRule="exact"/>
        <w:rPr>
          <w:sz w:val="20"/>
          <w:szCs w:val="20"/>
          <w:color w:val="auto"/>
        </w:rPr>
      </w:pPr>
    </w:p>
    <w:p>
      <w:pPr>
        <w:sectPr>
          <w:pgSz w:w="11900" w:h="16838" w:orient="portrait"/>
          <w:cols w:equalWidth="0" w:num="2">
            <w:col w:w="3520" w:space="520"/>
            <w:col w:w="7200"/>
          </w:cols>
          <w:pgMar w:left="320" w:top="883" w:right="339" w:bottom="1440" w:gutter="0" w:footer="0" w:header="0"/>
          <w:type w:val="continuous"/>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Oil and Gas Exploration and Production Costs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amounts shown for net capitalized costs of consolidated subsidiaries are $13,206 million less at year-end 2020 and $13,082 million less at year-end 2019 than the amounts reported as investments in property, plant and equipment for the Upstream in Note 9. This is due to the exclusion from capitalized costs of certain transportation and research assets and assets relating to LNG operations. Assets related to oil sands and oil shale mining operations are included in the capitalized costs in accordance with Financial Accounting Standards Board rules.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6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United</w:t>
            </w:r>
          </w:p>
        </w:tc>
        <w:tc>
          <w:tcPr>
            <w:tcW w:w="10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8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Australia/</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Capitalized Costs</w:t>
            </w:r>
          </w:p>
        </w:tc>
        <w:tc>
          <w:tcPr>
            <w:tcW w:w="24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4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300" w:type="dxa"/>
            <w:vAlign w:val="bottom"/>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Africa</w:t>
            </w:r>
          </w:p>
        </w:tc>
        <w:tc>
          <w:tcPr>
            <w:tcW w:w="80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Asia</w:t>
            </w:r>
          </w:p>
        </w:tc>
        <w:tc>
          <w:tcPr>
            <w:tcW w:w="1080" w:type="dxa"/>
            <w:vAlign w:val="bottom"/>
            <w:vMerge w:val="continue"/>
          </w:tcPr>
          <w:p>
            <w:pPr>
              <w:spacing w:after="0"/>
              <w:rPr>
                <w:sz w:val="11"/>
                <w:szCs w:val="11"/>
                <w:color w:val="auto"/>
              </w:rPr>
            </w:pPr>
          </w:p>
        </w:tc>
        <w:tc>
          <w:tcPr>
            <w:tcW w:w="82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920" w:type="dxa"/>
            <w:vAlign w:val="bottom"/>
            <w:tcBorders>
              <w:bottom w:val="single" w:sz="8" w:color="auto"/>
            </w:tcBorders>
            <w:vMerge w:val="continue"/>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10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82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Oceania</w:t>
            </w: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2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of December 31, 2020</w:t>
            </w:r>
          </w:p>
        </w:tc>
        <w:tc>
          <w:tcPr>
            <w:tcW w:w="2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(acreage) costs</w:t>
            </w:r>
          </w:p>
        </w:tc>
        <w:tc>
          <w:tcPr>
            <w:tcW w:w="2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Proved</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18,059</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2,151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3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1,332</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2,979</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771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25,343</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Unproved</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23,255</w:t>
            </w: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7,352</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3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213</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181</w:t>
            </w: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2,642</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33,680</w:t>
            </w:r>
          </w:p>
        </w:tc>
        <w:tc>
          <w:tcPr>
            <w:tcW w:w="0" w:type="dxa"/>
            <w:vAlign w:val="bottom"/>
          </w:tcPr>
          <w:p>
            <w:pPr>
              <w:spacing w:after="0"/>
              <w:rPr>
                <w:sz w:val="1"/>
                <w:szCs w:val="1"/>
                <w:color w:val="auto"/>
              </w:rPr>
            </w:pPr>
          </w:p>
        </w:tc>
      </w:tr>
      <w:tr>
        <w:trPr>
          <w:trHeight w:val="210"/>
        </w:trPr>
        <w:tc>
          <w:tcPr>
            <w:tcW w:w="1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property costs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41,314</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9,503</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3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1,545</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3,160</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3,413</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59,023</w:t>
            </w: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Producing assets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104,650</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52,552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20,286</w:t>
            </w:r>
          </w:p>
        </w:tc>
        <w:tc>
          <w:tcPr>
            <w:tcW w:w="13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55,556</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43,394</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15,348</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291,786</w:t>
            </w: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Incomplete construction</w:t>
            </w:r>
          </w:p>
        </w:tc>
        <w:tc>
          <w:tcPr>
            <w:tcW w:w="2400" w:type="dxa"/>
            <w:vAlign w:val="bottom"/>
          </w:tcPr>
          <w:p>
            <w:pPr>
              <w:spacing w:after="0"/>
              <w:rPr>
                <w:sz w:val="18"/>
                <w:szCs w:val="18"/>
                <w:color w:val="auto"/>
              </w:rPr>
            </w:pP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5,549</w:t>
            </w: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4,590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3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1,975</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3,050</w:t>
            </w: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1,972</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18,582</w:t>
            </w:r>
          </w:p>
        </w:tc>
        <w:tc>
          <w:tcPr>
            <w:tcW w:w="0" w:type="dxa"/>
            <w:vAlign w:val="bottom"/>
          </w:tcPr>
          <w:p>
            <w:pPr>
              <w:spacing w:after="0"/>
              <w:rPr>
                <w:sz w:val="1"/>
                <w:szCs w:val="1"/>
                <w:color w:val="auto"/>
              </w:rPr>
            </w:pPr>
          </w:p>
        </w:tc>
      </w:tr>
      <w:tr>
        <w:trPr>
          <w:trHeight w:val="210"/>
        </w:trPr>
        <w:tc>
          <w:tcPr>
            <w:tcW w:w="1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capitalized costs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151,513</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66,645</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21,820</w:t>
            </w:r>
          </w:p>
        </w:tc>
        <w:tc>
          <w:tcPr>
            <w:tcW w:w="13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59,076</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49,604</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20,733</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369,391</w:t>
            </w:r>
          </w:p>
        </w:tc>
        <w:tc>
          <w:tcPr>
            <w:tcW w:w="0" w:type="dxa"/>
            <w:vAlign w:val="bottom"/>
          </w:tcPr>
          <w:p>
            <w:pPr>
              <w:spacing w:after="0"/>
              <w:rPr>
                <w:sz w:val="1"/>
                <w:szCs w:val="1"/>
                <w:color w:val="auto"/>
              </w:rPr>
            </w:pPr>
          </w:p>
        </w:tc>
      </w:tr>
      <w:tr>
        <w:trPr>
          <w:trHeight w:val="216"/>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Accumulated depreciation and depletion</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89,401</w:t>
            </w: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26,635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19,193</w:t>
            </w:r>
          </w:p>
        </w:tc>
        <w:tc>
          <w:tcPr>
            <w:tcW w:w="13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46,567</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24,701</w:t>
            </w: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8,628</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215,125</w:t>
            </w:r>
          </w:p>
        </w:tc>
        <w:tc>
          <w:tcPr>
            <w:tcW w:w="0" w:type="dxa"/>
            <w:vAlign w:val="bottom"/>
          </w:tcPr>
          <w:p>
            <w:pPr>
              <w:spacing w:after="0"/>
              <w:rPr>
                <w:sz w:val="1"/>
                <w:szCs w:val="1"/>
                <w:color w:val="auto"/>
              </w:rPr>
            </w:pPr>
          </w:p>
        </w:tc>
      </w:tr>
      <w:tr>
        <w:trPr>
          <w:trHeight w:val="210"/>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capitalized costs for consolidated subsidiaries</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62,112</w:t>
            </w: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40,010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13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12,509</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24,903</w:t>
            </w: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12,105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154,266</w:t>
            </w:r>
          </w:p>
        </w:tc>
        <w:tc>
          <w:tcPr>
            <w:tcW w:w="0" w:type="dxa"/>
            <w:vAlign w:val="bottom"/>
          </w:tcPr>
          <w:p>
            <w:pPr>
              <w:spacing w:after="0"/>
              <w:rPr>
                <w:sz w:val="1"/>
                <w:szCs w:val="1"/>
                <w:color w:val="auto"/>
              </w:rPr>
            </w:pPr>
          </w:p>
        </w:tc>
      </w:tr>
      <w:tr>
        <w:trPr>
          <w:trHeight w:val="412"/>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 Companies</w:t>
            </w:r>
          </w:p>
        </w:tc>
        <w:tc>
          <w:tcPr>
            <w:tcW w:w="2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of December 31, 2020</w:t>
            </w:r>
          </w:p>
        </w:tc>
        <w:tc>
          <w:tcPr>
            <w:tcW w:w="2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(acreage) costs</w:t>
            </w:r>
          </w:p>
        </w:tc>
        <w:tc>
          <w:tcPr>
            <w:tcW w:w="2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Proved</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98</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3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286</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Unproved</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3,134</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3,138</w:t>
            </w:r>
          </w:p>
        </w:tc>
        <w:tc>
          <w:tcPr>
            <w:tcW w:w="0" w:type="dxa"/>
            <w:vAlign w:val="bottom"/>
          </w:tcPr>
          <w:p>
            <w:pPr>
              <w:spacing w:after="0"/>
              <w:rPr>
                <w:sz w:val="1"/>
                <w:szCs w:val="1"/>
                <w:color w:val="auto"/>
              </w:rPr>
            </w:pPr>
          </w:p>
        </w:tc>
      </w:tr>
      <w:tr>
        <w:trPr>
          <w:trHeight w:val="210"/>
        </w:trPr>
        <w:tc>
          <w:tcPr>
            <w:tcW w:w="1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property costs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102</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3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3,420</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w:t>
            </w: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Producing assets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6,975</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5,932</w:t>
            </w:r>
          </w:p>
        </w:tc>
        <w:tc>
          <w:tcPr>
            <w:tcW w:w="13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8,547</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21,454</w:t>
            </w: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Incomplete construction</w:t>
            </w:r>
          </w:p>
        </w:tc>
        <w:tc>
          <w:tcPr>
            <w:tcW w:w="2400" w:type="dxa"/>
            <w:vAlign w:val="bottom"/>
          </w:tcPr>
          <w:p>
            <w:pPr>
              <w:spacing w:after="0"/>
              <w:rPr>
                <w:sz w:val="18"/>
                <w:szCs w:val="18"/>
                <w:color w:val="auto"/>
              </w:rPr>
            </w:pP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138</w:t>
            </w: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3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721</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10,527</w:t>
            </w: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11,420</w:t>
            </w:r>
          </w:p>
        </w:tc>
        <w:tc>
          <w:tcPr>
            <w:tcW w:w="0" w:type="dxa"/>
            <w:vAlign w:val="bottom"/>
          </w:tcPr>
          <w:p>
            <w:pPr>
              <w:spacing w:after="0"/>
              <w:rPr>
                <w:sz w:val="1"/>
                <w:szCs w:val="1"/>
                <w:color w:val="auto"/>
              </w:rPr>
            </w:pPr>
          </w:p>
        </w:tc>
      </w:tr>
      <w:tr>
        <w:trPr>
          <w:trHeight w:val="210"/>
        </w:trPr>
        <w:tc>
          <w:tcPr>
            <w:tcW w:w="1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capitalized costs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7,215</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5,970</w:t>
            </w:r>
          </w:p>
        </w:tc>
        <w:tc>
          <w:tcPr>
            <w:tcW w:w="13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4,141</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19,074</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36,400</w:t>
            </w:r>
          </w:p>
        </w:tc>
        <w:tc>
          <w:tcPr>
            <w:tcW w:w="0" w:type="dxa"/>
            <w:vAlign w:val="bottom"/>
          </w:tcPr>
          <w:p>
            <w:pPr>
              <w:spacing w:after="0"/>
              <w:rPr>
                <w:sz w:val="1"/>
                <w:szCs w:val="1"/>
                <w:color w:val="auto"/>
              </w:rPr>
            </w:pPr>
          </w:p>
        </w:tc>
      </w:tr>
      <w:tr>
        <w:trPr>
          <w:trHeight w:val="216"/>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Accumulated depreciation and depletion</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3,854</w:t>
            </w: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5,462</w:t>
            </w:r>
          </w:p>
        </w:tc>
        <w:tc>
          <w:tcPr>
            <w:tcW w:w="13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5,911</w:t>
            </w: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15,227</w:t>
            </w:r>
          </w:p>
        </w:tc>
        <w:tc>
          <w:tcPr>
            <w:tcW w:w="0" w:type="dxa"/>
            <w:vAlign w:val="bottom"/>
          </w:tcPr>
          <w:p>
            <w:pPr>
              <w:spacing w:after="0"/>
              <w:rPr>
                <w:sz w:val="1"/>
                <w:szCs w:val="1"/>
                <w:color w:val="auto"/>
              </w:rPr>
            </w:pPr>
          </w:p>
        </w:tc>
      </w:tr>
      <w:tr>
        <w:trPr>
          <w:trHeight w:val="210"/>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capitalized costs for equity companies</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3,361</w:t>
            </w: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3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4,141</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13,163</w:t>
            </w: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21,173</w:t>
            </w:r>
          </w:p>
        </w:tc>
        <w:tc>
          <w:tcPr>
            <w:tcW w:w="0" w:type="dxa"/>
            <w:vAlign w:val="bottom"/>
          </w:tcPr>
          <w:p>
            <w:pPr>
              <w:spacing w:after="0"/>
              <w:rPr>
                <w:sz w:val="1"/>
                <w:szCs w:val="1"/>
                <w:color w:val="auto"/>
              </w:rPr>
            </w:pPr>
          </w:p>
        </w:tc>
      </w:tr>
      <w:tr>
        <w:trPr>
          <w:trHeight w:val="412"/>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2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of December 31, 2019</w:t>
            </w:r>
          </w:p>
        </w:tc>
        <w:tc>
          <w:tcPr>
            <w:tcW w:w="2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(acreage) costs</w:t>
            </w:r>
          </w:p>
        </w:tc>
        <w:tc>
          <w:tcPr>
            <w:tcW w:w="2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Proved</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19,046</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2,579</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3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988</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2,971</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719</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26,352</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Unproved</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23,725</w:t>
            </w: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7,113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3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166</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181</w:t>
            </w: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2,638</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33,860</w:t>
            </w:r>
          </w:p>
        </w:tc>
        <w:tc>
          <w:tcPr>
            <w:tcW w:w="0" w:type="dxa"/>
            <w:vAlign w:val="bottom"/>
          </w:tcPr>
          <w:p>
            <w:pPr>
              <w:spacing w:after="0"/>
              <w:rPr>
                <w:sz w:val="1"/>
                <w:szCs w:val="1"/>
                <w:color w:val="auto"/>
              </w:rPr>
            </w:pPr>
          </w:p>
        </w:tc>
      </w:tr>
      <w:tr>
        <w:trPr>
          <w:trHeight w:val="210"/>
        </w:trPr>
        <w:tc>
          <w:tcPr>
            <w:tcW w:w="1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property costs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42,771</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9,692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3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1,154</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3,152</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3,357</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60,212</w:t>
            </w: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Producing assets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99,405</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49,942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18,982</w:t>
            </w:r>
          </w:p>
        </w:tc>
        <w:tc>
          <w:tcPr>
            <w:tcW w:w="13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55,436</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41,181</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13,670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278,616</w:t>
            </w: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Incomplete construction</w:t>
            </w:r>
          </w:p>
        </w:tc>
        <w:tc>
          <w:tcPr>
            <w:tcW w:w="2400" w:type="dxa"/>
            <w:vAlign w:val="bottom"/>
          </w:tcPr>
          <w:p>
            <w:pPr>
              <w:spacing w:after="0"/>
              <w:rPr>
                <w:sz w:val="18"/>
                <w:szCs w:val="18"/>
                <w:color w:val="auto"/>
              </w:rPr>
            </w:pP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6,086</w:t>
            </w: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4,315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3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2,717</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4,299</w:t>
            </w: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1,811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20,742</w:t>
            </w:r>
          </w:p>
        </w:tc>
        <w:tc>
          <w:tcPr>
            <w:tcW w:w="0" w:type="dxa"/>
            <w:vAlign w:val="bottom"/>
          </w:tcPr>
          <w:p>
            <w:pPr>
              <w:spacing w:after="0"/>
              <w:rPr>
                <w:sz w:val="1"/>
                <w:szCs w:val="1"/>
                <w:color w:val="auto"/>
              </w:rPr>
            </w:pPr>
          </w:p>
        </w:tc>
      </w:tr>
      <w:tr>
        <w:trPr>
          <w:trHeight w:val="210"/>
        </w:trPr>
        <w:tc>
          <w:tcPr>
            <w:tcW w:w="1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capitalized costs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148,262</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63,949</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20,582</w:t>
            </w:r>
          </w:p>
        </w:tc>
        <w:tc>
          <w:tcPr>
            <w:tcW w:w="13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59,307</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48,632</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18,838</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359,570</w:t>
            </w:r>
          </w:p>
        </w:tc>
        <w:tc>
          <w:tcPr>
            <w:tcW w:w="0" w:type="dxa"/>
            <w:vAlign w:val="bottom"/>
          </w:tcPr>
          <w:p>
            <w:pPr>
              <w:spacing w:after="0"/>
              <w:rPr>
                <w:sz w:val="1"/>
                <w:szCs w:val="1"/>
                <w:color w:val="auto"/>
              </w:rPr>
            </w:pPr>
          </w:p>
        </w:tc>
      </w:tr>
      <w:tr>
        <w:trPr>
          <w:trHeight w:val="216"/>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Accumulated depreciation and depletion</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63,333</w:t>
            </w: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21,533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17,544</w:t>
            </w:r>
          </w:p>
        </w:tc>
        <w:tc>
          <w:tcPr>
            <w:tcW w:w="13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43,743</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22,497</w:t>
            </w: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7,235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175,885</w:t>
            </w:r>
          </w:p>
        </w:tc>
        <w:tc>
          <w:tcPr>
            <w:tcW w:w="0" w:type="dxa"/>
            <w:vAlign w:val="bottom"/>
          </w:tcPr>
          <w:p>
            <w:pPr>
              <w:spacing w:after="0"/>
              <w:rPr>
                <w:sz w:val="1"/>
                <w:szCs w:val="1"/>
                <w:color w:val="auto"/>
              </w:rPr>
            </w:pPr>
          </w:p>
        </w:tc>
      </w:tr>
      <w:tr>
        <w:trPr>
          <w:trHeight w:val="210"/>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capitalized costs for consolidated subsidiaries</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84,929</w:t>
            </w: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42,416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13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15,564</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26,135</w:t>
            </w: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11,603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183,685</w:t>
            </w:r>
          </w:p>
        </w:tc>
        <w:tc>
          <w:tcPr>
            <w:tcW w:w="0" w:type="dxa"/>
            <w:vAlign w:val="bottom"/>
          </w:tcPr>
          <w:p>
            <w:pPr>
              <w:spacing w:after="0"/>
              <w:rPr>
                <w:sz w:val="1"/>
                <w:szCs w:val="1"/>
                <w:color w:val="auto"/>
              </w:rPr>
            </w:pPr>
          </w:p>
        </w:tc>
      </w:tr>
      <w:tr>
        <w:trPr>
          <w:trHeight w:val="412"/>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 Companies</w:t>
            </w:r>
          </w:p>
        </w:tc>
        <w:tc>
          <w:tcPr>
            <w:tcW w:w="2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of December 31, 2019</w:t>
            </w:r>
          </w:p>
        </w:tc>
        <w:tc>
          <w:tcPr>
            <w:tcW w:w="2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(acreage) costs</w:t>
            </w:r>
          </w:p>
        </w:tc>
        <w:tc>
          <w:tcPr>
            <w:tcW w:w="2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Proved</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99</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3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308</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Unproved</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3,112</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w:t>
            </w:r>
          </w:p>
        </w:tc>
        <w:tc>
          <w:tcPr>
            <w:tcW w:w="0" w:type="dxa"/>
            <w:vAlign w:val="bottom"/>
          </w:tcPr>
          <w:p>
            <w:pPr>
              <w:spacing w:after="0"/>
              <w:rPr>
                <w:sz w:val="1"/>
                <w:szCs w:val="1"/>
                <w:color w:val="auto"/>
              </w:rPr>
            </w:pPr>
          </w:p>
        </w:tc>
      </w:tr>
      <w:tr>
        <w:trPr>
          <w:trHeight w:val="210"/>
        </w:trPr>
        <w:tc>
          <w:tcPr>
            <w:tcW w:w="1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property costs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105</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3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3,420</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Producing assets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6,825</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5,413</w:t>
            </w:r>
          </w:p>
        </w:tc>
        <w:tc>
          <w:tcPr>
            <w:tcW w:w="13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7,731</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19,969</w:t>
            </w:r>
          </w:p>
        </w:tc>
        <w:tc>
          <w:tcPr>
            <w:tcW w:w="0" w:type="dxa"/>
            <w:vAlign w:val="bottom"/>
          </w:tcPr>
          <w:p>
            <w:pPr>
              <w:spacing w:after="0"/>
              <w:rPr>
                <w:sz w:val="1"/>
                <w:szCs w:val="1"/>
                <w:color w:val="auto"/>
              </w:rPr>
            </w:pPr>
          </w:p>
        </w:tc>
      </w:tr>
      <w:tr>
        <w:trPr>
          <w:trHeight w:val="216"/>
        </w:trPr>
        <w:tc>
          <w:tcPr>
            <w:tcW w:w="19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Incomplete construction</w:t>
            </w:r>
          </w:p>
        </w:tc>
        <w:tc>
          <w:tcPr>
            <w:tcW w:w="2400" w:type="dxa"/>
            <w:vAlign w:val="bottom"/>
          </w:tcPr>
          <w:p>
            <w:pPr>
              <w:spacing w:after="0"/>
              <w:rPr>
                <w:sz w:val="18"/>
                <w:szCs w:val="18"/>
                <w:color w:val="auto"/>
              </w:rPr>
            </w:pP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212</w:t>
            </w: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3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650</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9,581</w:t>
            </w: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10,462</w:t>
            </w:r>
          </w:p>
        </w:tc>
        <w:tc>
          <w:tcPr>
            <w:tcW w:w="0" w:type="dxa"/>
            <w:vAlign w:val="bottom"/>
          </w:tcPr>
          <w:p>
            <w:pPr>
              <w:spacing w:after="0"/>
              <w:rPr>
                <w:sz w:val="1"/>
                <w:szCs w:val="1"/>
                <w:color w:val="auto"/>
              </w:rPr>
            </w:pPr>
          </w:p>
        </w:tc>
      </w:tr>
      <w:tr>
        <w:trPr>
          <w:trHeight w:val="210"/>
        </w:trPr>
        <w:tc>
          <w:tcPr>
            <w:tcW w:w="19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capitalized costs</w:t>
            </w:r>
          </w:p>
        </w:tc>
        <w:tc>
          <w:tcPr>
            <w:tcW w:w="2400" w:type="dxa"/>
            <w:vAlign w:val="bottom"/>
          </w:tcPr>
          <w:p>
            <w:pPr>
              <w:spacing w:after="0"/>
              <w:rPr>
                <w:sz w:val="18"/>
                <w:szCs w:val="18"/>
                <w:color w:val="auto"/>
              </w:rPr>
            </w:pP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7,142</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5,436</w:t>
            </w:r>
          </w:p>
        </w:tc>
        <w:tc>
          <w:tcPr>
            <w:tcW w:w="13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4,070</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17,312</w:t>
            </w:r>
          </w:p>
        </w:tc>
        <w:tc>
          <w:tcPr>
            <w:tcW w:w="10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33,960</w:t>
            </w:r>
          </w:p>
        </w:tc>
        <w:tc>
          <w:tcPr>
            <w:tcW w:w="0" w:type="dxa"/>
            <w:vAlign w:val="bottom"/>
          </w:tcPr>
          <w:p>
            <w:pPr>
              <w:spacing w:after="0"/>
              <w:rPr>
                <w:sz w:val="1"/>
                <w:szCs w:val="1"/>
                <w:color w:val="auto"/>
              </w:rPr>
            </w:pPr>
          </w:p>
        </w:tc>
      </w:tr>
      <w:tr>
        <w:trPr>
          <w:trHeight w:val="216"/>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Accumulated depreciation and depletion</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3,288</w:t>
            </w: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4,778</w:t>
            </w:r>
          </w:p>
        </w:tc>
        <w:tc>
          <w:tcPr>
            <w:tcW w:w="13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5,380</w:t>
            </w: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13,446</w:t>
            </w:r>
          </w:p>
        </w:tc>
        <w:tc>
          <w:tcPr>
            <w:tcW w:w="0" w:type="dxa"/>
            <w:vAlign w:val="bottom"/>
          </w:tcPr>
          <w:p>
            <w:pPr>
              <w:spacing w:after="0"/>
              <w:rPr>
                <w:sz w:val="1"/>
                <w:szCs w:val="1"/>
                <w:color w:val="auto"/>
              </w:rPr>
            </w:pPr>
          </w:p>
        </w:tc>
      </w:tr>
      <w:tr>
        <w:trPr>
          <w:trHeight w:val="213"/>
        </w:trPr>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capitalized costs for equity companies</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3,854</w:t>
            </w:r>
          </w:p>
        </w:tc>
        <w:tc>
          <w:tcPr>
            <w:tcW w:w="10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3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4,070</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11,932</w:t>
            </w: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Oil and Gas Exploration and Production Costs (continued)</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amounts reported as costs incurred include both capitalized costs and costs charged to expense during the year. Costs incurred also include new asset retirement obligations established in the current year, as well as increases or decreases to the asset retirement obligation resulting from changes in cost estimates or abandonment date. Total consolidated costs incurred in 2020 were $11,254 million, down $7,986 million from 2019, due primarily to lower development costs including lower asset retirement obligation cost estimates mainly in Angola. In 2019, costs were $19,240 million, up $2,912 million from 2018, due primarily to higher development costs, partially offset by lower acquisition costs of unproved properties. Total equity company costs incurred in 2020 were $2,012 million, down $904 million from 2019, due primarily to lower development costs.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Costs Incurred in Property Acquisitions,</w:t>
            </w:r>
          </w:p>
        </w:tc>
        <w:tc>
          <w:tcPr>
            <w:tcW w:w="102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United</w:t>
            </w: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2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Australia/</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12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6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340" w:type="dxa"/>
            <w:vAlign w:val="bottom"/>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Africa</w:t>
            </w:r>
          </w:p>
        </w:tc>
        <w:tc>
          <w:tcPr>
            <w:tcW w:w="84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Asia</w:t>
            </w:r>
          </w:p>
        </w:tc>
        <w:tc>
          <w:tcPr>
            <w:tcW w:w="1120" w:type="dxa"/>
            <w:vAlign w:val="bottom"/>
            <w:vMerge w:val="continue"/>
          </w:tcPr>
          <w:p>
            <w:pPr>
              <w:spacing w:after="0"/>
              <w:rPr>
                <w:sz w:val="11"/>
                <w:szCs w:val="11"/>
                <w:color w:val="auto"/>
              </w:rPr>
            </w:pPr>
          </w:p>
        </w:tc>
        <w:tc>
          <w:tcPr>
            <w:tcW w:w="84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Exploration and Development Activities</w:t>
            </w:r>
          </w:p>
        </w:tc>
        <w:tc>
          <w:tcPr>
            <w:tcW w:w="10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10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8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Oceania</w:t>
            </w: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During 2020</w:t>
            </w:r>
          </w:p>
        </w:tc>
        <w:tc>
          <w:tcPr>
            <w:tcW w:w="2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2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Property acquisition costs</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Proved</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344</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w:t>
            </w: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Unproved</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80</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47</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Exploration costs</w:t>
            </w:r>
          </w:p>
        </w:tc>
        <w:tc>
          <w:tcPr>
            <w:tcW w:w="20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60</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702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232</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110</w:t>
            </w: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83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Development costs</w:t>
            </w:r>
          </w:p>
        </w:tc>
        <w:tc>
          <w:tcPr>
            <w:tcW w:w="2040" w:type="dxa"/>
            <w:vAlign w:val="bottom"/>
          </w:tcPr>
          <w:p>
            <w:pPr>
              <w:spacing w:after="0"/>
              <w:rPr>
                <w:sz w:val="18"/>
                <w:szCs w:val="18"/>
                <w:color w:val="auto"/>
              </w:rPr>
            </w:pPr>
          </w:p>
        </w:tc>
        <w:tc>
          <w:tcPr>
            <w:tcW w:w="10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5,675</w:t>
            </w:r>
          </w:p>
        </w:tc>
        <w:tc>
          <w:tcPr>
            <w:tcW w:w="10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2,059</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3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(239)</w:t>
            </w: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974</w:t>
            </w: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730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9,515</w:t>
            </w:r>
          </w:p>
        </w:tc>
        <w:tc>
          <w:tcPr>
            <w:tcW w:w="0" w:type="dxa"/>
            <w:vAlign w:val="bottom"/>
          </w:tcPr>
          <w:p>
            <w:pPr>
              <w:spacing w:after="0"/>
              <w:rPr>
                <w:sz w:val="1"/>
                <w:szCs w:val="1"/>
                <w:color w:val="auto"/>
              </w:rPr>
            </w:pPr>
          </w:p>
        </w:tc>
      </w:tr>
      <w:tr>
        <w:trPr>
          <w:trHeight w:val="210"/>
        </w:trPr>
        <w:tc>
          <w:tcPr>
            <w:tcW w:w="41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costs incurred for consolidated subsidiaries</w:t>
            </w:r>
          </w:p>
        </w:tc>
        <w:tc>
          <w:tcPr>
            <w:tcW w:w="10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5,816</w:t>
            </w:r>
          </w:p>
        </w:tc>
        <w:tc>
          <w:tcPr>
            <w:tcW w:w="10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2,794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3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384</w:t>
            </w: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1,091</w:t>
            </w: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813</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11,254</w:t>
            </w:r>
          </w:p>
        </w:tc>
        <w:tc>
          <w:tcPr>
            <w:tcW w:w="0" w:type="dxa"/>
            <w:vAlign w:val="bottom"/>
          </w:tcPr>
          <w:p>
            <w:pPr>
              <w:spacing w:after="0"/>
              <w:rPr>
                <w:sz w:val="1"/>
                <w:szCs w:val="1"/>
                <w:color w:val="auto"/>
              </w:rPr>
            </w:pPr>
          </w:p>
        </w:tc>
      </w:tr>
      <w:tr>
        <w:trPr>
          <w:trHeight w:val="358"/>
        </w:trPr>
        <w:tc>
          <w:tcPr>
            <w:tcW w:w="20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Equity Companies</w:t>
            </w: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Property acquisition costs</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Proved</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Unproved</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Exploration costs</w:t>
            </w:r>
          </w:p>
        </w:tc>
        <w:tc>
          <w:tcPr>
            <w:tcW w:w="20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Development costs</w:t>
            </w:r>
          </w:p>
        </w:tc>
        <w:tc>
          <w:tcPr>
            <w:tcW w:w="2040" w:type="dxa"/>
            <w:vAlign w:val="bottom"/>
          </w:tcPr>
          <w:p>
            <w:pPr>
              <w:spacing w:after="0"/>
              <w:rPr>
                <w:sz w:val="18"/>
                <w:szCs w:val="18"/>
                <w:color w:val="auto"/>
              </w:rPr>
            </w:pPr>
          </w:p>
        </w:tc>
        <w:tc>
          <w:tcPr>
            <w:tcW w:w="10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135</w:t>
            </w:r>
          </w:p>
        </w:tc>
        <w:tc>
          <w:tcPr>
            <w:tcW w:w="10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3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71</w:t>
            </w: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1,784</w:t>
            </w: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0" w:type="dxa"/>
            <w:vAlign w:val="bottom"/>
          </w:tcPr>
          <w:p>
            <w:pPr>
              <w:spacing w:after="0"/>
              <w:rPr>
                <w:sz w:val="1"/>
                <w:szCs w:val="1"/>
                <w:color w:val="auto"/>
              </w:rPr>
            </w:pPr>
          </w:p>
        </w:tc>
      </w:tr>
      <w:tr>
        <w:trPr>
          <w:trHeight w:val="210"/>
        </w:trPr>
        <w:tc>
          <w:tcPr>
            <w:tcW w:w="41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costs incurred for equity companies</w:t>
            </w:r>
          </w:p>
        </w:tc>
        <w:tc>
          <w:tcPr>
            <w:tcW w:w="10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135</w:t>
            </w:r>
          </w:p>
        </w:tc>
        <w:tc>
          <w:tcPr>
            <w:tcW w:w="10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3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71</w:t>
            </w: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1,784</w:t>
            </w: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0" w:type="dxa"/>
            <w:vAlign w:val="bottom"/>
          </w:tcPr>
          <w:p>
            <w:pPr>
              <w:spacing w:after="0"/>
              <w:rPr>
                <w:sz w:val="1"/>
                <w:szCs w:val="1"/>
                <w:color w:val="auto"/>
              </w:rPr>
            </w:pPr>
          </w:p>
        </w:tc>
      </w:tr>
      <w:tr>
        <w:trPr>
          <w:trHeight w:val="358"/>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During 2019</w:t>
            </w: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2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Property acquisition costs</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Proved</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Unproved</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226</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105</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20</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Exploration costs</w:t>
            </w:r>
          </w:p>
        </w:tc>
        <w:tc>
          <w:tcPr>
            <w:tcW w:w="20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134</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1,107</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252</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111</w:t>
            </w: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194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Development costs</w:t>
            </w:r>
          </w:p>
        </w:tc>
        <w:tc>
          <w:tcPr>
            <w:tcW w:w="2040" w:type="dxa"/>
            <w:vAlign w:val="bottom"/>
          </w:tcPr>
          <w:p>
            <w:pPr>
              <w:spacing w:after="0"/>
              <w:rPr>
                <w:sz w:val="18"/>
                <w:szCs w:val="18"/>
                <w:color w:val="auto"/>
              </w:rPr>
            </w:pPr>
          </w:p>
        </w:tc>
        <w:tc>
          <w:tcPr>
            <w:tcW w:w="10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10,275</w:t>
            </w:r>
          </w:p>
        </w:tc>
        <w:tc>
          <w:tcPr>
            <w:tcW w:w="10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2,946</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3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1,066</w:t>
            </w: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1,317</w:t>
            </w: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484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16,897</w:t>
            </w:r>
          </w:p>
        </w:tc>
        <w:tc>
          <w:tcPr>
            <w:tcW w:w="0" w:type="dxa"/>
            <w:vAlign w:val="bottom"/>
          </w:tcPr>
          <w:p>
            <w:pPr>
              <w:spacing w:after="0"/>
              <w:rPr>
                <w:sz w:val="1"/>
                <w:szCs w:val="1"/>
                <w:color w:val="auto"/>
              </w:rPr>
            </w:pPr>
          </w:p>
        </w:tc>
      </w:tr>
      <w:tr>
        <w:trPr>
          <w:trHeight w:val="210"/>
        </w:trPr>
        <w:tc>
          <w:tcPr>
            <w:tcW w:w="41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costs incurred for consolidated subsidiaries</w:t>
            </w:r>
          </w:p>
        </w:tc>
        <w:tc>
          <w:tcPr>
            <w:tcW w:w="10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10,647</w:t>
            </w:r>
          </w:p>
        </w:tc>
        <w:tc>
          <w:tcPr>
            <w:tcW w:w="10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4,158</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3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1,338</w:t>
            </w: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1,454</w:t>
            </w: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678</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19,240</w:t>
            </w:r>
          </w:p>
        </w:tc>
        <w:tc>
          <w:tcPr>
            <w:tcW w:w="0" w:type="dxa"/>
            <w:vAlign w:val="bottom"/>
          </w:tcPr>
          <w:p>
            <w:pPr>
              <w:spacing w:after="0"/>
              <w:rPr>
                <w:sz w:val="1"/>
                <w:szCs w:val="1"/>
                <w:color w:val="auto"/>
              </w:rPr>
            </w:pPr>
          </w:p>
        </w:tc>
      </w:tr>
      <w:tr>
        <w:trPr>
          <w:trHeight w:val="358"/>
        </w:trPr>
        <w:tc>
          <w:tcPr>
            <w:tcW w:w="20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Equity Companies</w:t>
            </w: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Property acquisition costs</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Proved</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Unproved</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Exploration costs</w:t>
            </w:r>
          </w:p>
        </w:tc>
        <w:tc>
          <w:tcPr>
            <w:tcW w:w="20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Development costs</w:t>
            </w:r>
          </w:p>
        </w:tc>
        <w:tc>
          <w:tcPr>
            <w:tcW w:w="2040" w:type="dxa"/>
            <w:vAlign w:val="bottom"/>
          </w:tcPr>
          <w:p>
            <w:pPr>
              <w:spacing w:after="0"/>
              <w:rPr>
                <w:sz w:val="18"/>
                <w:szCs w:val="18"/>
                <w:color w:val="auto"/>
              </w:rPr>
            </w:pPr>
          </w:p>
        </w:tc>
        <w:tc>
          <w:tcPr>
            <w:tcW w:w="10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241</w:t>
            </w:r>
          </w:p>
        </w:tc>
        <w:tc>
          <w:tcPr>
            <w:tcW w:w="10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3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69</w:t>
            </w: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2,585</w:t>
            </w: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0" w:type="dxa"/>
            <w:vAlign w:val="bottom"/>
          </w:tcPr>
          <w:p>
            <w:pPr>
              <w:spacing w:after="0"/>
              <w:rPr>
                <w:sz w:val="1"/>
                <w:szCs w:val="1"/>
                <w:color w:val="auto"/>
              </w:rPr>
            </w:pPr>
          </w:p>
        </w:tc>
      </w:tr>
      <w:tr>
        <w:trPr>
          <w:trHeight w:val="210"/>
        </w:trPr>
        <w:tc>
          <w:tcPr>
            <w:tcW w:w="41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costs incurred for equity companies</w:t>
            </w:r>
          </w:p>
        </w:tc>
        <w:tc>
          <w:tcPr>
            <w:tcW w:w="10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242</w:t>
            </w:r>
          </w:p>
        </w:tc>
        <w:tc>
          <w:tcPr>
            <w:tcW w:w="10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3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69</w:t>
            </w: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2,585</w:t>
            </w: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0" w:type="dxa"/>
            <w:vAlign w:val="bottom"/>
          </w:tcPr>
          <w:p>
            <w:pPr>
              <w:spacing w:after="0"/>
              <w:rPr>
                <w:sz w:val="1"/>
                <w:szCs w:val="1"/>
                <w:color w:val="auto"/>
              </w:rPr>
            </w:pPr>
          </w:p>
        </w:tc>
      </w:tr>
      <w:tr>
        <w:trPr>
          <w:trHeight w:val="358"/>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During 2018</w:t>
            </w: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2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Property acquisition costs</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Proved</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321</w:t>
            </w: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Unproved</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238</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2,109</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Exploration costs</w:t>
            </w:r>
          </w:p>
        </w:tc>
        <w:tc>
          <w:tcPr>
            <w:tcW w:w="20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235</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1,113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342</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217</w:t>
            </w: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174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Development costs</w:t>
            </w:r>
          </w:p>
        </w:tc>
        <w:tc>
          <w:tcPr>
            <w:tcW w:w="2040" w:type="dxa"/>
            <w:vAlign w:val="bottom"/>
          </w:tcPr>
          <w:p>
            <w:pPr>
              <w:spacing w:after="0"/>
              <w:rPr>
                <w:sz w:val="18"/>
                <w:szCs w:val="18"/>
                <w:color w:val="auto"/>
              </w:rPr>
            </w:pPr>
          </w:p>
        </w:tc>
        <w:tc>
          <w:tcPr>
            <w:tcW w:w="10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7,440</w:t>
            </w:r>
          </w:p>
        </w:tc>
        <w:tc>
          <w:tcPr>
            <w:tcW w:w="10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1,734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3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791</w:t>
            </w: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1,104</w:t>
            </w: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256</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11,421</w:t>
            </w:r>
          </w:p>
        </w:tc>
        <w:tc>
          <w:tcPr>
            <w:tcW w:w="0" w:type="dxa"/>
            <w:vAlign w:val="bottom"/>
          </w:tcPr>
          <w:p>
            <w:pPr>
              <w:spacing w:after="0"/>
              <w:rPr>
                <w:sz w:val="1"/>
                <w:szCs w:val="1"/>
                <w:color w:val="auto"/>
              </w:rPr>
            </w:pPr>
          </w:p>
        </w:tc>
      </w:tr>
      <w:tr>
        <w:trPr>
          <w:trHeight w:val="210"/>
        </w:trPr>
        <w:tc>
          <w:tcPr>
            <w:tcW w:w="41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costs incurred for consolidated subsidiaries</w:t>
            </w:r>
          </w:p>
        </w:tc>
        <w:tc>
          <w:tcPr>
            <w:tcW w:w="10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7,920</w:t>
            </w:r>
          </w:p>
        </w:tc>
        <w:tc>
          <w:tcPr>
            <w:tcW w:w="10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4,959</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3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1,134</w:t>
            </w: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1,642</w:t>
            </w: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430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16,328</w:t>
            </w:r>
          </w:p>
        </w:tc>
        <w:tc>
          <w:tcPr>
            <w:tcW w:w="0" w:type="dxa"/>
            <w:vAlign w:val="bottom"/>
          </w:tcPr>
          <w:p>
            <w:pPr>
              <w:spacing w:after="0"/>
              <w:rPr>
                <w:sz w:val="1"/>
                <w:szCs w:val="1"/>
                <w:color w:val="auto"/>
              </w:rPr>
            </w:pPr>
          </w:p>
        </w:tc>
      </w:tr>
      <w:tr>
        <w:trPr>
          <w:trHeight w:val="358"/>
        </w:trPr>
        <w:tc>
          <w:tcPr>
            <w:tcW w:w="20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Equity Companies</w:t>
            </w: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Property acquisition costs</w:t>
            </w: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Proved</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21</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Unproved</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Exploration costs</w:t>
            </w:r>
          </w:p>
        </w:tc>
        <w:tc>
          <w:tcPr>
            <w:tcW w:w="2040" w:type="dxa"/>
            <w:vAlign w:val="bottom"/>
          </w:tcPr>
          <w:p>
            <w:pPr>
              <w:spacing w:after="0"/>
              <w:rPr>
                <w:sz w:val="18"/>
                <w:szCs w:val="18"/>
                <w:color w:val="auto"/>
              </w:rPr>
            </w:pP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112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6"/>
        </w:trPr>
        <w:tc>
          <w:tcPr>
            <w:tcW w:w="20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Development costs</w:t>
            </w:r>
          </w:p>
        </w:tc>
        <w:tc>
          <w:tcPr>
            <w:tcW w:w="2040" w:type="dxa"/>
            <w:vAlign w:val="bottom"/>
          </w:tcPr>
          <w:p>
            <w:pPr>
              <w:spacing w:after="0"/>
              <w:rPr>
                <w:sz w:val="18"/>
                <w:szCs w:val="18"/>
                <w:color w:val="auto"/>
              </w:rPr>
            </w:pPr>
          </w:p>
        </w:tc>
        <w:tc>
          <w:tcPr>
            <w:tcW w:w="10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442</w:t>
            </w:r>
          </w:p>
        </w:tc>
        <w:tc>
          <w:tcPr>
            <w:tcW w:w="10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3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66</w:t>
            </w: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2,452</w:t>
            </w: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213"/>
        </w:trPr>
        <w:tc>
          <w:tcPr>
            <w:tcW w:w="41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costs incurred for equity companies</w:t>
            </w:r>
          </w:p>
        </w:tc>
        <w:tc>
          <w:tcPr>
            <w:tcW w:w="10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464</w:t>
            </w:r>
          </w:p>
        </w:tc>
        <w:tc>
          <w:tcPr>
            <w:tcW w:w="10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3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66</w:t>
            </w:r>
          </w:p>
        </w:tc>
        <w:tc>
          <w:tcPr>
            <w:tcW w:w="8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2,457</w:t>
            </w: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Oil and Gas Reserves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describes changes during the years and balances of proved oil and gas reserves at year-end 2018, 2019 and 2020.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definitions used are in accordance with the Securities and Exchange Commission’s Rule 4-10 (a) of Regulation S-X.</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Proved oil and natural gas reserves are those quantities of oil and natural gas, which, by analysis of geoscience and engineering data, can be estimated with 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In some cases, substantial new investments in additional wells and related facilities will be required to recover these proved reserves.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Securities and Exchange Commission’s (SEC) rules, the Corporation’s year-end reserves volumes as well as the reserves change categories shown in the following tables are required to be calculated on the basis of average prices during the 12-month period prior to the ending date of the period covered by the report, determined as an unweighted arithmetic average of the first-day-of-the-month price for each month within such period. These reserves quantities are also used in calculating unit-of-production depreciation rates and in calculating the standardized measure of discounted net cash flows.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Revisions can include upward or downward changes in previously estimated volumes of proved reserves for existing fields due to the evaluation or re-evaluation of (1) already available geologic, reservoir or production data, (2) new geologic, reservoir or production data or (3) changes in the average of first-of-month oil and natural gas prices and/or costs that are used in the estimation of reserves. Revisions can also result from significant changes in either development strategy or production equipment/facility capacity.</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and second quarters of 2020, the balance of supply and demand for petroleum and petrochemical products experienced two significant disruptive effects. On the demand side, the COVID-19 pandemic spread rapidly through most areas of the world resulting in substantial reductions in consumer and business activity and significantly reduced demand for crude oil, natural gas, and petroleum products. This reduction in demand coincided with announcements of increased production in certain key oil-producing countries which led to increases in inventory levels and sharp declines in prices for crude oil, natural gas, and petroleum products. Market conditions continued to reflect considerable uncertainty throughout 2020.</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Primarily as a result of very low prices during 2020 and the effects of reductions in capital expenditures, under the SEC definition of proved reserves, certain quantities of crude oil, bitumen, and natural gas that qualified as proved reserves in prior years did not qualify as proved reserves at year-end 2020. Amounts no longer qualifying as proved reserves include 3.1 billion barrels of bitumen at Kearl, 0.6 billion barrels of bitumen at Cold Lake, and 0.5 billion oil-equivalent barrels in the United States. The Corporation's near-term reduction in capital expenditures resulted in a net reduction to estimates of proved reserves of approximately 1.5 billion oil-equivalent barrels, mainly related to unconventional drilling in the United States. Among the factors that could result in portions of these amounts being recognized again as proved reserves at some point in the future are a recovery in the SEC price basis, cost reductions, operating efficiencies, and increases in planned capital spending.</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Proved reserves include 100 percent of each majority-owned affiliate’s participation in proved reserves and ExxonMobil’s ownership percentage of the proved reserves of equity companies, but exclude royalties and quantities due others. Natural gas reserves exclude the gaseous equivalent of liquids expected to be removed from the natural gas on leases, at field facilities and at gas processing plants. These liquids are included in net proved reserves of crude oil and natural gas liquids.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proved reserves tables, consolidated reserves and equity company reserves are reported separately. However, the Corporation does not view equity company reserves any differently than those from consolidated companies.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Reserves reported under production sharing and other nonconcessionary agreements are based on the economic interest as defined by the specific fiscal terms in the agreement. The production and reserves reported for these types of arrangements typically vary inversely with oil and natural gas price changes. As oil and natural gas prices increase, the cash flow and value received by the company increase; however, the production volumes and reserves required to achieve this value will typically be lower because of the higher prices. When prices decrease, the opposite effect generally occurs. The percentage of total liquids and natural gas proved reserves (consolidated subsidiaries plus equity companies) at year-end 2020 that were associated with production sharing contract arrangements was 15 percent of liquids, 14 percent of natural gas and 15 percent on an oil-equivalent basis (natural gas is converted to an oil-equivalent basis at six billion cubic feet per one million barrels).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proved developed reserves are those volumes that are expected to be recovered through existing wells with existing equipment and operating methods or in which the cost of the required equipment is relatively minor compared to the cost of a new well. Net proved undeveloped reserves are those volumes that are expected to be recovered from new wells on undrilled acreage, or from existing wells where a relatively major expenditure is required for recompletion.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Crude oil, natural gas liquids, and natural gas production quantities shown are the net volumes withdrawn from ExxonMobil’s oil and natural gas reserves. The natural gas quantities differ from the quantities of natural gas delivered for sale by the producing function as reported in the Operating Information due to volumes consumed or flared and inventory changes.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4" w:name="page115"/>
    <w:bookmarkEnd w:id="114"/>
    <w:p>
      <w:pPr>
        <w:ind w:left="20"/>
        <w:spacing w:after="0"/>
        <w:rPr>
          <w:sz w:val="20"/>
          <w:szCs w:val="20"/>
          <w:color w:val="auto"/>
        </w:rPr>
      </w:pPr>
      <w:r>
        <w:rPr>
          <w:rFonts w:ascii="Times New Roman" w:cs="Times New Roman" w:eastAsia="Times New Roman" w:hAnsi="Times New Roman"/>
          <w:sz w:val="16"/>
          <w:szCs w:val="16"/>
          <w:b w:val="1"/>
          <w:bCs w:val="1"/>
          <w:color w:val="auto"/>
        </w:rPr>
        <w:t>Crude Oil, Natural Gas Liquids, Bitumen and Synthetic Oil Proved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Crude Oil</w:t>
            </w: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Natural Gas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Bitumen</w:t>
            </w:r>
          </w:p>
        </w:tc>
        <w:tc>
          <w:tcPr>
            <w:tcW w:w="80" w:type="dxa"/>
            <w:vAlign w:val="bottom"/>
            <w:vMerge w:val="restart"/>
          </w:tcPr>
          <w:p>
            <w:pPr>
              <w:spacing w:after="0"/>
              <w:rPr>
                <w:sz w:val="13"/>
                <w:szCs w:val="13"/>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Synthetic</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Liquids</w:t>
            </w:r>
          </w:p>
        </w:tc>
        <w:tc>
          <w:tcPr>
            <w:tcW w:w="8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Oil</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78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United</w:t>
            </w:r>
          </w:p>
        </w:tc>
        <w:tc>
          <w:tcPr>
            <w:tcW w:w="8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Canada/</w:t>
            </w: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Australia/</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color w:val="auto"/>
              </w:rPr>
              <w:t>Canada/</w:t>
            </w:r>
          </w:p>
        </w:tc>
        <w:tc>
          <w:tcPr>
            <w:tcW w:w="84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rPr>
              <w:t>Canada/</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70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Europe</w:t>
            </w:r>
          </w:p>
        </w:tc>
        <w:tc>
          <w:tcPr>
            <w:tcW w:w="8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Africa</w:t>
            </w:r>
          </w:p>
        </w:tc>
        <w:tc>
          <w:tcPr>
            <w:tcW w:w="68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Asia</w:t>
            </w:r>
          </w:p>
        </w:tc>
        <w:tc>
          <w:tcPr>
            <w:tcW w:w="820" w:type="dxa"/>
            <w:vAlign w:val="bottom"/>
            <w:vMerge w:val="continue"/>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Worldwide</w:t>
            </w:r>
          </w:p>
        </w:tc>
        <w:tc>
          <w:tcPr>
            <w:tcW w:w="8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8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64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9"/>
        </w:trPr>
        <w:tc>
          <w:tcPr>
            <w:tcW w:w="26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color w:val="auto"/>
              </w:rPr>
              <w:t>States</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Americas</w:t>
            </w:r>
          </w:p>
        </w:tc>
        <w:tc>
          <w:tcPr>
            <w:tcW w:w="7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color w:val="auto"/>
              </w:rPr>
              <w:t>Oceania</w:t>
            </w:r>
          </w:p>
        </w:tc>
        <w:tc>
          <w:tcPr>
            <w:tcW w:w="66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Americas</w:t>
            </w:r>
          </w:p>
        </w:tc>
        <w:tc>
          <w:tcPr>
            <w:tcW w:w="8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Americas</w:t>
            </w: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160" w:type="dxa"/>
            <w:vAlign w:val="bottom"/>
            <w:gridSpan w:val="4"/>
          </w:tcPr>
          <w:p>
            <w:pPr>
              <w:ind w:left="560"/>
              <w:spacing w:after="0"/>
              <w:rPr>
                <w:sz w:val="20"/>
                <w:szCs w:val="20"/>
                <w:color w:val="auto"/>
              </w:rPr>
            </w:pPr>
            <w:r>
              <w:rPr>
                <w:rFonts w:ascii="Times New Roman" w:cs="Times New Roman" w:eastAsia="Times New Roman" w:hAnsi="Times New Roman"/>
                <w:sz w:val="14"/>
                <w:szCs w:val="14"/>
                <w:i w:val="1"/>
                <w:iCs w:val="1"/>
                <w:color w:val="auto"/>
              </w:rPr>
              <w:t>(millions of barrels)</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proved developed and undeveloped</w:t>
            </w: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reserves of consolidated subsidiaries</w:t>
            </w: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2018</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2,695</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410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729</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3,496</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110</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7,559</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8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473</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10,302</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Revisions</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61</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28</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3,286</w:t>
            </w:r>
          </w:p>
        </w:tc>
        <w:tc>
          <w:tcPr>
            <w:tcW w:w="8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3,438</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Improved recovery</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13</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Extensions/discoveries</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595</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9</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Production</w:t>
            </w: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(144)</w:t>
            </w: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(138)</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2018</w:t>
            </w:r>
          </w:p>
        </w:tc>
        <w:tc>
          <w:tcPr>
            <w:tcW w:w="7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3,204</w:t>
            </w: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529</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604</w:t>
            </w: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3,357</w:t>
            </w:r>
          </w:p>
        </w:tc>
        <w:tc>
          <w:tcPr>
            <w:tcW w:w="8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105</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7,965</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4,185</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466</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14,020</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Attributable to noncontrolling interests</w:t>
            </w:r>
          </w:p>
        </w:tc>
        <w:tc>
          <w:tcPr>
            <w:tcW w:w="780" w:type="dxa"/>
            <w:vAlign w:val="bottom"/>
          </w:tcPr>
          <w:p>
            <w:pPr>
              <w:spacing w:after="0"/>
              <w:rPr>
                <w:sz w:val="16"/>
                <w:szCs w:val="16"/>
                <w:color w:val="auto"/>
              </w:rPr>
            </w:pP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44</w:t>
            </w: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4</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962</w:t>
            </w:r>
          </w:p>
        </w:tc>
        <w:tc>
          <w:tcPr>
            <w:tcW w:w="80" w:type="dxa"/>
            <w:vAlign w:val="bottom"/>
          </w:tcPr>
          <w:p>
            <w:pPr>
              <w:spacing w:after="0"/>
              <w:rPr>
                <w:sz w:val="16"/>
                <w:szCs w:val="16"/>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4"/>
                <w:szCs w:val="14"/>
                <w:i w:val="1"/>
                <w:iCs w:val="1"/>
                <w:color w:val="auto"/>
              </w:rPr>
              <w:t>142</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Proportional interest in proved reserves</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 equity companies</w:t>
            </w: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2018</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245</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1,097</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Revisions</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28</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Improved recovery</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Extensions/discoveries</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Production</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2018</w:t>
            </w:r>
          </w:p>
        </w:tc>
        <w:tc>
          <w:tcPr>
            <w:tcW w:w="7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254</w:t>
            </w:r>
          </w:p>
        </w:tc>
        <w:tc>
          <w:tcPr>
            <w:tcW w:w="8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c>
          <w:tcPr>
            <w:tcW w:w="6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1,020</w:t>
            </w:r>
          </w:p>
        </w:tc>
        <w:tc>
          <w:tcPr>
            <w:tcW w:w="8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0" w:type="dxa"/>
            <w:vAlign w:val="bottom"/>
          </w:tcPr>
          <w:p>
            <w:pPr>
              <w:spacing w:after="0"/>
              <w:rPr>
                <w:sz w:val="1"/>
                <w:szCs w:val="1"/>
                <w:color w:val="auto"/>
              </w:rPr>
            </w:pPr>
          </w:p>
        </w:tc>
      </w:tr>
      <w:tr>
        <w:trPr>
          <w:trHeight w:val="148"/>
        </w:trPr>
        <w:tc>
          <w:tcPr>
            <w:tcW w:w="262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Total liquids proved reserves at</w:t>
            </w:r>
          </w:p>
        </w:tc>
        <w:tc>
          <w:tcPr>
            <w:tcW w:w="78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3,458</w:t>
            </w:r>
          </w:p>
        </w:tc>
        <w:tc>
          <w:tcPr>
            <w:tcW w:w="8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529</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6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610</w:t>
            </w:r>
          </w:p>
        </w:tc>
        <w:tc>
          <w:tcPr>
            <w:tcW w:w="68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4,377</w:t>
            </w:r>
          </w:p>
        </w:tc>
        <w:tc>
          <w:tcPr>
            <w:tcW w:w="82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105</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9,260</w:t>
            </w: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1,746</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4,185</w:t>
            </w:r>
          </w:p>
        </w:tc>
        <w:tc>
          <w:tcPr>
            <w:tcW w:w="80" w:type="dxa"/>
            <w:vAlign w:val="bottom"/>
          </w:tcPr>
          <w:p>
            <w:pPr>
              <w:spacing w:after="0"/>
              <w:rPr>
                <w:sz w:val="12"/>
                <w:szCs w:val="12"/>
                <w:color w:val="auto"/>
              </w:rPr>
            </w:pPr>
          </w:p>
        </w:tc>
        <w:tc>
          <w:tcPr>
            <w:tcW w:w="7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466</w:t>
            </w: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15,657</w:t>
            </w:r>
          </w:p>
        </w:tc>
        <w:tc>
          <w:tcPr>
            <w:tcW w:w="0" w:type="dxa"/>
            <w:vAlign w:val="bottom"/>
          </w:tcPr>
          <w:p>
            <w:pPr>
              <w:spacing w:after="0"/>
              <w:rPr>
                <w:sz w:val="1"/>
                <w:szCs w:val="1"/>
                <w:color w:val="auto"/>
              </w:rPr>
            </w:pPr>
          </w:p>
        </w:tc>
      </w:tr>
      <w:tr>
        <w:trPr>
          <w:trHeight w:val="215"/>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December 31, 2018</w:t>
            </w:r>
          </w:p>
        </w:tc>
        <w:tc>
          <w:tcPr>
            <w:tcW w:w="78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proved developed and undeveloped</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reserves of consolidated subsidiaries</w:t>
            </w: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2019</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3,204</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529</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604</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3,357</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105</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7,965</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4,185</w:t>
            </w:r>
          </w:p>
        </w:tc>
        <w:tc>
          <w:tcPr>
            <w:tcW w:w="8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466</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14,020</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Revisions</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(677)</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(66)</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136</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Improved recovery</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20</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Extensions/discoveries</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710</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125</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Production</w:t>
            </w: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(168)</w:t>
            </w:r>
          </w:p>
        </w:tc>
        <w:tc>
          <w:tcPr>
            <w:tcW w:w="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(31)</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(132)</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2019</w:t>
            </w:r>
          </w:p>
        </w:tc>
        <w:tc>
          <w:tcPr>
            <w:tcW w:w="7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3,088</w:t>
            </w: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557</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447</w:t>
            </w:r>
          </w:p>
        </w:tc>
        <w:tc>
          <w:tcPr>
            <w:tcW w:w="6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3,335</w:t>
            </w:r>
          </w:p>
        </w:tc>
        <w:tc>
          <w:tcPr>
            <w:tcW w:w="8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94</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7,560</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415</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13,108</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Attributable to noncontrolling interests</w:t>
            </w:r>
          </w:p>
        </w:tc>
        <w:tc>
          <w:tcPr>
            <w:tcW w:w="780" w:type="dxa"/>
            <w:vAlign w:val="bottom"/>
          </w:tcPr>
          <w:p>
            <w:pPr>
              <w:spacing w:after="0"/>
              <w:rPr>
                <w:sz w:val="16"/>
                <w:szCs w:val="16"/>
                <w:color w:val="auto"/>
              </w:rPr>
            </w:pP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21</w:t>
            </w: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3</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894</w:t>
            </w:r>
          </w:p>
        </w:tc>
        <w:tc>
          <w:tcPr>
            <w:tcW w:w="80" w:type="dxa"/>
            <w:vAlign w:val="bottom"/>
          </w:tcPr>
          <w:p>
            <w:pPr>
              <w:spacing w:after="0"/>
              <w:rPr>
                <w:sz w:val="16"/>
                <w:szCs w:val="16"/>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4"/>
                <w:szCs w:val="14"/>
                <w:i w:val="1"/>
                <w:iCs w:val="1"/>
                <w:color w:val="auto"/>
              </w:rPr>
              <w:t>126</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Proportional interest in proved reserves</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 equity companies</w:t>
            </w: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2019</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254</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1,020</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Revisions</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15</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Improved recovery</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Extensions/discoveries</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Production</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2019</w:t>
            </w:r>
          </w:p>
        </w:tc>
        <w:tc>
          <w:tcPr>
            <w:tcW w:w="78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251</w:t>
            </w:r>
          </w:p>
        </w:tc>
        <w:tc>
          <w:tcPr>
            <w:tcW w:w="8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c>
          <w:tcPr>
            <w:tcW w:w="6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897</w:t>
            </w:r>
          </w:p>
        </w:tc>
        <w:tc>
          <w:tcPr>
            <w:tcW w:w="8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0" w:type="dxa"/>
            <w:vAlign w:val="bottom"/>
          </w:tcPr>
          <w:p>
            <w:pPr>
              <w:spacing w:after="0"/>
              <w:rPr>
                <w:sz w:val="1"/>
                <w:szCs w:val="1"/>
                <w:color w:val="auto"/>
              </w:rPr>
            </w:pPr>
          </w:p>
        </w:tc>
      </w:tr>
      <w:tr>
        <w:trPr>
          <w:trHeight w:val="148"/>
        </w:trPr>
        <w:tc>
          <w:tcPr>
            <w:tcW w:w="262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Total liquids proved reserves at</w:t>
            </w:r>
          </w:p>
        </w:tc>
        <w:tc>
          <w:tcPr>
            <w:tcW w:w="78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3,339</w:t>
            </w:r>
          </w:p>
        </w:tc>
        <w:tc>
          <w:tcPr>
            <w:tcW w:w="8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557</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6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453</w:t>
            </w:r>
          </w:p>
        </w:tc>
        <w:tc>
          <w:tcPr>
            <w:tcW w:w="68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4,232</w:t>
            </w:r>
          </w:p>
        </w:tc>
        <w:tc>
          <w:tcPr>
            <w:tcW w:w="82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94</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8,728</w:t>
            </w: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1,597</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80" w:type="dxa"/>
            <w:vAlign w:val="bottom"/>
          </w:tcPr>
          <w:p>
            <w:pPr>
              <w:spacing w:after="0"/>
              <w:rPr>
                <w:sz w:val="12"/>
                <w:szCs w:val="12"/>
                <w:color w:val="auto"/>
              </w:rPr>
            </w:pPr>
          </w:p>
        </w:tc>
        <w:tc>
          <w:tcPr>
            <w:tcW w:w="7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415</w:t>
            </w:r>
          </w:p>
        </w:tc>
        <w:tc>
          <w:tcPr>
            <w:tcW w:w="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14,598</w:t>
            </w:r>
          </w:p>
        </w:tc>
        <w:tc>
          <w:tcPr>
            <w:tcW w:w="0" w:type="dxa"/>
            <w:vAlign w:val="bottom"/>
          </w:tcPr>
          <w:p>
            <w:pPr>
              <w:spacing w:after="0"/>
              <w:rPr>
                <w:sz w:val="1"/>
                <w:szCs w:val="1"/>
                <w:color w:val="auto"/>
              </w:rPr>
            </w:pPr>
          </w:p>
        </w:tc>
      </w:tr>
      <w:tr>
        <w:trPr>
          <w:trHeight w:val="218"/>
        </w:trPr>
        <w:tc>
          <w:tcPr>
            <w:tcW w:w="2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December 31, 2019</w:t>
            </w:r>
          </w:p>
        </w:tc>
        <w:tc>
          <w:tcPr>
            <w:tcW w:w="78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115" w:name="page116"/>
    <w:bookmarkEnd w:id="115"/>
    <w:p>
      <w:pPr>
        <w:ind w:left="20"/>
        <w:spacing w:after="0"/>
        <w:rPr>
          <w:sz w:val="20"/>
          <w:szCs w:val="20"/>
          <w:color w:val="auto"/>
        </w:rPr>
      </w:pPr>
      <w:r>
        <w:rPr>
          <w:rFonts w:ascii="Times New Roman" w:cs="Times New Roman" w:eastAsia="Times New Roman" w:hAnsi="Times New Roman"/>
          <w:sz w:val="16"/>
          <w:szCs w:val="16"/>
          <w:b w:val="1"/>
          <w:bCs w:val="1"/>
          <w:color w:val="auto"/>
        </w:rPr>
        <w:t>Crude Oil, Natural Gas Liquids, Bitumen and Synthetic Oil Proved Reserves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Crude Oil</w:t>
            </w: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Natural Gas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Bitumen</w:t>
            </w:r>
          </w:p>
        </w:tc>
        <w:tc>
          <w:tcPr>
            <w:tcW w:w="80" w:type="dxa"/>
            <w:vAlign w:val="bottom"/>
            <w:vMerge w:val="restart"/>
          </w:tcPr>
          <w:p>
            <w:pPr>
              <w:spacing w:after="0"/>
              <w:rPr>
                <w:sz w:val="13"/>
                <w:szCs w:val="13"/>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Synthetic</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Liquids</w:t>
            </w:r>
          </w:p>
        </w:tc>
        <w:tc>
          <w:tcPr>
            <w:tcW w:w="8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Oil</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74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United</w:t>
            </w:r>
          </w:p>
        </w:tc>
        <w:tc>
          <w:tcPr>
            <w:tcW w:w="840" w:type="dxa"/>
            <w:vAlign w:val="bottom"/>
          </w:tcPr>
          <w:p>
            <w:pPr>
              <w:jc w:val="center"/>
              <w:ind w:right="21"/>
              <w:spacing w:after="0" w:line="143" w:lineRule="exact"/>
              <w:rPr>
                <w:sz w:val="20"/>
                <w:szCs w:val="20"/>
                <w:color w:val="auto"/>
              </w:rPr>
            </w:pPr>
            <w:r>
              <w:rPr>
                <w:rFonts w:ascii="Times New Roman" w:cs="Times New Roman" w:eastAsia="Times New Roman" w:hAnsi="Times New Roman"/>
                <w:sz w:val="14"/>
                <w:szCs w:val="14"/>
                <w:color w:val="auto"/>
              </w:rPr>
              <w:t>Canada/</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Australia/</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60"/>
              <w:spacing w:after="0" w:line="143" w:lineRule="exact"/>
              <w:rPr>
                <w:sz w:val="20"/>
                <w:szCs w:val="20"/>
                <w:color w:val="auto"/>
              </w:rPr>
            </w:pPr>
            <w:r>
              <w:rPr>
                <w:rFonts w:ascii="Times New Roman" w:cs="Times New Roman" w:eastAsia="Times New Roman" w:hAnsi="Times New Roman"/>
                <w:sz w:val="14"/>
                <w:szCs w:val="14"/>
                <w:color w:val="auto"/>
              </w:rPr>
              <w:t>Canada/</w:t>
            </w:r>
          </w:p>
        </w:tc>
        <w:tc>
          <w:tcPr>
            <w:tcW w:w="84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color w:val="auto"/>
              </w:rPr>
              <w:t>Canada/</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840" w:type="dxa"/>
            <w:vAlign w:val="bottom"/>
          </w:tcPr>
          <w:p>
            <w:pPr>
              <w:jc w:val="center"/>
              <w:ind w:right="21"/>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66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Europe</w:t>
            </w:r>
          </w:p>
        </w:tc>
        <w:tc>
          <w:tcPr>
            <w:tcW w:w="82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Africa</w:t>
            </w:r>
          </w:p>
        </w:tc>
        <w:tc>
          <w:tcPr>
            <w:tcW w:w="60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Asia</w:t>
            </w:r>
          </w:p>
        </w:tc>
        <w:tc>
          <w:tcPr>
            <w:tcW w:w="840" w:type="dxa"/>
            <w:vAlign w:val="bottom"/>
            <w:vMerge w:val="continue"/>
          </w:tcPr>
          <w:p>
            <w:pPr>
              <w:spacing w:after="0"/>
              <w:rPr>
                <w:sz w:val="11"/>
                <w:szCs w:val="11"/>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Worldwide</w:t>
            </w:r>
          </w:p>
        </w:tc>
        <w:tc>
          <w:tcPr>
            <w:tcW w:w="8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8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76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9"/>
        </w:trPr>
        <w:tc>
          <w:tcPr>
            <w:tcW w:w="26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color w:val="auto"/>
              </w:rPr>
              <w:t>States</w:t>
            </w:r>
          </w:p>
        </w:tc>
        <w:tc>
          <w:tcPr>
            <w:tcW w:w="8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color w:val="auto"/>
              </w:rPr>
              <w:t>Americas</w:t>
            </w:r>
          </w:p>
        </w:tc>
        <w:tc>
          <w:tcPr>
            <w:tcW w:w="66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color w:val="auto"/>
              </w:rPr>
              <w:t>Oceania</w:t>
            </w:r>
          </w:p>
        </w:tc>
        <w:tc>
          <w:tcPr>
            <w:tcW w:w="68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Americas</w:t>
            </w:r>
          </w:p>
        </w:tc>
        <w:tc>
          <w:tcPr>
            <w:tcW w:w="8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Americas</w:t>
            </w: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4"/>
                <w:szCs w:val="14"/>
                <w:i w:val="1"/>
                <w:iCs w:val="1"/>
                <w:color w:val="auto"/>
              </w:rPr>
              <w:t>(millions of barrels)</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proved developed and undeveloped</w:t>
            </w: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reserves of consolidated subsidiaries</w:t>
            </w: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2020</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3,088</w:t>
            </w: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557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447</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3,335</w:t>
            </w:r>
          </w:p>
        </w:tc>
        <w:tc>
          <w:tcPr>
            <w:tcW w:w="84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9"/>
              </w:rPr>
              <w:t>94</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7,560</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13,108</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Revisions</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(1,139)</w:t>
            </w: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40" w:type="dxa"/>
            <w:vAlign w:val="bottom"/>
          </w:tcPr>
          <w:p>
            <w:pPr>
              <w:jc w:val="center"/>
              <w:ind w:left="280"/>
              <w:spacing w:after="0"/>
              <w:rPr>
                <w:sz w:val="20"/>
                <w:szCs w:val="20"/>
                <w:color w:val="auto"/>
              </w:rPr>
            </w:pPr>
            <w:r>
              <w:rPr>
                <w:rFonts w:ascii="Times New Roman" w:cs="Times New Roman" w:eastAsia="Times New Roman" w:hAnsi="Times New Roman"/>
                <w:sz w:val="16"/>
                <w:szCs w:val="16"/>
                <w:color w:val="auto"/>
              </w:rPr>
              <w:t>(10)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(5,114)</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Improved recovery</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Extensions/discoveries</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187</w:t>
            </w: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Production</w:t>
            </w:r>
          </w:p>
        </w:tc>
        <w:tc>
          <w:tcPr>
            <w:tcW w:w="7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(176)</w:t>
            </w:r>
          </w:p>
        </w:tc>
        <w:tc>
          <w:tcPr>
            <w:tcW w:w="8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(45)</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(110)</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840" w:type="dxa"/>
            <w:vAlign w:val="bottom"/>
            <w:tcBorders>
              <w:bottom w:val="single" w:sz="8" w:color="auto"/>
            </w:tcBorders>
          </w:tcPr>
          <w:p>
            <w:pPr>
              <w:jc w:val="center"/>
              <w:ind w:left="280"/>
              <w:spacing w:after="0"/>
              <w:rPr>
                <w:sz w:val="20"/>
                <w:szCs w:val="20"/>
                <w:color w:val="auto"/>
              </w:rPr>
            </w:pPr>
            <w:r>
              <w:rPr>
                <w:rFonts w:ascii="Times New Roman" w:cs="Times New Roman" w:eastAsia="Times New Roman" w:hAnsi="Times New Roman"/>
                <w:sz w:val="16"/>
                <w:szCs w:val="16"/>
                <w:color w:val="auto"/>
              </w:rPr>
              <w:t>(10)</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0" w:type="dxa"/>
            <w:vAlign w:val="bottom"/>
          </w:tcPr>
          <w:p>
            <w:pPr>
              <w:spacing w:after="0"/>
              <w:rPr>
                <w:sz w:val="1"/>
                <w:szCs w:val="1"/>
                <w:color w:val="auto"/>
              </w:rPr>
            </w:pPr>
          </w:p>
        </w:tc>
      </w:tr>
      <w:tr>
        <w:trPr>
          <w:trHeight w:val="210"/>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2020</w:t>
            </w:r>
          </w:p>
        </w:tc>
        <w:tc>
          <w:tcPr>
            <w:tcW w:w="7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1,959</w:t>
            </w:r>
          </w:p>
        </w:tc>
        <w:tc>
          <w:tcPr>
            <w:tcW w:w="8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497</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356</w:t>
            </w: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3,150</w:t>
            </w:r>
          </w:p>
        </w:tc>
        <w:tc>
          <w:tcPr>
            <w:tcW w:w="840" w:type="dxa"/>
            <w:vAlign w:val="bottom"/>
            <w:tcBorders>
              <w:bottom w:val="single" w:sz="8" w:color="auto"/>
            </w:tcBorders>
          </w:tcPr>
          <w:p>
            <w:pPr>
              <w:jc w:val="center"/>
              <w:ind w:left="320"/>
              <w:spacing w:after="0"/>
              <w:rPr>
                <w:sz w:val="20"/>
                <w:szCs w:val="20"/>
                <w:color w:val="auto"/>
              </w:rPr>
            </w:pPr>
            <w:r>
              <w:rPr>
                <w:rFonts w:ascii="Times New Roman" w:cs="Times New Roman" w:eastAsia="Times New Roman" w:hAnsi="Times New Roman"/>
                <w:sz w:val="16"/>
                <w:szCs w:val="16"/>
                <w:color w:val="auto"/>
                <w:w w:val="99"/>
              </w:rPr>
              <w:t>74</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6,058</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7,637</w:t>
            </w:r>
          </w:p>
        </w:tc>
        <w:tc>
          <w:tcPr>
            <w:tcW w:w="0" w:type="dxa"/>
            <w:vAlign w:val="bottom"/>
          </w:tcPr>
          <w:p>
            <w:pPr>
              <w:spacing w:after="0"/>
              <w:rPr>
                <w:sz w:val="1"/>
                <w:szCs w:val="1"/>
                <w:color w:val="auto"/>
              </w:rPr>
            </w:pPr>
          </w:p>
        </w:tc>
      </w:tr>
      <w:tr>
        <w:trPr>
          <w:trHeight w:val="189"/>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Attributable to noncontrolling interests</w:t>
            </w:r>
          </w:p>
        </w:tc>
        <w:tc>
          <w:tcPr>
            <w:tcW w:w="740" w:type="dxa"/>
            <w:vAlign w:val="bottom"/>
          </w:tcPr>
          <w:p>
            <w:pPr>
              <w:spacing w:after="0"/>
              <w:rPr>
                <w:sz w:val="16"/>
                <w:szCs w:val="16"/>
                <w:color w:val="auto"/>
              </w:rPr>
            </w:pP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4"/>
                <w:szCs w:val="14"/>
                <w:i w:val="1"/>
                <w:iCs w:val="1"/>
                <w:color w:val="auto"/>
              </w:rPr>
              <w:t>7</w:t>
            </w: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25</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135</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Proportional interest in proved reserves</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 equity companies</w:t>
            </w: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2020</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251</w:t>
            </w: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897</w:t>
            </w:r>
          </w:p>
        </w:tc>
        <w:tc>
          <w:tcPr>
            <w:tcW w:w="84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Revisions</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(102)</w:t>
            </w: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84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Improved recovery</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Extensions/discoveries</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Production</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c>
          <w:tcPr>
            <w:tcW w:w="8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40" w:type="dxa"/>
            <w:vAlign w:val="bottom"/>
          </w:tcPr>
          <w:p>
            <w:pPr>
              <w:jc w:val="center"/>
              <w:ind w:left="3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10"/>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2020</w:t>
            </w:r>
          </w:p>
        </w:tc>
        <w:tc>
          <w:tcPr>
            <w:tcW w:w="7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131</w:t>
            </w:r>
          </w:p>
        </w:tc>
        <w:tc>
          <w:tcPr>
            <w:tcW w:w="84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6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825</w:t>
            </w:r>
          </w:p>
        </w:tc>
        <w:tc>
          <w:tcPr>
            <w:tcW w:w="840" w:type="dxa"/>
            <w:vAlign w:val="bottom"/>
            <w:tcBorders>
              <w:top w:val="single" w:sz="8" w:color="auto"/>
              <w:bottom w:val="single" w:sz="8" w:color="auto"/>
            </w:tcBorders>
          </w:tcPr>
          <w:p>
            <w:pPr>
              <w:jc w:val="center"/>
              <w:ind w:left="3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0" w:type="dxa"/>
            <w:vAlign w:val="bottom"/>
          </w:tcPr>
          <w:p>
            <w:pPr>
              <w:spacing w:after="0"/>
              <w:rPr>
                <w:sz w:val="1"/>
                <w:szCs w:val="1"/>
                <w:color w:val="auto"/>
              </w:rPr>
            </w:pPr>
          </w:p>
        </w:tc>
      </w:tr>
      <w:tr>
        <w:trPr>
          <w:trHeight w:val="148"/>
        </w:trPr>
        <w:tc>
          <w:tcPr>
            <w:tcW w:w="266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Total liquids proved reserves at</w:t>
            </w:r>
          </w:p>
        </w:tc>
        <w:tc>
          <w:tcPr>
            <w:tcW w:w="7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2,090</w:t>
            </w:r>
          </w:p>
        </w:tc>
        <w:tc>
          <w:tcPr>
            <w:tcW w:w="84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497</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2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362</w:t>
            </w:r>
          </w:p>
        </w:tc>
        <w:tc>
          <w:tcPr>
            <w:tcW w:w="60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3,975</w:t>
            </w:r>
          </w:p>
        </w:tc>
        <w:tc>
          <w:tcPr>
            <w:tcW w:w="840" w:type="dxa"/>
            <w:vAlign w:val="bottom"/>
            <w:vMerge w:val="restart"/>
          </w:tcPr>
          <w:p>
            <w:pPr>
              <w:jc w:val="center"/>
              <w:ind w:left="320"/>
              <w:spacing w:after="0"/>
              <w:rPr>
                <w:sz w:val="20"/>
                <w:szCs w:val="20"/>
                <w:color w:val="auto"/>
              </w:rPr>
            </w:pPr>
            <w:r>
              <w:rPr>
                <w:rFonts w:ascii="Times New Roman" w:cs="Times New Roman" w:eastAsia="Times New Roman" w:hAnsi="Times New Roman"/>
                <w:sz w:val="16"/>
                <w:szCs w:val="16"/>
                <w:color w:val="auto"/>
                <w:w w:val="99"/>
              </w:rPr>
              <w:t>74</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7,029</w:t>
            </w:r>
          </w:p>
        </w:tc>
        <w:tc>
          <w:tcPr>
            <w:tcW w:w="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8,885</w:t>
            </w:r>
          </w:p>
        </w:tc>
        <w:tc>
          <w:tcPr>
            <w:tcW w:w="0" w:type="dxa"/>
            <w:vAlign w:val="bottom"/>
          </w:tcPr>
          <w:p>
            <w:pPr>
              <w:spacing w:after="0"/>
              <w:rPr>
                <w:sz w:val="1"/>
                <w:szCs w:val="1"/>
                <w:color w:val="auto"/>
              </w:rPr>
            </w:pPr>
          </w:p>
        </w:tc>
      </w:tr>
      <w:tr>
        <w:trPr>
          <w:trHeight w:val="218"/>
        </w:trPr>
        <w:tc>
          <w:tcPr>
            <w:tcW w:w="26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December 31, 2020</w:t>
            </w:r>
          </w:p>
        </w:tc>
        <w:tc>
          <w:tcPr>
            <w:tcW w:w="74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116" w:name="page117"/>
    <w:bookmarkEnd w:id="116"/>
    <w:p>
      <w:pPr>
        <w:ind w:left="20"/>
        <w:spacing w:after="0"/>
        <w:rPr>
          <w:sz w:val="20"/>
          <w:szCs w:val="20"/>
          <w:color w:val="auto"/>
        </w:rPr>
      </w:pPr>
      <w:r>
        <w:rPr>
          <w:rFonts w:ascii="Times New Roman" w:cs="Times New Roman" w:eastAsia="Times New Roman" w:hAnsi="Times New Roman"/>
          <w:sz w:val="16"/>
          <w:szCs w:val="16"/>
          <w:b w:val="1"/>
          <w:bCs w:val="1"/>
          <w:color w:val="auto"/>
        </w:rPr>
        <w:t>Crude Oil, Natural Gas Liquids, Bitumen and Synthetic Oil Proved Reserves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3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Crude Oil and Natural Gas Liquids</w:t>
            </w: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Bitumen</w:t>
            </w:r>
          </w:p>
        </w:tc>
        <w:tc>
          <w:tcPr>
            <w:tcW w:w="100" w:type="dxa"/>
            <w:vAlign w:val="bottom"/>
            <w:vMerge w:val="restart"/>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Synthetic</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Oil</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76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United</w:t>
            </w:r>
          </w:p>
        </w:tc>
        <w:tc>
          <w:tcPr>
            <w:tcW w:w="8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Canada/</w:t>
            </w: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Australia/</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rPr>
              <w:t>Canada/</w:t>
            </w:r>
          </w:p>
        </w:tc>
        <w:tc>
          <w:tcPr>
            <w:tcW w:w="94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rPr>
              <w:t>Canada/</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82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Europe</w:t>
            </w:r>
          </w:p>
        </w:tc>
        <w:tc>
          <w:tcPr>
            <w:tcW w:w="82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Africa</w:t>
            </w:r>
          </w:p>
        </w:tc>
        <w:tc>
          <w:tcPr>
            <w:tcW w:w="74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Asia</w:t>
            </w:r>
          </w:p>
        </w:tc>
        <w:tc>
          <w:tcPr>
            <w:tcW w:w="1020" w:type="dxa"/>
            <w:vAlign w:val="bottom"/>
            <w:vMerge w:val="continue"/>
          </w:tcPr>
          <w:p>
            <w:pPr>
              <w:spacing w:after="0"/>
              <w:rPr>
                <w:sz w:val="11"/>
                <w:szCs w:val="11"/>
                <w:color w:val="auto"/>
              </w:rPr>
            </w:pPr>
          </w:p>
        </w:tc>
        <w:tc>
          <w:tcPr>
            <w:tcW w:w="66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9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78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9"/>
        </w:trPr>
        <w:tc>
          <w:tcPr>
            <w:tcW w:w="26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color w:val="auto"/>
              </w:rPr>
              <w:t>States</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Americas</w:t>
            </w:r>
          </w:p>
        </w:tc>
        <w:tc>
          <w:tcPr>
            <w:tcW w:w="8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color w:val="auto"/>
              </w:rPr>
              <w:t>Oceania</w:t>
            </w:r>
          </w:p>
        </w:tc>
        <w:tc>
          <w:tcPr>
            <w:tcW w:w="6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Americas</w:t>
            </w:r>
          </w:p>
        </w:tc>
        <w:tc>
          <w:tcPr>
            <w:tcW w:w="9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Americas</w:t>
            </w: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i w:val="1"/>
                <w:iCs w:val="1"/>
                <w:color w:val="auto"/>
              </w:rPr>
              <w:t>(millions of barrels)</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Proved developed reserves, as of</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2018</w:t>
            </w: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1,696</w:t>
            </w:r>
          </w:p>
        </w:tc>
        <w:tc>
          <w:tcPr>
            <w:tcW w:w="8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153</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123</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578</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2,285</w:t>
            </w:r>
          </w:p>
        </w:tc>
        <w:tc>
          <w:tcPr>
            <w:tcW w:w="10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118</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4,953</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9,299</w:t>
            </w: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Equity companies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208</w:t>
            </w:r>
          </w:p>
        </w:tc>
        <w:tc>
          <w:tcPr>
            <w:tcW w:w="8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919</w:t>
            </w:r>
          </w:p>
        </w:tc>
        <w:tc>
          <w:tcPr>
            <w:tcW w:w="10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3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0" w:type="dxa"/>
            <w:vAlign w:val="bottom"/>
          </w:tcPr>
          <w:p>
            <w:pPr>
              <w:spacing w:after="0"/>
              <w:rPr>
                <w:sz w:val="1"/>
                <w:szCs w:val="1"/>
                <w:color w:val="auto"/>
              </w:rPr>
            </w:pPr>
          </w:p>
        </w:tc>
      </w:tr>
      <w:tr>
        <w:trPr>
          <w:trHeight w:val="384"/>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Proved undeveloped reserves, as of</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2018</w:t>
            </w: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2,616</w:t>
            </w:r>
          </w:p>
        </w:tc>
        <w:tc>
          <w:tcPr>
            <w:tcW w:w="8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403</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78</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111</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1,173</w:t>
            </w:r>
          </w:p>
        </w:tc>
        <w:tc>
          <w:tcPr>
            <w:tcW w:w="10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35</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4,416</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w:t>
            </w: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Equity companies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56</w:t>
            </w:r>
          </w:p>
        </w:tc>
        <w:tc>
          <w:tcPr>
            <w:tcW w:w="8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433</w:t>
            </w:r>
          </w:p>
        </w:tc>
        <w:tc>
          <w:tcPr>
            <w:tcW w:w="10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3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0" w:type="dxa"/>
            <w:vAlign w:val="bottom"/>
          </w:tcPr>
          <w:p>
            <w:pPr>
              <w:spacing w:after="0"/>
              <w:rPr>
                <w:sz w:val="1"/>
                <w:szCs w:val="1"/>
                <w:color w:val="auto"/>
              </w:rPr>
            </w:pPr>
          </w:p>
        </w:tc>
      </w:tr>
      <w:tr>
        <w:trPr>
          <w:trHeight w:val="148"/>
        </w:trPr>
        <w:tc>
          <w:tcPr>
            <w:tcW w:w="264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Total liquids proved reserves at</w:t>
            </w:r>
          </w:p>
        </w:tc>
        <w:tc>
          <w:tcPr>
            <w:tcW w:w="760" w:type="dxa"/>
            <w:vAlign w:val="bottom"/>
            <w:tcBorders>
              <w:top w:val="single" w:sz="8" w:color="auto"/>
            </w:tcBorders>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4,576</w:t>
            </w:r>
          </w:p>
        </w:tc>
        <w:tc>
          <w:tcPr>
            <w:tcW w:w="860" w:type="dxa"/>
            <w:vAlign w:val="bottom"/>
            <w:tcBorders>
              <w:top w:val="single" w:sz="8" w:color="auto"/>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rPr>
              <w:t>556</w:t>
            </w:r>
          </w:p>
        </w:tc>
        <w:tc>
          <w:tcPr>
            <w:tcW w:w="82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216</w:t>
            </w:r>
          </w:p>
        </w:tc>
        <w:tc>
          <w:tcPr>
            <w:tcW w:w="820" w:type="dxa"/>
            <w:vAlign w:val="bottom"/>
            <w:tcBorders>
              <w:top w:val="single" w:sz="8" w:color="auto"/>
            </w:tcBorders>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695</w:t>
            </w:r>
          </w:p>
        </w:tc>
        <w:tc>
          <w:tcPr>
            <w:tcW w:w="740" w:type="dxa"/>
            <w:vAlign w:val="bottom"/>
            <w:tcBorders>
              <w:top w:val="single" w:sz="8" w:color="auto"/>
            </w:tcBorders>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4,810</w:t>
            </w:r>
          </w:p>
        </w:tc>
        <w:tc>
          <w:tcPr>
            <w:tcW w:w="1020" w:type="dxa"/>
            <w:vAlign w:val="bottom"/>
            <w:tcBorders>
              <w:top w:val="single" w:sz="8" w:color="auto"/>
            </w:tcBorders>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153</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11,006</w:t>
            </w:r>
          </w:p>
        </w:tc>
        <w:tc>
          <w:tcPr>
            <w:tcW w:w="340" w:type="dxa"/>
            <w:vAlign w:val="bottom"/>
          </w:tcPr>
          <w:p>
            <w:pPr>
              <w:spacing w:after="0"/>
              <w:rPr>
                <w:sz w:val="12"/>
                <w:szCs w:val="12"/>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4,185</w:t>
            </w:r>
          </w:p>
        </w:tc>
        <w:tc>
          <w:tcPr>
            <w:tcW w:w="10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15,657</w:t>
            </w:r>
          </w:p>
        </w:tc>
        <w:tc>
          <w:tcPr>
            <w:tcW w:w="0" w:type="dxa"/>
            <w:vAlign w:val="bottom"/>
          </w:tcPr>
          <w:p>
            <w:pPr>
              <w:spacing w:after="0"/>
              <w:rPr>
                <w:sz w:val="1"/>
                <w:szCs w:val="1"/>
                <w:color w:val="auto"/>
              </w:rPr>
            </w:pPr>
          </w:p>
        </w:tc>
      </w:tr>
      <w:tr>
        <w:trPr>
          <w:trHeight w:val="215"/>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2018</w:t>
            </w:r>
          </w:p>
        </w:tc>
        <w:tc>
          <w:tcPr>
            <w:tcW w:w="7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Proved developed reserves, as of</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2019</w:t>
            </w: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1,655</w:t>
            </w:r>
          </w:p>
        </w:tc>
        <w:tc>
          <w:tcPr>
            <w:tcW w:w="8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195</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23</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419</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2,309</w:t>
            </w:r>
          </w:p>
        </w:tc>
        <w:tc>
          <w:tcPr>
            <w:tcW w:w="10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90</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4,691</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3,528</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8,634</w:t>
            </w: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Equity companies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200</w:t>
            </w:r>
          </w:p>
        </w:tc>
        <w:tc>
          <w:tcPr>
            <w:tcW w:w="8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13</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727</w:t>
            </w:r>
          </w:p>
        </w:tc>
        <w:tc>
          <w:tcPr>
            <w:tcW w:w="10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3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0" w:type="dxa"/>
            <w:vAlign w:val="bottom"/>
          </w:tcPr>
          <w:p>
            <w:pPr>
              <w:spacing w:after="0"/>
              <w:rPr>
                <w:sz w:val="1"/>
                <w:szCs w:val="1"/>
                <w:color w:val="auto"/>
              </w:rPr>
            </w:pPr>
          </w:p>
        </w:tc>
      </w:tr>
      <w:tr>
        <w:trPr>
          <w:trHeight w:val="384"/>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Proved undeveloped reserves, as of</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2019</w:t>
            </w: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2,474</w:t>
            </w:r>
          </w:p>
        </w:tc>
        <w:tc>
          <w:tcPr>
            <w:tcW w:w="8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381</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29</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68</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1,157</w:t>
            </w:r>
          </w:p>
        </w:tc>
        <w:tc>
          <w:tcPr>
            <w:tcW w:w="10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35</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4,474</w:t>
            </w: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Equity companies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60</w:t>
            </w:r>
          </w:p>
        </w:tc>
        <w:tc>
          <w:tcPr>
            <w:tcW w:w="8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483</w:t>
            </w:r>
          </w:p>
        </w:tc>
        <w:tc>
          <w:tcPr>
            <w:tcW w:w="10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3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148"/>
        </w:trPr>
        <w:tc>
          <w:tcPr>
            <w:tcW w:w="264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Total liquids proved reserves at</w:t>
            </w:r>
          </w:p>
        </w:tc>
        <w:tc>
          <w:tcPr>
            <w:tcW w:w="760" w:type="dxa"/>
            <w:vAlign w:val="bottom"/>
            <w:tcBorders>
              <w:top w:val="single" w:sz="8" w:color="auto"/>
            </w:tcBorders>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4,389</w:t>
            </w:r>
          </w:p>
        </w:tc>
        <w:tc>
          <w:tcPr>
            <w:tcW w:w="860" w:type="dxa"/>
            <w:vAlign w:val="bottom"/>
            <w:tcBorders>
              <w:top w:val="single" w:sz="8" w:color="auto"/>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rPr>
              <w:t>576</w:t>
            </w:r>
          </w:p>
        </w:tc>
        <w:tc>
          <w:tcPr>
            <w:tcW w:w="82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66</w:t>
            </w:r>
          </w:p>
        </w:tc>
        <w:tc>
          <w:tcPr>
            <w:tcW w:w="820" w:type="dxa"/>
            <w:vAlign w:val="bottom"/>
            <w:tcBorders>
              <w:top w:val="single" w:sz="8" w:color="auto"/>
            </w:tcBorders>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493</w:t>
            </w:r>
          </w:p>
        </w:tc>
        <w:tc>
          <w:tcPr>
            <w:tcW w:w="740" w:type="dxa"/>
            <w:vAlign w:val="bottom"/>
            <w:tcBorders>
              <w:top w:val="single" w:sz="8" w:color="auto"/>
            </w:tcBorders>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4,676</w:t>
            </w:r>
          </w:p>
        </w:tc>
        <w:tc>
          <w:tcPr>
            <w:tcW w:w="1020" w:type="dxa"/>
            <w:vAlign w:val="bottom"/>
            <w:tcBorders>
              <w:top w:val="single" w:sz="8" w:color="auto"/>
            </w:tcBorders>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125</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10,325</w:t>
            </w:r>
          </w:p>
        </w:tc>
        <w:tc>
          <w:tcPr>
            <w:tcW w:w="340" w:type="dxa"/>
            <w:vAlign w:val="bottom"/>
          </w:tcPr>
          <w:p>
            <w:pPr>
              <w:spacing w:after="0"/>
              <w:rPr>
                <w:sz w:val="12"/>
                <w:szCs w:val="12"/>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10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14,598</w:t>
            </w:r>
          </w:p>
        </w:tc>
        <w:tc>
          <w:tcPr>
            <w:tcW w:w="0" w:type="dxa"/>
            <w:vAlign w:val="bottom"/>
          </w:tcPr>
          <w:p>
            <w:pPr>
              <w:spacing w:after="0"/>
              <w:rPr>
                <w:sz w:val="1"/>
                <w:szCs w:val="1"/>
                <w:color w:val="auto"/>
              </w:rPr>
            </w:pPr>
          </w:p>
        </w:tc>
      </w:tr>
      <w:tr>
        <w:trPr>
          <w:trHeight w:val="215"/>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2019</w:t>
            </w:r>
          </w:p>
        </w:tc>
        <w:tc>
          <w:tcPr>
            <w:tcW w:w="7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Proved developed reserves, as of</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2020</w:t>
            </w: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1,473</w:t>
            </w:r>
          </w:p>
        </w:tc>
        <w:tc>
          <w:tcPr>
            <w:tcW w:w="8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293</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13</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345</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2,299</w:t>
            </w:r>
          </w:p>
        </w:tc>
        <w:tc>
          <w:tcPr>
            <w:tcW w:w="10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67</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4,877</w:t>
            </w: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Equity companies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111</w:t>
            </w:r>
          </w:p>
        </w:tc>
        <w:tc>
          <w:tcPr>
            <w:tcW w:w="8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646</w:t>
            </w:r>
          </w:p>
        </w:tc>
        <w:tc>
          <w:tcPr>
            <w:tcW w:w="10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3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0" w:type="dxa"/>
            <w:vAlign w:val="bottom"/>
          </w:tcPr>
          <w:p>
            <w:pPr>
              <w:spacing w:after="0"/>
              <w:rPr>
                <w:sz w:val="1"/>
                <w:szCs w:val="1"/>
                <w:color w:val="auto"/>
              </w:rPr>
            </w:pPr>
          </w:p>
        </w:tc>
      </w:tr>
      <w:tr>
        <w:trPr>
          <w:trHeight w:val="384"/>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Proved undeveloped reserves, as of</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2020</w:t>
            </w: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1,342</w:t>
            </w:r>
          </w:p>
        </w:tc>
        <w:tc>
          <w:tcPr>
            <w:tcW w:w="8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209</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16</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42</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975</w:t>
            </w:r>
          </w:p>
        </w:tc>
        <w:tc>
          <w:tcPr>
            <w:tcW w:w="10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38</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2,622</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0" w:type="dxa"/>
            <w:vAlign w:val="bottom"/>
          </w:tcPr>
          <w:p>
            <w:pPr>
              <w:spacing w:after="0"/>
              <w:rPr>
                <w:sz w:val="1"/>
                <w:szCs w:val="1"/>
                <w:color w:val="auto"/>
              </w:rPr>
            </w:pPr>
          </w:p>
        </w:tc>
      </w:tr>
      <w:tr>
        <w:trPr>
          <w:trHeight w:val="216"/>
        </w:trPr>
        <w:tc>
          <w:tcPr>
            <w:tcW w:w="26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Equity companies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c>
          <w:tcPr>
            <w:tcW w:w="8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452</w:t>
            </w:r>
          </w:p>
        </w:tc>
        <w:tc>
          <w:tcPr>
            <w:tcW w:w="102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3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148"/>
        </w:trPr>
        <w:tc>
          <w:tcPr>
            <w:tcW w:w="264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Total liquids proved reserves at</w:t>
            </w:r>
          </w:p>
        </w:tc>
        <w:tc>
          <w:tcPr>
            <w:tcW w:w="760" w:type="dxa"/>
            <w:vAlign w:val="bottom"/>
            <w:tcBorders>
              <w:top w:val="single" w:sz="8" w:color="auto"/>
            </w:tcBorders>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2,950</w:t>
            </w:r>
          </w:p>
        </w:tc>
        <w:tc>
          <w:tcPr>
            <w:tcW w:w="860" w:type="dxa"/>
            <w:vAlign w:val="bottom"/>
            <w:tcBorders>
              <w:top w:val="single" w:sz="8" w:color="auto"/>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rPr>
              <w:t>502</w:t>
            </w:r>
          </w:p>
        </w:tc>
        <w:tc>
          <w:tcPr>
            <w:tcW w:w="82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38</w:t>
            </w:r>
          </w:p>
        </w:tc>
        <w:tc>
          <w:tcPr>
            <w:tcW w:w="820" w:type="dxa"/>
            <w:vAlign w:val="bottom"/>
            <w:tcBorders>
              <w:top w:val="single" w:sz="8" w:color="auto"/>
            </w:tcBorders>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393</w:t>
            </w:r>
          </w:p>
        </w:tc>
        <w:tc>
          <w:tcPr>
            <w:tcW w:w="740" w:type="dxa"/>
            <w:vAlign w:val="bottom"/>
            <w:tcBorders>
              <w:top w:val="single" w:sz="8" w:color="auto"/>
            </w:tcBorders>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4,372</w:t>
            </w:r>
          </w:p>
        </w:tc>
        <w:tc>
          <w:tcPr>
            <w:tcW w:w="1020" w:type="dxa"/>
            <w:vAlign w:val="bottom"/>
            <w:tcBorders>
              <w:top w:val="single" w:sz="8" w:color="auto"/>
            </w:tcBorders>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105</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8,360</w:t>
            </w:r>
          </w:p>
        </w:tc>
        <w:tc>
          <w:tcPr>
            <w:tcW w:w="34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i w:val="1"/>
                <w:iCs w:val="1"/>
                <w:color w:val="auto"/>
                <w:w w:val="93"/>
              </w:rPr>
              <w:t>(1)</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20" w:type="dxa"/>
            <w:vAlign w:val="bottom"/>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8,885</w:t>
            </w:r>
          </w:p>
        </w:tc>
        <w:tc>
          <w:tcPr>
            <w:tcW w:w="0" w:type="dxa"/>
            <w:vAlign w:val="bottom"/>
          </w:tcPr>
          <w:p>
            <w:pPr>
              <w:spacing w:after="0"/>
              <w:rPr>
                <w:sz w:val="1"/>
                <w:szCs w:val="1"/>
                <w:color w:val="auto"/>
              </w:rPr>
            </w:pPr>
          </w:p>
        </w:tc>
      </w:tr>
      <w:tr>
        <w:trPr>
          <w:trHeight w:val="218"/>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2020</w:t>
            </w:r>
          </w:p>
        </w:tc>
        <w:tc>
          <w:tcPr>
            <w:tcW w:w="76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40" w:hanging="332"/>
        <w:spacing w:after="0" w:line="283" w:lineRule="auto"/>
        <w:tabs>
          <w:tab w:leader="none" w:pos="340" w:val="left"/>
        </w:tabs>
        <w:numPr>
          <w:ilvl w:val="0"/>
          <w:numId w:val="3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See previous pages for natural gas liquids proved reserves attributable to consolidated subsidiaries and equity companies. For additional information on natural gas liquids proved reserves see Item 2. Properties in ExxonMobil’s 2020 Form 10-K.</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117" w:name="page118"/>
    <w:bookmarkEnd w:id="117"/>
    <w:p>
      <w:pPr>
        <w:ind w:left="20"/>
        <w:spacing w:after="0"/>
        <w:rPr>
          <w:sz w:val="20"/>
          <w:szCs w:val="20"/>
          <w:color w:val="auto"/>
        </w:rPr>
      </w:pPr>
      <w:r>
        <w:rPr>
          <w:rFonts w:ascii="Times New Roman" w:cs="Times New Roman" w:eastAsia="Times New Roman" w:hAnsi="Times New Roman"/>
          <w:sz w:val="16"/>
          <w:szCs w:val="16"/>
          <w:b w:val="1"/>
          <w:bCs w:val="1"/>
          <w:color w:val="auto"/>
        </w:rPr>
        <w:t>Natural Gas and Oil-Equivalent Proved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jc w:val="right"/>
              <w:ind w:right="240"/>
              <w:spacing w:after="0"/>
              <w:rPr>
                <w:sz w:val="20"/>
                <w:szCs w:val="20"/>
                <w:color w:val="auto"/>
              </w:rPr>
            </w:pPr>
            <w:r>
              <w:rPr>
                <w:rFonts w:ascii="Times New Roman" w:cs="Times New Roman" w:eastAsia="Times New Roman" w:hAnsi="Times New Roman"/>
                <w:sz w:val="14"/>
                <w:szCs w:val="14"/>
                <w:color w:val="auto"/>
              </w:rPr>
              <w:t>Natural Gas</w:t>
            </w: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Oil-Equivalent</w:t>
            </w:r>
          </w:p>
        </w:tc>
        <w:tc>
          <w:tcPr>
            <w:tcW w:w="0" w:type="dxa"/>
            <w:vAlign w:val="bottom"/>
          </w:tcPr>
          <w:p>
            <w:pPr>
              <w:spacing w:after="0"/>
              <w:rPr>
                <w:sz w:val="1"/>
                <w:szCs w:val="1"/>
                <w:color w:val="auto"/>
              </w:rPr>
            </w:pPr>
          </w:p>
        </w:tc>
      </w:tr>
      <w:tr>
        <w:trPr>
          <w:trHeight w:val="128"/>
        </w:trPr>
        <w:tc>
          <w:tcPr>
            <w:tcW w:w="3900" w:type="dxa"/>
            <w:vAlign w:val="bottom"/>
          </w:tcPr>
          <w:p>
            <w:pPr>
              <w:spacing w:after="0"/>
              <w:rPr>
                <w:sz w:val="11"/>
                <w:szCs w:val="11"/>
                <w:color w:val="auto"/>
              </w:rPr>
            </w:pPr>
          </w:p>
        </w:tc>
        <w:tc>
          <w:tcPr>
            <w:tcW w:w="86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United</w:t>
            </w:r>
          </w:p>
        </w:tc>
        <w:tc>
          <w:tcPr>
            <w:tcW w:w="940" w:type="dxa"/>
            <w:vAlign w:val="bottom"/>
          </w:tcPr>
          <w:p>
            <w:pPr>
              <w:jc w:val="center"/>
              <w:ind w:right="40"/>
              <w:spacing w:after="0" w:line="129" w:lineRule="exact"/>
              <w:rPr>
                <w:sz w:val="20"/>
                <w:szCs w:val="20"/>
                <w:color w:val="auto"/>
              </w:rPr>
            </w:pPr>
            <w:r>
              <w:rPr>
                <w:rFonts w:ascii="Times New Roman" w:cs="Times New Roman" w:eastAsia="Times New Roman" w:hAnsi="Times New Roman"/>
                <w:sz w:val="14"/>
                <w:szCs w:val="14"/>
                <w:color w:val="auto"/>
              </w:rPr>
              <w:t>Canada/</w:t>
            </w: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Australia/</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78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Europe</w:t>
            </w:r>
          </w:p>
        </w:tc>
        <w:tc>
          <w:tcPr>
            <w:tcW w:w="106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Africa</w:t>
            </w:r>
          </w:p>
        </w:tc>
        <w:tc>
          <w:tcPr>
            <w:tcW w:w="66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color w:val="auto"/>
              </w:rPr>
              <w:t>Asia</w:t>
            </w:r>
          </w:p>
        </w:tc>
        <w:tc>
          <w:tcPr>
            <w:tcW w:w="980" w:type="dxa"/>
            <w:vAlign w:val="bottom"/>
            <w:vMerge w:val="continue"/>
          </w:tcPr>
          <w:p>
            <w:pPr>
              <w:spacing w:after="0"/>
              <w:rPr>
                <w:sz w:val="11"/>
                <w:szCs w:val="11"/>
                <w:color w:val="auto"/>
              </w:rPr>
            </w:pP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860" w:type="dxa"/>
            <w:vAlign w:val="bottom"/>
          </w:tcPr>
          <w:p>
            <w:pPr>
              <w:jc w:val="right"/>
              <w:ind w:right="240"/>
              <w:spacing w:after="0"/>
              <w:rPr>
                <w:sz w:val="20"/>
                <w:szCs w:val="20"/>
                <w:color w:val="auto"/>
              </w:rPr>
            </w:pPr>
            <w:r>
              <w:rPr>
                <w:rFonts w:ascii="Times New Roman" w:cs="Times New Roman" w:eastAsia="Times New Roman" w:hAnsi="Times New Roman"/>
                <w:sz w:val="14"/>
                <w:szCs w:val="14"/>
                <w:color w:val="auto"/>
              </w:rPr>
              <w:t>States</w:t>
            </w: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14"/>
                <w:szCs w:val="14"/>
                <w:color w:val="auto"/>
              </w:rPr>
              <w:t>Americas</w:t>
            </w:r>
          </w:p>
        </w:tc>
        <w:tc>
          <w:tcPr>
            <w:tcW w:w="78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980" w:type="dxa"/>
            <w:vAlign w:val="bottom"/>
          </w:tcPr>
          <w:p>
            <w:pPr>
              <w:jc w:val="right"/>
              <w:ind w:right="240"/>
              <w:spacing w:after="0"/>
              <w:rPr>
                <w:sz w:val="20"/>
                <w:szCs w:val="20"/>
                <w:color w:val="auto"/>
              </w:rPr>
            </w:pPr>
            <w:r>
              <w:rPr>
                <w:rFonts w:ascii="Times New Roman" w:cs="Times New Roman" w:eastAsia="Times New Roman" w:hAnsi="Times New Roman"/>
                <w:sz w:val="14"/>
                <w:szCs w:val="14"/>
                <w:color w:val="auto"/>
              </w:rPr>
              <w:t>Oceania</w:t>
            </w:r>
          </w:p>
        </w:tc>
        <w:tc>
          <w:tcPr>
            <w:tcW w:w="800" w:type="dxa"/>
            <w:vAlign w:val="bottom"/>
            <w:gridSpan w:val="2"/>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All Products </w:t>
            </w:r>
            <w:r>
              <w:rPr>
                <w:rFonts w:ascii="Times New Roman" w:cs="Times New Roman" w:eastAsia="Times New Roman" w:hAnsi="Times New Roman"/>
                <w:sz w:val="14"/>
                <w:szCs w:val="14"/>
                <w:b w:val="1"/>
                <w:bCs w:val="1"/>
                <w:i w:val="1"/>
                <w:iCs w:val="1"/>
                <w:color w:val="auto"/>
              </w:rPr>
              <w:t>(1)</w:t>
            </w:r>
          </w:p>
        </w:tc>
        <w:tc>
          <w:tcPr>
            <w:tcW w:w="0" w:type="dxa"/>
            <w:vAlign w:val="bottom"/>
          </w:tcPr>
          <w:p>
            <w:pPr>
              <w:spacing w:after="0"/>
              <w:rPr>
                <w:sz w:val="1"/>
                <w:szCs w:val="1"/>
                <w:color w:val="auto"/>
              </w:rPr>
            </w:pPr>
          </w:p>
        </w:tc>
      </w:tr>
      <w:tr>
        <w:trPr>
          <w:trHeight w:val="128"/>
        </w:trPr>
        <w:tc>
          <w:tcPr>
            <w:tcW w:w="39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i w:val="1"/>
                <w:iCs w:val="1"/>
                <w:color w:val="auto"/>
              </w:rPr>
              <w:t>(billions of cubic feet)</w:t>
            </w:r>
          </w:p>
        </w:tc>
        <w:tc>
          <w:tcPr>
            <w:tcW w:w="6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i w:val="1"/>
                <w:iCs w:val="1"/>
                <w:color w:val="auto"/>
              </w:rPr>
              <w:t>(millions of oil-</w:t>
            </w:r>
          </w:p>
        </w:tc>
        <w:tc>
          <w:tcPr>
            <w:tcW w:w="0" w:type="dxa"/>
            <w:vAlign w:val="bottom"/>
          </w:tcPr>
          <w:p>
            <w:pPr>
              <w:spacing w:after="0"/>
              <w:rPr>
                <w:sz w:val="1"/>
                <w:szCs w:val="1"/>
                <w:color w:val="auto"/>
              </w:rPr>
            </w:pPr>
          </w:p>
        </w:tc>
      </w:tr>
      <w:tr>
        <w:trPr>
          <w:trHeight w:val="190"/>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proved developed and undeveloped</w:t>
            </w: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equivalent barrels)</w:t>
            </w:r>
          </w:p>
        </w:tc>
        <w:tc>
          <w:tcPr>
            <w:tcW w:w="0" w:type="dxa"/>
            <w:vAlign w:val="bottom"/>
          </w:tcPr>
          <w:p>
            <w:pPr>
              <w:spacing w:after="0"/>
              <w:rPr>
                <w:sz w:val="1"/>
                <w:szCs w:val="1"/>
                <w:color w:val="auto"/>
              </w:rPr>
            </w:pPr>
          </w:p>
        </w:tc>
      </w:tr>
      <w:tr>
        <w:trPr>
          <w:trHeight w:val="53"/>
        </w:trPr>
        <w:tc>
          <w:tcPr>
            <w:tcW w:w="390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reserves of consolidated subsidiaries</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2018</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19,033</w:t>
            </w: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1,372</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1,368</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595</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4,340</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6,894</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33,602</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15,903</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Revisions</w:t>
            </w: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(98)</w:t>
            </w: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(29)</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306</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38</w:t>
            </w: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(147)</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1,065</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Improved recovery</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104</w:t>
            </w: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w:t>
            </w: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(264)</w:t>
            </w: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Extensions/discoveries</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3,658</w:t>
            </w: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506</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Production</w:t>
            </w:r>
          </w:p>
        </w:tc>
        <w:tc>
          <w:tcPr>
            <w:tcW w:w="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(1,030)</w:t>
            </w:r>
          </w:p>
        </w:tc>
        <w:tc>
          <w:tcPr>
            <w:tcW w:w="9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(102)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(45)</w:t>
            </w: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(353)</w:t>
            </w:r>
          </w:p>
        </w:tc>
        <w:tc>
          <w:tcPr>
            <w:tcW w:w="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(504)</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2018</w:t>
            </w: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21,403</w:t>
            </w:r>
          </w:p>
        </w:tc>
        <w:tc>
          <w:tcPr>
            <w:tcW w:w="9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1,744</w:t>
            </w: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1,312</w:t>
            </w:r>
          </w:p>
        </w:tc>
        <w:tc>
          <w:tcPr>
            <w:tcW w:w="10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588</w:t>
            </w:r>
          </w:p>
        </w:tc>
        <w:tc>
          <w:tcPr>
            <w:tcW w:w="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3,841</w:t>
            </w:r>
          </w:p>
        </w:tc>
        <w:tc>
          <w:tcPr>
            <w:tcW w:w="9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7,462</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36,350</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20,078</w:t>
            </w:r>
          </w:p>
        </w:tc>
        <w:tc>
          <w:tcPr>
            <w:tcW w:w="0" w:type="dxa"/>
            <w:vAlign w:val="bottom"/>
          </w:tcPr>
          <w:p>
            <w:pPr>
              <w:spacing w:after="0"/>
              <w:rPr>
                <w:sz w:val="1"/>
                <w:szCs w:val="1"/>
                <w:color w:val="auto"/>
              </w:rPr>
            </w:pPr>
          </w:p>
        </w:tc>
      </w:tr>
      <w:tr>
        <w:trPr>
          <w:trHeight w:val="189"/>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Attributable to noncontrolling interests</w:t>
            </w:r>
          </w:p>
        </w:tc>
        <w:tc>
          <w:tcPr>
            <w:tcW w:w="860" w:type="dxa"/>
            <w:vAlign w:val="bottom"/>
          </w:tcPr>
          <w:p>
            <w:pPr>
              <w:spacing w:after="0"/>
              <w:rPr>
                <w:sz w:val="16"/>
                <w:szCs w:val="16"/>
                <w:color w:val="auto"/>
              </w:rPr>
            </w:pP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334</w:t>
            </w: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Proportional interest in proved reserves</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 equity companies</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2018</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223</w:t>
            </w: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6,164</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914</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14,248</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21,549</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5,318</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Revisions</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(4,801)</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(51)</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102</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(4,738)</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Improved recovery</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Extensions/discoveries</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Production</w:t>
            </w:r>
          </w:p>
        </w:tc>
        <w:tc>
          <w:tcPr>
            <w:tcW w:w="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9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(1,029)</w:t>
            </w:r>
          </w:p>
        </w:tc>
        <w:tc>
          <w:tcPr>
            <w:tcW w:w="9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2018</w:t>
            </w: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225</w:t>
            </w:r>
          </w:p>
        </w:tc>
        <w:tc>
          <w:tcPr>
            <w:tcW w:w="9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1,057</w:t>
            </w:r>
          </w:p>
        </w:tc>
        <w:tc>
          <w:tcPr>
            <w:tcW w:w="10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863</w:t>
            </w:r>
          </w:p>
        </w:tc>
        <w:tc>
          <w:tcPr>
            <w:tcW w:w="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13,321</w:t>
            </w:r>
          </w:p>
        </w:tc>
        <w:tc>
          <w:tcPr>
            <w:tcW w:w="9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15,466</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4,215</w:t>
            </w:r>
          </w:p>
        </w:tc>
        <w:tc>
          <w:tcPr>
            <w:tcW w:w="0" w:type="dxa"/>
            <w:vAlign w:val="bottom"/>
          </w:tcPr>
          <w:p>
            <w:pPr>
              <w:spacing w:after="0"/>
              <w:rPr>
                <w:sz w:val="1"/>
                <w:szCs w:val="1"/>
                <w:color w:val="auto"/>
              </w:rPr>
            </w:pPr>
          </w:p>
        </w:tc>
      </w:tr>
      <w:tr>
        <w:trPr>
          <w:trHeight w:val="209"/>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proved reserves at December 31, 2018</w:t>
            </w: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21,628</w:t>
            </w:r>
          </w:p>
        </w:tc>
        <w:tc>
          <w:tcPr>
            <w:tcW w:w="9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1,744</w:t>
            </w: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2,369</w:t>
            </w:r>
          </w:p>
        </w:tc>
        <w:tc>
          <w:tcPr>
            <w:tcW w:w="10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1,451</w:t>
            </w:r>
          </w:p>
        </w:tc>
        <w:tc>
          <w:tcPr>
            <w:tcW w:w="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17,162</w:t>
            </w:r>
          </w:p>
        </w:tc>
        <w:tc>
          <w:tcPr>
            <w:tcW w:w="9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7,462</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51,816</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24,293</w:t>
            </w:r>
          </w:p>
        </w:tc>
        <w:tc>
          <w:tcPr>
            <w:tcW w:w="0" w:type="dxa"/>
            <w:vAlign w:val="bottom"/>
          </w:tcPr>
          <w:p>
            <w:pPr>
              <w:spacing w:after="0"/>
              <w:rPr>
                <w:sz w:val="1"/>
                <w:szCs w:val="1"/>
                <w:color w:val="auto"/>
              </w:rPr>
            </w:pPr>
          </w:p>
        </w:tc>
      </w:tr>
      <w:tr>
        <w:trPr>
          <w:trHeight w:val="31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proved developed and undeveloped</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reserves of consolidated subsidiaries</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2019</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21,403</w:t>
            </w: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1,744</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1,312</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588</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3,841</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7,462</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36,350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20,078</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Revisions</w:t>
            </w: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(3,213)</w:t>
            </w: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(301)</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(171)</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953</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39</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Improved recovery</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85</w:t>
            </w: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w:t>
            </w: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(297)</w:t>
            </w: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(29)</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Extensions/discoveries</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2,151</w:t>
            </w: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166</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Production</w:t>
            </w:r>
          </w:p>
        </w:tc>
        <w:tc>
          <w:tcPr>
            <w:tcW w:w="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(1,103)</w:t>
            </w:r>
          </w:p>
        </w:tc>
        <w:tc>
          <w:tcPr>
            <w:tcW w:w="9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(114)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(40)</w:t>
            </w: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(361)</w:t>
            </w:r>
          </w:p>
        </w:tc>
        <w:tc>
          <w:tcPr>
            <w:tcW w:w="9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(500)</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2019</w:t>
            </w: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19,026</w:t>
            </w:r>
          </w:p>
        </w:tc>
        <w:tc>
          <w:tcPr>
            <w:tcW w:w="9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1,466</w:t>
            </w: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621</w:t>
            </w:r>
          </w:p>
        </w:tc>
        <w:tc>
          <w:tcPr>
            <w:tcW w:w="10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377</w:t>
            </w:r>
          </w:p>
        </w:tc>
        <w:tc>
          <w:tcPr>
            <w:tcW w:w="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4,433</w:t>
            </w:r>
          </w:p>
        </w:tc>
        <w:tc>
          <w:tcPr>
            <w:tcW w:w="9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7,001</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32,924</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18,596</w:t>
            </w:r>
          </w:p>
        </w:tc>
        <w:tc>
          <w:tcPr>
            <w:tcW w:w="0" w:type="dxa"/>
            <w:vAlign w:val="bottom"/>
          </w:tcPr>
          <w:p>
            <w:pPr>
              <w:spacing w:after="0"/>
              <w:rPr>
                <w:sz w:val="1"/>
                <w:szCs w:val="1"/>
                <w:color w:val="auto"/>
              </w:rPr>
            </w:pPr>
          </w:p>
        </w:tc>
      </w:tr>
      <w:tr>
        <w:trPr>
          <w:trHeight w:val="189"/>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Attributable to noncontrolling interests</w:t>
            </w:r>
          </w:p>
        </w:tc>
        <w:tc>
          <w:tcPr>
            <w:tcW w:w="860" w:type="dxa"/>
            <w:vAlign w:val="bottom"/>
          </w:tcPr>
          <w:p>
            <w:pPr>
              <w:spacing w:after="0"/>
              <w:rPr>
                <w:sz w:val="16"/>
                <w:szCs w:val="16"/>
                <w:color w:val="auto"/>
              </w:rPr>
            </w:pP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256</w:t>
            </w: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Proportional interest in proved reserves</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 equity companies</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2019</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225</w:t>
            </w: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1,057</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863</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13,321</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4,215</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Revisions</w:t>
            </w: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45</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142</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Improved recovery</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Extensions/discoveries</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9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3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Production</w:t>
            </w:r>
          </w:p>
        </w:tc>
        <w:tc>
          <w:tcPr>
            <w:tcW w:w="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9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(1,009)</w:t>
            </w:r>
          </w:p>
        </w:tc>
        <w:tc>
          <w:tcPr>
            <w:tcW w:w="9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2019</w:t>
            </w: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213</w:t>
            </w:r>
          </w:p>
        </w:tc>
        <w:tc>
          <w:tcPr>
            <w:tcW w:w="9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581</w:t>
            </w:r>
          </w:p>
        </w:tc>
        <w:tc>
          <w:tcPr>
            <w:tcW w:w="10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908</w:t>
            </w:r>
          </w:p>
        </w:tc>
        <w:tc>
          <w:tcPr>
            <w:tcW w:w="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12,454</w:t>
            </w:r>
          </w:p>
        </w:tc>
        <w:tc>
          <w:tcPr>
            <w:tcW w:w="9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14,156</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3,849</w:t>
            </w:r>
          </w:p>
        </w:tc>
        <w:tc>
          <w:tcPr>
            <w:tcW w:w="0" w:type="dxa"/>
            <w:vAlign w:val="bottom"/>
          </w:tcPr>
          <w:p>
            <w:pPr>
              <w:spacing w:after="0"/>
              <w:rPr>
                <w:sz w:val="1"/>
                <w:szCs w:val="1"/>
                <w:color w:val="auto"/>
              </w:rPr>
            </w:pPr>
          </w:p>
        </w:tc>
      </w:tr>
      <w:tr>
        <w:trPr>
          <w:trHeight w:val="212"/>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proved reserves at December 31, 2019</w:t>
            </w: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19,239</w:t>
            </w:r>
          </w:p>
        </w:tc>
        <w:tc>
          <w:tcPr>
            <w:tcW w:w="9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1,466</w:t>
            </w: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1,202</w:t>
            </w:r>
          </w:p>
        </w:tc>
        <w:tc>
          <w:tcPr>
            <w:tcW w:w="10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1,285</w:t>
            </w:r>
          </w:p>
        </w:tc>
        <w:tc>
          <w:tcPr>
            <w:tcW w:w="6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16,887</w:t>
            </w:r>
          </w:p>
        </w:tc>
        <w:tc>
          <w:tcPr>
            <w:tcW w:w="9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7,001</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47,080</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22,445</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Natural gas is converted to an oil-equivalent basis at six billion cubic feet per one million barrels.</w:t>
      </w:r>
    </w:p>
    <w:p>
      <w:pPr>
        <w:spacing w:after="0" w:line="200" w:lineRule="exact"/>
        <w:rPr>
          <w:rFonts w:ascii="Times New Roman" w:cs="Times New Roman" w:eastAsia="Times New Roman" w:hAnsi="Times New Roman"/>
          <w:sz w:val="16"/>
          <w:szCs w:val="16"/>
          <w:i w:val="1"/>
          <w:iCs w:val="1"/>
          <w:color w:val="auto"/>
        </w:rPr>
      </w:pPr>
    </w:p>
    <w:p>
      <w:pPr>
        <w:spacing w:after="0" w:line="248" w:lineRule="exact"/>
        <w:rPr>
          <w:rFonts w:ascii="Times New Roman" w:cs="Times New Roman" w:eastAsia="Times New Roman" w:hAnsi="Times New Roman"/>
          <w:sz w:val="16"/>
          <w:szCs w:val="16"/>
          <w:i w:val="1"/>
          <w:iCs w:val="1"/>
          <w:color w:val="auto"/>
        </w:rPr>
      </w:pPr>
    </w:p>
    <w:p>
      <w:pPr>
        <w:ind w:left="550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118" w:name="page119"/>
    <w:bookmarkEnd w:id="118"/>
    <w:p>
      <w:pPr>
        <w:ind w:left="20"/>
        <w:spacing w:after="0"/>
        <w:rPr>
          <w:sz w:val="20"/>
          <w:szCs w:val="20"/>
          <w:color w:val="auto"/>
        </w:rPr>
      </w:pPr>
      <w:r>
        <w:rPr>
          <w:rFonts w:ascii="Times New Roman" w:cs="Times New Roman" w:eastAsia="Times New Roman" w:hAnsi="Times New Roman"/>
          <w:sz w:val="16"/>
          <w:szCs w:val="16"/>
          <w:b w:val="1"/>
          <w:bCs w:val="1"/>
          <w:color w:val="auto"/>
        </w:rPr>
        <w:t>Natural Gas and Oil-Equivalent Proved Reserves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jc w:val="center"/>
              <w:ind w:right="120"/>
              <w:spacing w:after="0"/>
              <w:rPr>
                <w:sz w:val="20"/>
                <w:szCs w:val="20"/>
                <w:color w:val="auto"/>
              </w:rPr>
            </w:pPr>
            <w:r>
              <w:rPr>
                <w:rFonts w:ascii="Times New Roman" w:cs="Times New Roman" w:eastAsia="Times New Roman" w:hAnsi="Times New Roman"/>
                <w:sz w:val="14"/>
                <w:szCs w:val="14"/>
                <w:color w:val="auto"/>
              </w:rPr>
              <w:t>Natural Gas</w:t>
            </w: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Oil-Equivalent</w:t>
            </w:r>
          </w:p>
        </w:tc>
        <w:tc>
          <w:tcPr>
            <w:tcW w:w="0" w:type="dxa"/>
            <w:vAlign w:val="bottom"/>
          </w:tcPr>
          <w:p>
            <w:pPr>
              <w:spacing w:after="0"/>
              <w:rPr>
                <w:sz w:val="1"/>
                <w:szCs w:val="1"/>
                <w:color w:val="auto"/>
              </w:rPr>
            </w:pPr>
          </w:p>
        </w:tc>
      </w:tr>
      <w:tr>
        <w:trPr>
          <w:trHeight w:val="128"/>
        </w:trPr>
        <w:tc>
          <w:tcPr>
            <w:tcW w:w="3860" w:type="dxa"/>
            <w:vAlign w:val="bottom"/>
          </w:tcPr>
          <w:p>
            <w:pPr>
              <w:spacing w:after="0"/>
              <w:rPr>
                <w:sz w:val="11"/>
                <w:szCs w:val="11"/>
                <w:color w:val="auto"/>
              </w:rPr>
            </w:pPr>
          </w:p>
        </w:tc>
        <w:tc>
          <w:tcPr>
            <w:tcW w:w="8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United</w:t>
            </w:r>
          </w:p>
        </w:tc>
        <w:tc>
          <w:tcPr>
            <w:tcW w:w="960" w:type="dxa"/>
            <w:vAlign w:val="bottom"/>
          </w:tcPr>
          <w:p>
            <w:pPr>
              <w:jc w:val="center"/>
              <w:ind w:right="41"/>
              <w:spacing w:after="0" w:line="129" w:lineRule="exact"/>
              <w:rPr>
                <w:sz w:val="20"/>
                <w:szCs w:val="20"/>
                <w:color w:val="auto"/>
              </w:rPr>
            </w:pPr>
            <w:r>
              <w:rPr>
                <w:rFonts w:ascii="Times New Roman" w:cs="Times New Roman" w:eastAsia="Times New Roman" w:hAnsi="Times New Roman"/>
                <w:sz w:val="14"/>
                <w:szCs w:val="14"/>
                <w:color w:val="auto"/>
              </w:rPr>
              <w:t>Canada/</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Australia/</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960" w:type="dxa"/>
            <w:vAlign w:val="bottom"/>
          </w:tcPr>
          <w:p>
            <w:pPr>
              <w:jc w:val="center"/>
              <w:ind w:right="41"/>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76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Europe</w:t>
            </w:r>
          </w:p>
        </w:tc>
        <w:tc>
          <w:tcPr>
            <w:tcW w:w="106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Africa</w:t>
            </w:r>
          </w:p>
        </w:tc>
        <w:tc>
          <w:tcPr>
            <w:tcW w:w="62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Asia</w:t>
            </w:r>
          </w:p>
        </w:tc>
        <w:tc>
          <w:tcPr>
            <w:tcW w:w="1020" w:type="dxa"/>
            <w:vAlign w:val="bottom"/>
            <w:vMerge w:val="continue"/>
          </w:tcPr>
          <w:p>
            <w:pPr>
              <w:spacing w:after="0"/>
              <w:rPr>
                <w:sz w:val="11"/>
                <w:szCs w:val="11"/>
                <w:color w:val="auto"/>
              </w:rPr>
            </w:pPr>
          </w:p>
        </w:tc>
        <w:tc>
          <w:tcPr>
            <w:tcW w:w="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860" w:type="dxa"/>
            <w:vAlign w:val="bottom"/>
          </w:tcPr>
          <w:p>
            <w:pPr>
              <w:jc w:val="right"/>
              <w:ind w:right="220"/>
              <w:spacing w:after="0"/>
              <w:rPr>
                <w:sz w:val="20"/>
                <w:szCs w:val="20"/>
                <w:color w:val="auto"/>
              </w:rPr>
            </w:pPr>
            <w:r>
              <w:rPr>
                <w:rFonts w:ascii="Times New Roman" w:cs="Times New Roman" w:eastAsia="Times New Roman" w:hAnsi="Times New Roman"/>
                <w:sz w:val="14"/>
                <w:szCs w:val="14"/>
                <w:color w:val="auto"/>
              </w:rPr>
              <w:t>States</w:t>
            </w:r>
          </w:p>
        </w:tc>
        <w:tc>
          <w:tcPr>
            <w:tcW w:w="960" w:type="dxa"/>
            <w:vAlign w:val="bottom"/>
          </w:tcPr>
          <w:p>
            <w:pPr>
              <w:jc w:val="center"/>
              <w:ind w:right="41"/>
              <w:spacing w:after="0"/>
              <w:rPr>
                <w:sz w:val="20"/>
                <w:szCs w:val="20"/>
                <w:color w:val="auto"/>
              </w:rPr>
            </w:pPr>
            <w:r>
              <w:rPr>
                <w:rFonts w:ascii="Times New Roman" w:cs="Times New Roman" w:eastAsia="Times New Roman" w:hAnsi="Times New Roman"/>
                <w:sz w:val="14"/>
                <w:szCs w:val="14"/>
                <w:color w:val="auto"/>
              </w:rPr>
              <w:t>Americas</w:t>
            </w:r>
          </w:p>
        </w:tc>
        <w:tc>
          <w:tcPr>
            <w:tcW w:w="76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020" w:type="dxa"/>
            <w:vAlign w:val="bottom"/>
          </w:tcPr>
          <w:p>
            <w:pPr>
              <w:jc w:val="right"/>
              <w:ind w:right="280"/>
              <w:spacing w:after="0"/>
              <w:rPr>
                <w:sz w:val="20"/>
                <w:szCs w:val="20"/>
                <w:color w:val="auto"/>
              </w:rPr>
            </w:pPr>
            <w:r>
              <w:rPr>
                <w:rFonts w:ascii="Times New Roman" w:cs="Times New Roman" w:eastAsia="Times New Roman" w:hAnsi="Times New Roman"/>
                <w:sz w:val="14"/>
                <w:szCs w:val="14"/>
                <w:color w:val="auto"/>
              </w:rPr>
              <w:t>Oceania</w:t>
            </w:r>
          </w:p>
        </w:tc>
        <w:tc>
          <w:tcPr>
            <w:tcW w:w="840" w:type="dxa"/>
            <w:vAlign w:val="bottom"/>
            <w:gridSpan w:val="2"/>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All Products </w:t>
            </w:r>
            <w:r>
              <w:rPr>
                <w:rFonts w:ascii="Times New Roman" w:cs="Times New Roman" w:eastAsia="Times New Roman" w:hAnsi="Times New Roman"/>
                <w:sz w:val="14"/>
                <w:szCs w:val="14"/>
                <w:b w:val="1"/>
                <w:bCs w:val="1"/>
                <w:i w:val="1"/>
                <w:iCs w:val="1"/>
                <w:color w:val="auto"/>
              </w:rPr>
              <w:t>(1)</w:t>
            </w:r>
          </w:p>
        </w:tc>
        <w:tc>
          <w:tcPr>
            <w:tcW w:w="0" w:type="dxa"/>
            <w:vAlign w:val="bottom"/>
          </w:tcPr>
          <w:p>
            <w:pPr>
              <w:spacing w:after="0"/>
              <w:rPr>
                <w:sz w:val="1"/>
                <w:szCs w:val="1"/>
                <w:color w:val="auto"/>
              </w:rPr>
            </w:pPr>
          </w:p>
        </w:tc>
      </w:tr>
      <w:tr>
        <w:trPr>
          <w:trHeight w:val="128"/>
        </w:trPr>
        <w:tc>
          <w:tcPr>
            <w:tcW w:w="38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2"/>
          </w:tcPr>
          <w:p>
            <w:pPr>
              <w:jc w:val="center"/>
              <w:ind w:left="480"/>
              <w:spacing w:after="0" w:line="129" w:lineRule="exact"/>
              <w:rPr>
                <w:sz w:val="20"/>
                <w:szCs w:val="20"/>
                <w:color w:val="auto"/>
              </w:rPr>
            </w:pPr>
            <w:r>
              <w:rPr>
                <w:rFonts w:ascii="Times New Roman" w:cs="Times New Roman" w:eastAsia="Times New Roman" w:hAnsi="Times New Roman"/>
                <w:sz w:val="14"/>
                <w:szCs w:val="14"/>
                <w:i w:val="1"/>
                <w:iCs w:val="1"/>
                <w:color w:val="auto"/>
              </w:rPr>
              <w:t>(billions of cubic feet)</w:t>
            </w:r>
          </w:p>
        </w:tc>
        <w:tc>
          <w:tcPr>
            <w:tcW w:w="6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i w:val="1"/>
                <w:iCs w:val="1"/>
                <w:color w:val="auto"/>
              </w:rPr>
              <w:t>(millions of oil-</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equivalent barrels)</w:t>
            </w:r>
          </w:p>
        </w:tc>
        <w:tc>
          <w:tcPr>
            <w:tcW w:w="0" w:type="dxa"/>
            <w:vAlign w:val="bottom"/>
          </w:tcPr>
          <w:p>
            <w:pPr>
              <w:spacing w:after="0"/>
              <w:rPr>
                <w:sz w:val="1"/>
                <w:szCs w:val="1"/>
                <w:color w:val="auto"/>
              </w:rPr>
            </w:pPr>
          </w:p>
        </w:tc>
      </w:tr>
      <w:tr>
        <w:trPr>
          <w:trHeight w:val="162"/>
        </w:trPr>
        <w:tc>
          <w:tcPr>
            <w:tcW w:w="38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proved developed and undeveloped</w:t>
            </w: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reserves of consolidated subsidiaries</w:t>
            </w: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2020</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19,026</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1,466</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621</w:t>
            </w: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377</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4,433</w:t>
            </w: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7,001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18,596</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Revisions</w:t>
            </w: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(4,904)</w:t>
            </w:r>
          </w:p>
        </w:tc>
        <w:tc>
          <w:tcPr>
            <w:tcW w:w="9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(753)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(23)</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245</w:t>
            </w:r>
          </w:p>
        </w:tc>
        <w:tc>
          <w:tcPr>
            <w:tcW w:w="10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(405)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(6,088)</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Improved recovery</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w:t>
            </w: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c>
          <w:tcPr>
            <w:tcW w:w="9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(30)</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Extensions/discoveries</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433</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Production</w:t>
            </w:r>
          </w:p>
        </w:tc>
        <w:tc>
          <w:tcPr>
            <w:tcW w:w="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(1,081)</w:t>
            </w:r>
          </w:p>
        </w:tc>
        <w:tc>
          <w:tcPr>
            <w:tcW w:w="9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(123)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(34)</w:t>
            </w:r>
          </w:p>
        </w:tc>
        <w:tc>
          <w:tcPr>
            <w:tcW w:w="6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(369)</w:t>
            </w:r>
          </w:p>
        </w:tc>
        <w:tc>
          <w:tcPr>
            <w:tcW w:w="10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(462)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2020</w:t>
            </w: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13,439</w:t>
            </w: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561</w:t>
            </w:r>
          </w:p>
        </w:tc>
        <w:tc>
          <w:tcPr>
            <w:tcW w:w="7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441</w:t>
            </w:r>
          </w:p>
        </w:tc>
        <w:tc>
          <w:tcPr>
            <w:tcW w:w="10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320</w:t>
            </w:r>
          </w:p>
        </w:tc>
        <w:tc>
          <w:tcPr>
            <w:tcW w:w="6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4,309</w:t>
            </w:r>
          </w:p>
        </w:tc>
        <w:tc>
          <w:tcPr>
            <w:tcW w:w="10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6,134</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25,204</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11,837</w:t>
            </w:r>
          </w:p>
        </w:tc>
        <w:tc>
          <w:tcPr>
            <w:tcW w:w="0" w:type="dxa"/>
            <w:vAlign w:val="bottom"/>
          </w:tcPr>
          <w:p>
            <w:pPr>
              <w:spacing w:after="0"/>
              <w:rPr>
                <w:sz w:val="1"/>
                <w:szCs w:val="1"/>
                <w:color w:val="auto"/>
              </w:rPr>
            </w:pPr>
          </w:p>
        </w:tc>
      </w:tr>
      <w:tr>
        <w:trPr>
          <w:trHeight w:val="189"/>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Attributable to noncontrolling interests</w:t>
            </w:r>
          </w:p>
        </w:tc>
        <w:tc>
          <w:tcPr>
            <w:tcW w:w="860" w:type="dxa"/>
            <w:vAlign w:val="bottom"/>
          </w:tcPr>
          <w:p>
            <w:pPr>
              <w:spacing w:after="0"/>
              <w:rPr>
                <w:sz w:val="16"/>
                <w:szCs w:val="16"/>
                <w:color w:val="auto"/>
              </w:rPr>
            </w:pP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14"/>
                <w:szCs w:val="14"/>
                <w:i w:val="1"/>
                <w:iCs w:val="1"/>
                <w:color w:val="auto"/>
              </w:rPr>
              <w:t>84</w:t>
            </w:r>
          </w:p>
        </w:tc>
        <w:tc>
          <w:tcPr>
            <w:tcW w:w="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Proportional interest in proved reserves</w:t>
            </w: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 equity companies</w:t>
            </w: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2020</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213</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581</w:t>
            </w: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908</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5"/>
              </w:rPr>
              <w:t>12,454</w:t>
            </w: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3,849</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Revisions</w:t>
            </w:r>
          </w:p>
        </w:tc>
        <w:tc>
          <w:tcPr>
            <w:tcW w:w="8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(99)</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9</w:t>
            </w: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(106)</w:t>
            </w: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Improved recovery</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Extensions/discoveries</w:t>
            </w:r>
          </w:p>
        </w:tc>
        <w:tc>
          <w:tcPr>
            <w:tcW w:w="8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Production</w:t>
            </w:r>
          </w:p>
        </w:tc>
        <w:tc>
          <w:tcPr>
            <w:tcW w:w="8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(971)</w:t>
            </w:r>
          </w:p>
        </w:tc>
        <w:tc>
          <w:tcPr>
            <w:tcW w:w="10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2020</w:t>
            </w: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102</w:t>
            </w: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360</w:t>
            </w:r>
          </w:p>
        </w:tc>
        <w:tc>
          <w:tcPr>
            <w:tcW w:w="10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917</w:t>
            </w:r>
          </w:p>
        </w:tc>
        <w:tc>
          <w:tcPr>
            <w:tcW w:w="6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5"/>
              </w:rPr>
              <w:t>11,377</w:t>
            </w:r>
          </w:p>
        </w:tc>
        <w:tc>
          <w:tcPr>
            <w:tcW w:w="10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12,756</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0" w:type="dxa"/>
            <w:vAlign w:val="bottom"/>
          </w:tcPr>
          <w:p>
            <w:pPr>
              <w:spacing w:after="0"/>
              <w:rPr>
                <w:sz w:val="1"/>
                <w:szCs w:val="1"/>
                <w:color w:val="auto"/>
              </w:rPr>
            </w:pPr>
          </w:p>
        </w:tc>
      </w:tr>
      <w:tr>
        <w:trPr>
          <w:trHeight w:val="212"/>
        </w:trPr>
        <w:tc>
          <w:tcPr>
            <w:tcW w:w="3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proved reserves at December 31, 2020</w:t>
            </w:r>
          </w:p>
        </w:tc>
        <w:tc>
          <w:tcPr>
            <w:tcW w:w="8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13,541</w:t>
            </w: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561</w:t>
            </w:r>
          </w:p>
        </w:tc>
        <w:tc>
          <w:tcPr>
            <w:tcW w:w="7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801</w:t>
            </w:r>
          </w:p>
        </w:tc>
        <w:tc>
          <w:tcPr>
            <w:tcW w:w="10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1,237</w:t>
            </w:r>
          </w:p>
        </w:tc>
        <w:tc>
          <w:tcPr>
            <w:tcW w:w="6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5"/>
              </w:rPr>
              <w:t>15,686</w:t>
            </w:r>
          </w:p>
        </w:tc>
        <w:tc>
          <w:tcPr>
            <w:tcW w:w="10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6,134</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37,960</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15,211</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Natural gas is converted to an oil-equivalent basis at six billion cubic feet per one million barrels.</w:t>
      </w:r>
    </w:p>
    <w:p>
      <w:pPr>
        <w:spacing w:after="0" w:line="200" w:lineRule="exact"/>
        <w:rPr>
          <w:rFonts w:ascii="Times New Roman" w:cs="Times New Roman" w:eastAsia="Times New Roman" w:hAnsi="Times New Roman"/>
          <w:sz w:val="16"/>
          <w:szCs w:val="16"/>
          <w:i w:val="1"/>
          <w:iCs w:val="1"/>
          <w:color w:val="auto"/>
        </w:rPr>
      </w:pPr>
    </w:p>
    <w:p>
      <w:pPr>
        <w:spacing w:after="0" w:line="248" w:lineRule="exact"/>
        <w:rPr>
          <w:rFonts w:ascii="Times New Roman" w:cs="Times New Roman" w:eastAsia="Times New Roman" w:hAnsi="Times New Roman"/>
          <w:sz w:val="16"/>
          <w:szCs w:val="16"/>
          <w:i w:val="1"/>
          <w:iCs w:val="1"/>
          <w:color w:val="auto"/>
        </w:rPr>
      </w:pPr>
    </w:p>
    <w:p>
      <w:pPr>
        <w:ind w:left="550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119" w:name="page120"/>
    <w:bookmarkEnd w:id="119"/>
    <w:p>
      <w:pPr>
        <w:ind w:left="20"/>
        <w:spacing w:after="0"/>
        <w:rPr>
          <w:sz w:val="20"/>
          <w:szCs w:val="20"/>
          <w:color w:val="auto"/>
        </w:rPr>
      </w:pPr>
      <w:r>
        <w:rPr>
          <w:rFonts w:ascii="Times New Roman" w:cs="Times New Roman" w:eastAsia="Times New Roman" w:hAnsi="Times New Roman"/>
          <w:sz w:val="16"/>
          <w:szCs w:val="16"/>
          <w:b w:val="1"/>
          <w:bCs w:val="1"/>
          <w:color w:val="auto"/>
        </w:rPr>
        <w:t>Natural Gas and Oil-Equivalent Proved Reserves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jc w:val="center"/>
              <w:ind w:right="140"/>
              <w:spacing w:after="0"/>
              <w:rPr>
                <w:sz w:val="20"/>
                <w:szCs w:val="20"/>
                <w:color w:val="auto"/>
              </w:rPr>
            </w:pPr>
            <w:r>
              <w:rPr>
                <w:rFonts w:ascii="Times New Roman" w:cs="Times New Roman" w:eastAsia="Times New Roman" w:hAnsi="Times New Roman"/>
                <w:sz w:val="14"/>
                <w:szCs w:val="14"/>
                <w:color w:val="auto"/>
              </w:rPr>
              <w:t>Natural Gas</w:t>
            </w: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Oil-Equivalent</w:t>
            </w: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84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United</w:t>
            </w:r>
          </w:p>
        </w:tc>
        <w:tc>
          <w:tcPr>
            <w:tcW w:w="980" w:type="dxa"/>
            <w:vAlign w:val="bottom"/>
          </w:tcPr>
          <w:p>
            <w:pPr>
              <w:jc w:val="center"/>
              <w:ind w:right="21"/>
              <w:spacing w:after="0" w:line="129" w:lineRule="exact"/>
              <w:rPr>
                <w:sz w:val="20"/>
                <w:szCs w:val="20"/>
                <w:color w:val="auto"/>
              </w:rPr>
            </w:pPr>
            <w:r>
              <w:rPr>
                <w:rFonts w:ascii="Times New Roman" w:cs="Times New Roman" w:eastAsia="Times New Roman" w:hAnsi="Times New Roman"/>
                <w:sz w:val="14"/>
                <w:szCs w:val="14"/>
                <w:color w:val="auto"/>
              </w:rPr>
              <w:t>Canada/</w:t>
            </w: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Australia/</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980" w:type="dxa"/>
            <w:vAlign w:val="bottom"/>
          </w:tcPr>
          <w:p>
            <w:pPr>
              <w:jc w:val="center"/>
              <w:ind w:right="21"/>
              <w:spacing w:after="0" w:line="135" w:lineRule="exact"/>
              <w:rPr>
                <w:sz w:val="20"/>
                <w:szCs w:val="20"/>
                <w:color w:val="auto"/>
              </w:rPr>
            </w:pPr>
            <w:r>
              <w:rPr>
                <w:rFonts w:ascii="Times New Roman" w:cs="Times New Roman" w:eastAsia="Times New Roman" w:hAnsi="Times New Roman"/>
                <w:sz w:val="14"/>
                <w:szCs w:val="14"/>
                <w:color w:val="auto"/>
              </w:rPr>
              <w:t>Other</w:t>
            </w:r>
          </w:p>
        </w:tc>
        <w:tc>
          <w:tcPr>
            <w:tcW w:w="780" w:type="dxa"/>
            <w:vAlign w:val="bottom"/>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Europe</w:t>
            </w:r>
          </w:p>
        </w:tc>
        <w:tc>
          <w:tcPr>
            <w:tcW w:w="1100" w:type="dxa"/>
            <w:vAlign w:val="bottom"/>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Africa</w:t>
            </w:r>
          </w:p>
        </w:tc>
        <w:tc>
          <w:tcPr>
            <w:tcW w:w="66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Asia</w:t>
            </w:r>
          </w:p>
        </w:tc>
        <w:tc>
          <w:tcPr>
            <w:tcW w:w="1000" w:type="dxa"/>
            <w:vAlign w:val="bottom"/>
            <w:vMerge w:val="continue"/>
          </w:tcPr>
          <w:p>
            <w:pPr>
              <w:spacing w:after="0"/>
              <w:rPr>
                <w:sz w:val="11"/>
                <w:szCs w:val="11"/>
                <w:color w:val="auto"/>
              </w:rPr>
            </w:pPr>
          </w:p>
        </w:tc>
        <w:tc>
          <w:tcPr>
            <w:tcW w:w="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840" w:type="dxa"/>
            <w:vAlign w:val="bottom"/>
          </w:tcPr>
          <w:p>
            <w:pPr>
              <w:jc w:val="right"/>
              <w:ind w:right="220"/>
              <w:spacing w:after="0"/>
              <w:rPr>
                <w:sz w:val="20"/>
                <w:szCs w:val="20"/>
                <w:color w:val="auto"/>
              </w:rPr>
            </w:pPr>
            <w:r>
              <w:rPr>
                <w:rFonts w:ascii="Times New Roman" w:cs="Times New Roman" w:eastAsia="Times New Roman" w:hAnsi="Times New Roman"/>
                <w:sz w:val="14"/>
                <w:szCs w:val="14"/>
                <w:color w:val="auto"/>
              </w:rPr>
              <w:t>States</w:t>
            </w:r>
          </w:p>
        </w:tc>
        <w:tc>
          <w:tcPr>
            <w:tcW w:w="980" w:type="dxa"/>
            <w:vAlign w:val="bottom"/>
          </w:tcPr>
          <w:p>
            <w:pPr>
              <w:jc w:val="center"/>
              <w:ind w:right="21"/>
              <w:spacing w:after="0"/>
              <w:rPr>
                <w:sz w:val="20"/>
                <w:szCs w:val="20"/>
                <w:color w:val="auto"/>
              </w:rPr>
            </w:pPr>
            <w:r>
              <w:rPr>
                <w:rFonts w:ascii="Times New Roman" w:cs="Times New Roman" w:eastAsia="Times New Roman" w:hAnsi="Times New Roman"/>
                <w:sz w:val="14"/>
                <w:szCs w:val="14"/>
                <w:color w:val="auto"/>
              </w:rPr>
              <w:t>Americas</w:t>
            </w:r>
          </w:p>
        </w:tc>
        <w:tc>
          <w:tcPr>
            <w:tcW w:w="7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000" w:type="dxa"/>
            <w:vAlign w:val="bottom"/>
          </w:tcPr>
          <w:p>
            <w:pPr>
              <w:jc w:val="right"/>
              <w:ind w:right="240"/>
              <w:spacing w:after="0"/>
              <w:rPr>
                <w:sz w:val="20"/>
                <w:szCs w:val="20"/>
                <w:color w:val="auto"/>
              </w:rPr>
            </w:pPr>
            <w:r>
              <w:rPr>
                <w:rFonts w:ascii="Times New Roman" w:cs="Times New Roman" w:eastAsia="Times New Roman" w:hAnsi="Times New Roman"/>
                <w:sz w:val="14"/>
                <w:szCs w:val="14"/>
                <w:color w:val="auto"/>
              </w:rPr>
              <w:t>Oceania</w:t>
            </w:r>
          </w:p>
        </w:tc>
        <w:tc>
          <w:tcPr>
            <w:tcW w:w="840" w:type="dxa"/>
            <w:vAlign w:val="bottom"/>
            <w:gridSpan w:val="2"/>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All Products </w:t>
            </w:r>
            <w:r>
              <w:rPr>
                <w:rFonts w:ascii="Times New Roman" w:cs="Times New Roman" w:eastAsia="Times New Roman" w:hAnsi="Times New Roman"/>
                <w:sz w:val="14"/>
                <w:szCs w:val="14"/>
                <w:b w:val="1"/>
                <w:bCs w:val="1"/>
                <w:i w:val="1"/>
                <w:iCs w:val="1"/>
                <w:color w:val="auto"/>
              </w:rPr>
              <w:t>(1)</w:t>
            </w:r>
          </w:p>
        </w:tc>
        <w:tc>
          <w:tcPr>
            <w:tcW w:w="0" w:type="dxa"/>
            <w:vAlign w:val="bottom"/>
          </w:tcPr>
          <w:p>
            <w:pPr>
              <w:spacing w:after="0"/>
              <w:rPr>
                <w:sz w:val="1"/>
                <w:szCs w:val="1"/>
                <w:color w:val="auto"/>
              </w:rPr>
            </w:pPr>
          </w:p>
        </w:tc>
      </w:tr>
      <w:tr>
        <w:trPr>
          <w:trHeight w:val="129"/>
        </w:trPr>
        <w:tc>
          <w:tcPr>
            <w:tcW w:w="37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gridSpan w:val="2"/>
          </w:tcPr>
          <w:p>
            <w:pPr>
              <w:jc w:val="center"/>
              <w:ind w:left="480"/>
              <w:spacing w:after="0" w:line="129" w:lineRule="exact"/>
              <w:rPr>
                <w:sz w:val="20"/>
                <w:szCs w:val="20"/>
                <w:color w:val="auto"/>
              </w:rPr>
            </w:pPr>
            <w:r>
              <w:rPr>
                <w:rFonts w:ascii="Times New Roman" w:cs="Times New Roman" w:eastAsia="Times New Roman" w:hAnsi="Times New Roman"/>
                <w:sz w:val="14"/>
                <w:szCs w:val="14"/>
                <w:i w:val="1"/>
                <w:iCs w:val="1"/>
                <w:color w:val="auto"/>
              </w:rPr>
              <w:t>(billions of cubic feet)</w:t>
            </w:r>
          </w:p>
        </w:tc>
        <w:tc>
          <w:tcPr>
            <w:tcW w:w="6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i w:val="1"/>
                <w:iCs w:val="1"/>
                <w:color w:val="auto"/>
              </w:rPr>
              <w:t>(millions of oil-</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equivalent barrels)</w:t>
            </w:r>
          </w:p>
        </w:tc>
        <w:tc>
          <w:tcPr>
            <w:tcW w:w="0" w:type="dxa"/>
            <w:vAlign w:val="bottom"/>
          </w:tcPr>
          <w:p>
            <w:pPr>
              <w:spacing w:after="0"/>
              <w:rPr>
                <w:sz w:val="1"/>
                <w:szCs w:val="1"/>
                <w:color w:val="auto"/>
              </w:rPr>
            </w:pPr>
          </w:p>
        </w:tc>
      </w:tr>
      <w:tr>
        <w:trPr>
          <w:trHeight w:val="162"/>
        </w:trPr>
        <w:tc>
          <w:tcPr>
            <w:tcW w:w="37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Proved developed reserves, as of</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2018</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12,538</w:t>
            </w: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605</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1,116</w:t>
            </w:r>
          </w:p>
        </w:tc>
        <w:tc>
          <w:tcPr>
            <w:tcW w:w="11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581</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3,618</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4,336</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13,098</w:t>
            </w: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Equity companies</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152</w:t>
            </w: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988</w:t>
            </w:r>
          </w:p>
        </w:tc>
        <w:tc>
          <w:tcPr>
            <w:tcW w:w="11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11,951</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0" w:type="dxa"/>
            <w:vAlign w:val="bottom"/>
          </w:tcPr>
          <w:p>
            <w:pPr>
              <w:spacing w:after="0"/>
              <w:rPr>
                <w:sz w:val="1"/>
                <w:szCs w:val="1"/>
                <w:color w:val="auto"/>
              </w:rPr>
            </w:pPr>
          </w:p>
        </w:tc>
      </w:tr>
      <w:tr>
        <w:trPr>
          <w:trHeight w:val="424"/>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Proved undeveloped reserves, as of</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2018</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8,865</w:t>
            </w: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1,139</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196</w:t>
            </w:r>
          </w:p>
        </w:tc>
        <w:tc>
          <w:tcPr>
            <w:tcW w:w="11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7</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223</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3,126</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6,980</w:t>
            </w: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Equity companies</w:t>
            </w: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73</w:t>
            </w:r>
          </w:p>
        </w:tc>
        <w:tc>
          <w:tcPr>
            <w:tcW w:w="9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69</w:t>
            </w: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863</w:t>
            </w:r>
          </w:p>
        </w:tc>
        <w:tc>
          <w:tcPr>
            <w:tcW w:w="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1,370</w:t>
            </w:r>
          </w:p>
        </w:tc>
        <w:tc>
          <w:tcPr>
            <w:tcW w:w="10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proved reserves at December 31, 2018</w:t>
            </w: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21,628</w:t>
            </w:r>
          </w:p>
        </w:tc>
        <w:tc>
          <w:tcPr>
            <w:tcW w:w="9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1,744</w:t>
            </w: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2,369</w:t>
            </w: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1,451</w:t>
            </w:r>
          </w:p>
        </w:tc>
        <w:tc>
          <w:tcPr>
            <w:tcW w:w="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17,162</w:t>
            </w:r>
          </w:p>
        </w:tc>
        <w:tc>
          <w:tcPr>
            <w:tcW w:w="10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7,462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51,816</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24,293</w:t>
            </w:r>
          </w:p>
        </w:tc>
        <w:tc>
          <w:tcPr>
            <w:tcW w:w="0" w:type="dxa"/>
            <w:vAlign w:val="bottom"/>
          </w:tcPr>
          <w:p>
            <w:pPr>
              <w:spacing w:after="0"/>
              <w:rPr>
                <w:sz w:val="1"/>
                <w:szCs w:val="1"/>
                <w:color w:val="auto"/>
              </w:rPr>
            </w:pPr>
          </w:p>
        </w:tc>
      </w:tr>
      <w:tr>
        <w:trPr>
          <w:trHeight w:val="404"/>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Proved developed reserves, as of</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2019</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11,882</w:t>
            </w: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613</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502</w:t>
            </w:r>
          </w:p>
        </w:tc>
        <w:tc>
          <w:tcPr>
            <w:tcW w:w="11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377</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3,508</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3,765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12,075</w:t>
            </w: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Equity companies</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143</w:t>
            </w: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505</w:t>
            </w:r>
          </w:p>
        </w:tc>
        <w:tc>
          <w:tcPr>
            <w:tcW w:w="11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9,859</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w:t>
            </w:r>
          </w:p>
        </w:tc>
        <w:tc>
          <w:tcPr>
            <w:tcW w:w="0" w:type="dxa"/>
            <w:vAlign w:val="bottom"/>
          </w:tcPr>
          <w:p>
            <w:pPr>
              <w:spacing w:after="0"/>
              <w:rPr>
                <w:sz w:val="1"/>
                <w:szCs w:val="1"/>
                <w:color w:val="auto"/>
              </w:rPr>
            </w:pPr>
          </w:p>
        </w:tc>
      </w:tr>
      <w:tr>
        <w:trPr>
          <w:trHeight w:val="424"/>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Proved undeveloped reserves, as of</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2019</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7,144</w:t>
            </w: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853</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119</w:t>
            </w:r>
          </w:p>
        </w:tc>
        <w:tc>
          <w:tcPr>
            <w:tcW w:w="11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925</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3,236</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6,521</w:t>
            </w: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Equity companies</w:t>
            </w: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70</w:t>
            </w:r>
          </w:p>
        </w:tc>
        <w:tc>
          <w:tcPr>
            <w:tcW w:w="9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76</w:t>
            </w: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908</w:t>
            </w:r>
          </w:p>
        </w:tc>
        <w:tc>
          <w:tcPr>
            <w:tcW w:w="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2,595</w:t>
            </w:r>
          </w:p>
        </w:tc>
        <w:tc>
          <w:tcPr>
            <w:tcW w:w="10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3,649</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proved reserves at December 31, 2019</w:t>
            </w: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19,239</w:t>
            </w:r>
          </w:p>
        </w:tc>
        <w:tc>
          <w:tcPr>
            <w:tcW w:w="9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1,466</w:t>
            </w: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1,202</w:t>
            </w: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1,285</w:t>
            </w:r>
          </w:p>
        </w:tc>
        <w:tc>
          <w:tcPr>
            <w:tcW w:w="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16,887</w:t>
            </w:r>
          </w:p>
        </w:tc>
        <w:tc>
          <w:tcPr>
            <w:tcW w:w="10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7,001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47,080</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22,445</w:t>
            </w:r>
          </w:p>
        </w:tc>
        <w:tc>
          <w:tcPr>
            <w:tcW w:w="0" w:type="dxa"/>
            <w:vAlign w:val="bottom"/>
          </w:tcPr>
          <w:p>
            <w:pPr>
              <w:spacing w:after="0"/>
              <w:rPr>
                <w:sz w:val="1"/>
                <w:szCs w:val="1"/>
                <w:color w:val="auto"/>
              </w:rPr>
            </w:pPr>
          </w:p>
        </w:tc>
      </w:tr>
      <w:tr>
        <w:trPr>
          <w:trHeight w:val="404"/>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Proved developed reserves, as of</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2020</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10,375</w:t>
            </w: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472</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399</w:t>
            </w:r>
          </w:p>
        </w:tc>
        <w:tc>
          <w:tcPr>
            <w:tcW w:w="11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318</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3,323</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3,344</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18,231</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7,915</w:t>
            </w: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Equity companies</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83</w:t>
            </w: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293</w:t>
            </w:r>
          </w:p>
        </w:tc>
        <w:tc>
          <w:tcPr>
            <w:tcW w:w="11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8,992</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9,368</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0" w:type="dxa"/>
            <w:vAlign w:val="bottom"/>
          </w:tcPr>
          <w:p>
            <w:pPr>
              <w:spacing w:after="0"/>
              <w:rPr>
                <w:sz w:val="1"/>
                <w:szCs w:val="1"/>
                <w:color w:val="auto"/>
              </w:rPr>
            </w:pPr>
          </w:p>
        </w:tc>
      </w:tr>
      <w:tr>
        <w:trPr>
          <w:trHeight w:val="425"/>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Proved undeveloped reserves, as of</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2020</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3,064</w:t>
            </w:r>
          </w:p>
        </w:tc>
        <w:tc>
          <w:tcPr>
            <w:tcW w:w="9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89</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w:t>
            </w:r>
          </w:p>
        </w:tc>
        <w:tc>
          <w:tcPr>
            <w:tcW w:w="11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2</w:t>
            </w: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986</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2,790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3,922</w:t>
            </w:r>
          </w:p>
        </w:tc>
        <w:tc>
          <w:tcPr>
            <w:tcW w:w="0" w:type="dxa"/>
            <w:vAlign w:val="bottom"/>
          </w:tcPr>
          <w:p>
            <w:pPr>
              <w:spacing w:after="0"/>
              <w:rPr>
                <w:sz w:val="1"/>
                <w:szCs w:val="1"/>
                <w:color w:val="auto"/>
              </w:rPr>
            </w:pPr>
          </w:p>
        </w:tc>
      </w:tr>
      <w:tr>
        <w:trPr>
          <w:trHeight w:val="216"/>
        </w:trPr>
        <w:tc>
          <w:tcPr>
            <w:tcW w:w="37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Equity companies</w:t>
            </w: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19</w:t>
            </w:r>
          </w:p>
        </w:tc>
        <w:tc>
          <w:tcPr>
            <w:tcW w:w="9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67</w:t>
            </w: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917</w:t>
            </w:r>
          </w:p>
        </w:tc>
        <w:tc>
          <w:tcPr>
            <w:tcW w:w="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2,385</w:t>
            </w:r>
          </w:p>
        </w:tc>
        <w:tc>
          <w:tcPr>
            <w:tcW w:w="10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3,388</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0" w:type="dxa"/>
            <w:vAlign w:val="bottom"/>
          </w:tcPr>
          <w:p>
            <w:pPr>
              <w:spacing w:after="0"/>
              <w:rPr>
                <w:sz w:val="1"/>
                <w:szCs w:val="1"/>
                <w:color w:val="auto"/>
              </w:rPr>
            </w:pPr>
          </w:p>
        </w:tc>
      </w:tr>
      <w:tr>
        <w:trPr>
          <w:trHeight w:val="21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proved reserves at December 31, 2020</w:t>
            </w:r>
          </w:p>
        </w:tc>
        <w:tc>
          <w:tcPr>
            <w:tcW w:w="8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13,541</w:t>
            </w:r>
          </w:p>
        </w:tc>
        <w:tc>
          <w:tcPr>
            <w:tcW w:w="9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561</w:t>
            </w:r>
          </w:p>
        </w:tc>
        <w:tc>
          <w:tcPr>
            <w:tcW w:w="7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801</w:t>
            </w: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1,237</w:t>
            </w:r>
          </w:p>
        </w:tc>
        <w:tc>
          <w:tcPr>
            <w:tcW w:w="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15,686</w:t>
            </w:r>
          </w:p>
        </w:tc>
        <w:tc>
          <w:tcPr>
            <w:tcW w:w="10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6,134</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37,960</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15,211</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Natural gas is converted to an oil-equivalent basis at six billion cubic feet per one million barrels.</w:t>
      </w:r>
    </w:p>
    <w:p>
      <w:pPr>
        <w:spacing w:after="0" w:line="200" w:lineRule="exact"/>
        <w:rPr>
          <w:rFonts w:ascii="Times New Roman" w:cs="Times New Roman" w:eastAsia="Times New Roman" w:hAnsi="Times New Roman"/>
          <w:sz w:val="16"/>
          <w:szCs w:val="16"/>
          <w:i w:val="1"/>
          <w:iCs w:val="1"/>
          <w:color w:val="auto"/>
        </w:rPr>
      </w:pPr>
    </w:p>
    <w:p>
      <w:pPr>
        <w:spacing w:after="0" w:line="200" w:lineRule="exact"/>
        <w:rPr>
          <w:rFonts w:ascii="Times New Roman" w:cs="Times New Roman" w:eastAsia="Times New Roman" w:hAnsi="Times New Roman"/>
          <w:sz w:val="16"/>
          <w:szCs w:val="16"/>
          <w:i w:val="1"/>
          <w:iCs w:val="1"/>
          <w:color w:val="auto"/>
        </w:rPr>
      </w:pPr>
    </w:p>
    <w:p>
      <w:pPr>
        <w:spacing w:after="0" w:line="223" w:lineRule="exact"/>
        <w:rPr>
          <w:rFonts w:ascii="Times New Roman" w:cs="Times New Roman" w:eastAsia="Times New Roman" w:hAnsi="Times New Roman"/>
          <w:sz w:val="16"/>
          <w:szCs w:val="16"/>
          <w:i w:val="1"/>
          <w:iCs w:val="1"/>
          <w:color w:val="auto"/>
        </w:rPr>
      </w:pPr>
    </w:p>
    <w:p>
      <w:pPr>
        <w:ind w:left="5500"/>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Standardized Measure of Discounted Future Cash Flows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required by the Financial Accounting Standards Board, the standardized measure of discounted future net cash flows is computed by applying first-day-of-the-month average prices, year-end costs and legislated tax rates and a discount factor of 10 percent to net proved reserves. The standardized measure includes costs for future dismantlement, abandonment and rehabilitation obligations. The Corporation believes the standardized measure does not provide a reliable estimate of the Corporation’s expected future cash flows to be obtained from the development and production of its oil and gas properties or of the value of its proved oil and gas reserves. The standardized measure is prepared on the basis of certain prescribed assumptions including first-day-of-the-month average prices, which represent discrete points in time and therefore may cause significant variability in cash flows from year to year as prices change.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Standardized Measure of Discounted</w:t>
            </w:r>
          </w:p>
        </w:tc>
        <w:tc>
          <w:tcPr>
            <w:tcW w:w="156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2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Canada/Other</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4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Africa</w:t>
            </w: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Asia</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Australia/</w:t>
            </w:r>
          </w:p>
        </w:tc>
        <w:tc>
          <w:tcPr>
            <w:tcW w:w="8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00" w:type="dxa"/>
            <w:vAlign w:val="bottom"/>
            <w:tcBorders>
              <w:bottom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Future Cash Flows</w:t>
            </w:r>
          </w:p>
        </w:tc>
        <w:tc>
          <w:tcPr>
            <w:tcW w:w="15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 xml:space="preserve">Americas </w:t>
            </w:r>
            <w:r>
              <w:rPr>
                <w:rFonts w:ascii="Times New Roman" w:cs="Times New Roman" w:eastAsia="Times New Roman" w:hAnsi="Times New Roman"/>
                <w:sz w:val="14"/>
                <w:szCs w:val="14"/>
                <w:i w:val="1"/>
                <w:iCs w:val="1"/>
                <w:color w:val="auto"/>
              </w:rPr>
              <w:t>(1)</w:t>
            </w:r>
          </w:p>
        </w:tc>
        <w:tc>
          <w:tcPr>
            <w:tcW w:w="7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Oceania</w:t>
            </w: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240"/>
          </w:cols>
          <w:pgMar w:left="320" w:top="765"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Consolidated Subsidiaries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As of December 31, 2018</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cash inflows from sales of oil and gas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production costs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development costs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income tax expenses</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net cash flows</w:t>
      </w:r>
    </w:p>
    <w:p>
      <w:pPr>
        <w:spacing w:after="0" w:line="27" w:lineRule="exact"/>
        <w:rPr>
          <w:sz w:val="20"/>
          <w:szCs w:val="20"/>
          <w:color w:val="auto"/>
        </w:rPr>
      </w:pPr>
    </w:p>
    <w:p>
      <w:pPr>
        <w:ind w:left="220" w:right="100"/>
        <w:spacing w:after="0" w:line="307" w:lineRule="auto"/>
        <w:rPr>
          <w:sz w:val="20"/>
          <w:szCs w:val="20"/>
          <w:color w:val="auto"/>
        </w:rPr>
      </w:pPr>
      <w:r>
        <w:rPr>
          <w:rFonts w:ascii="Times New Roman" w:cs="Times New Roman" w:eastAsia="Times New Roman" w:hAnsi="Times New Roman"/>
          <w:sz w:val="18"/>
          <w:szCs w:val="18"/>
          <w:color w:val="auto"/>
        </w:rPr>
        <w:t>Effect of discounting net cash flows at 10% Discounted future net cash flows</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Equity Companies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As of December 31, 2018</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cash inflows from sales of oil and gas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production costs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development costs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income tax expenses</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net cash flows</w:t>
      </w:r>
    </w:p>
    <w:p>
      <w:pPr>
        <w:spacing w:after="0" w:line="27" w:lineRule="exact"/>
        <w:rPr>
          <w:sz w:val="20"/>
          <w:szCs w:val="20"/>
          <w:color w:val="auto"/>
        </w:rPr>
      </w:pPr>
    </w:p>
    <w:p>
      <w:pPr>
        <w:ind w:left="220" w:right="100"/>
        <w:spacing w:after="0" w:line="307" w:lineRule="auto"/>
        <w:rPr>
          <w:sz w:val="20"/>
          <w:szCs w:val="20"/>
          <w:color w:val="auto"/>
        </w:rPr>
      </w:pPr>
      <w:r>
        <w:rPr>
          <w:rFonts w:ascii="Times New Roman" w:cs="Times New Roman" w:eastAsia="Times New Roman" w:hAnsi="Times New Roman"/>
          <w:sz w:val="18"/>
          <w:szCs w:val="18"/>
          <w:color w:val="auto"/>
        </w:rPr>
        <w:t>Effect of discounting net cash flows at 10% Discounted future net cash flows</w:t>
      </w:r>
    </w:p>
    <w:p>
      <w:pPr>
        <w:spacing w:after="0" w:line="208" w:lineRule="exact"/>
        <w:rPr>
          <w:sz w:val="20"/>
          <w:szCs w:val="20"/>
          <w:color w:val="auto"/>
        </w:rPr>
      </w:pPr>
    </w:p>
    <w:p>
      <w:pPr>
        <w:ind w:left="260" w:right="480" w:hanging="224"/>
        <w:spacing w:after="0" w:line="226" w:lineRule="auto"/>
        <w:rPr>
          <w:sz w:val="20"/>
          <w:szCs w:val="20"/>
          <w:color w:val="auto"/>
        </w:rPr>
      </w:pPr>
      <w:r>
        <w:rPr>
          <w:rFonts w:ascii="Times New Roman" w:cs="Times New Roman" w:eastAsia="Times New Roman" w:hAnsi="Times New Roman"/>
          <w:sz w:val="18"/>
          <w:szCs w:val="18"/>
          <w:color w:val="auto"/>
        </w:rPr>
        <w:t>Total consolidated and equity interests in standardized measure of discounted future net cash flows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265,527</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204,596</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23,263</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47,557</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241,410</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67,041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849,394</w:t>
            </w:r>
          </w:p>
        </w:tc>
      </w:tr>
      <w:tr>
        <w:trPr>
          <w:trHeight w:val="229"/>
        </w:trPr>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96,489</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125,469</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5,023</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16,019</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61,674</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18,081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322,755</w:t>
            </w:r>
          </w:p>
        </w:tc>
      </w:tr>
      <w:tr>
        <w:trPr>
          <w:trHeight w:val="230"/>
        </w:trPr>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54,457</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29,759</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7,351</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8,356</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13,907</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8,047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121,877</w:t>
            </w:r>
          </w:p>
        </w:tc>
      </w:tr>
      <w:tr>
        <w:trPr>
          <w:trHeight w:val="234"/>
        </w:trPr>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25,365</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9,024</w:t>
            </w: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8,255</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10,491</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124,043</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10,499</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187,677</w:t>
            </w:r>
          </w:p>
        </w:tc>
      </w:tr>
      <w:tr>
        <w:trPr>
          <w:trHeight w:val="218"/>
        </w:trPr>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89,216</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40,344</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2,634</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12,691</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41,786</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30,414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217,085</w:t>
            </w:r>
          </w:p>
        </w:tc>
      </w:tr>
      <w:tr>
        <w:trPr>
          <w:trHeight w:val="234"/>
        </w:trPr>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49,176</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22,315</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2,957</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21,509</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15,030</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110,981</w:t>
            </w:r>
          </w:p>
        </w:tc>
      </w:tr>
      <w:tr>
        <w:trPr>
          <w:trHeight w:val="223"/>
        </w:trPr>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40,040</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18,029</w:t>
            </w: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2,640</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9,734</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20,277</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15,384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106,104</w:t>
            </w:r>
          </w:p>
        </w:tc>
      </w:tr>
      <w:tr>
        <w:trPr>
          <w:trHeight w:val="934"/>
        </w:trPr>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17,730</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7,264</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3,777</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165,471</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194,242</w:t>
            </w:r>
          </w:p>
        </w:tc>
      </w:tr>
      <w:tr>
        <w:trPr>
          <w:trHeight w:val="229"/>
        </w:trPr>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6,474</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2,157</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249</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61,331</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70,211</w:t>
            </w:r>
          </w:p>
        </w:tc>
      </w:tr>
      <w:tr>
        <w:trPr>
          <w:trHeight w:val="230"/>
        </w:trPr>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3,359</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1,165</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370</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10,295</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15,189</w:t>
            </w:r>
          </w:p>
        </w:tc>
      </w:tr>
      <w:tr>
        <w:trPr>
          <w:trHeight w:val="234"/>
        </w:trPr>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1,612</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964</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30,662</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33,238</w:t>
            </w:r>
          </w:p>
        </w:tc>
      </w:tr>
      <w:tr>
        <w:trPr>
          <w:trHeight w:val="218"/>
        </w:trPr>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7,897</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2,330</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2,194</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63,183</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75,604</w:t>
            </w:r>
          </w:p>
        </w:tc>
      </w:tr>
      <w:tr>
        <w:trPr>
          <w:trHeight w:val="234"/>
        </w:trPr>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4,104</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713</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1,712</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31,503</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38,032</w:t>
            </w:r>
          </w:p>
        </w:tc>
      </w:tr>
      <w:tr>
        <w:trPr>
          <w:trHeight w:val="223"/>
        </w:trPr>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3,793</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1,617</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482</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31,680</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37,572</w:t>
            </w:r>
          </w:p>
        </w:tc>
      </w:tr>
      <w:tr>
        <w:trPr>
          <w:trHeight w:val="830"/>
        </w:trPr>
        <w:tc>
          <w:tcPr>
            <w:tcW w:w="11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43,833</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18,029</w:t>
            </w: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4,257</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10,216</w:t>
            </w: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51,957</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15,384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143,676</w:t>
            </w:r>
          </w:p>
        </w:tc>
      </w:tr>
    </w:tbl>
    <w:p>
      <w:pPr>
        <w:spacing w:after="0" w:line="155" w:lineRule="exact"/>
        <w:rPr>
          <w:sz w:val="20"/>
          <w:szCs w:val="20"/>
          <w:color w:val="auto"/>
        </w:rPr>
      </w:pPr>
    </w:p>
    <w:p>
      <w:pPr>
        <w:sectPr>
          <w:pgSz w:w="11900" w:h="16838" w:orient="portrait"/>
          <w:cols w:equalWidth="0" w:num="2">
            <w:col w:w="3460" w:space="600"/>
            <w:col w:w="7180"/>
          </w:cols>
          <w:pgMar w:left="320" w:top="765" w:right="339" w:bottom="1440" w:gutter="0" w:footer="0" w:header="0"/>
          <w:type w:val="continuous"/>
        </w:sectPr>
      </w:pPr>
    </w:p>
    <w:p>
      <w:pPr>
        <w:ind w:left="320" w:hanging="312"/>
        <w:spacing w:after="0"/>
        <w:tabs>
          <w:tab w:leader="none" w:pos="320" w:val="left"/>
        </w:tabs>
        <w:numPr>
          <w:ilvl w:val="0"/>
          <w:numId w:val="4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Includes discounted future net cash flows attributable to noncontrolling interests in ExxonMobil consolidated subsidiaries of $2,823 million in 2018.</w:t>
      </w:r>
    </w:p>
    <w:p>
      <w:pPr>
        <w:spacing w:after="0" w:line="200" w:lineRule="exact"/>
        <w:rPr>
          <w:rFonts w:ascii="Times New Roman" w:cs="Times New Roman" w:eastAsia="Times New Roman" w:hAnsi="Times New Roman"/>
          <w:sz w:val="17"/>
          <w:szCs w:val="17"/>
          <w:i w:val="1"/>
          <w:iCs w:val="1"/>
          <w:color w:val="auto"/>
        </w:rPr>
      </w:pPr>
    </w:p>
    <w:p>
      <w:pPr>
        <w:spacing w:after="0" w:line="268" w:lineRule="exact"/>
        <w:rPr>
          <w:rFonts w:ascii="Times New Roman" w:cs="Times New Roman" w:eastAsia="Times New Roman" w:hAnsi="Times New Roman"/>
          <w:sz w:val="17"/>
          <w:szCs w:val="17"/>
          <w:i w:val="1"/>
          <w:iCs w:val="1"/>
          <w:color w:val="auto"/>
        </w:rPr>
      </w:pPr>
    </w:p>
    <w:p>
      <w:pPr>
        <w:ind w:left="550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25"/>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Standardized Measure of Discounted</w:t>
            </w:r>
          </w:p>
        </w:tc>
        <w:tc>
          <w:tcPr>
            <w:tcW w:w="156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2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Canada/Other</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4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Africa</w:t>
            </w: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Asia</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Australia/</w:t>
            </w:r>
          </w:p>
        </w:tc>
        <w:tc>
          <w:tcPr>
            <w:tcW w:w="8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00" w:type="dxa"/>
            <w:vAlign w:val="bottom"/>
            <w:tcBorders>
              <w:bottom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Future Cash Flows (continued)</w:t>
            </w:r>
          </w:p>
        </w:tc>
        <w:tc>
          <w:tcPr>
            <w:tcW w:w="156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 xml:space="preserve">Americas </w:t>
            </w:r>
            <w:r>
              <w:rPr>
                <w:rFonts w:ascii="Times New Roman" w:cs="Times New Roman" w:eastAsia="Times New Roman" w:hAnsi="Times New Roman"/>
                <w:sz w:val="14"/>
                <w:szCs w:val="14"/>
                <w:i w:val="1"/>
                <w:iCs w:val="1"/>
                <w:color w:val="auto"/>
              </w:rPr>
              <w:t>(1)</w:t>
            </w:r>
          </w:p>
        </w:tc>
        <w:tc>
          <w:tcPr>
            <w:tcW w:w="7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Oceania</w:t>
            </w: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7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240"/>
          </w:cols>
          <w:pgMar w:left="320" w:top="900"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Consolidated Subsidiaries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As of December 31, 2019</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cash inflows from sales of oil and gas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production costs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development costs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income tax expenses</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net cash flows</w:t>
      </w:r>
    </w:p>
    <w:p>
      <w:pPr>
        <w:spacing w:after="0" w:line="27" w:lineRule="exact"/>
        <w:rPr>
          <w:sz w:val="20"/>
          <w:szCs w:val="20"/>
          <w:color w:val="auto"/>
        </w:rPr>
      </w:pPr>
    </w:p>
    <w:p>
      <w:pPr>
        <w:ind w:left="220" w:right="100"/>
        <w:spacing w:after="0" w:line="307" w:lineRule="auto"/>
        <w:rPr>
          <w:sz w:val="20"/>
          <w:szCs w:val="20"/>
          <w:color w:val="auto"/>
        </w:rPr>
      </w:pPr>
      <w:r>
        <w:rPr>
          <w:rFonts w:ascii="Times New Roman" w:cs="Times New Roman" w:eastAsia="Times New Roman" w:hAnsi="Times New Roman"/>
          <w:sz w:val="18"/>
          <w:szCs w:val="18"/>
          <w:color w:val="auto"/>
        </w:rPr>
        <w:t>Effect of discounting net cash flows at 10% Discounted future net cash flows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Equity Companies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As of December 31, 2019</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cash inflows from sales of oil and gas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production costs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development costs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income tax expenses</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net cash flows</w:t>
      </w:r>
    </w:p>
    <w:p>
      <w:pPr>
        <w:spacing w:after="0" w:line="27" w:lineRule="exact"/>
        <w:rPr>
          <w:sz w:val="20"/>
          <w:szCs w:val="20"/>
          <w:color w:val="auto"/>
        </w:rPr>
      </w:pPr>
    </w:p>
    <w:p>
      <w:pPr>
        <w:ind w:left="220" w:right="100"/>
        <w:spacing w:after="0" w:line="307" w:lineRule="auto"/>
        <w:rPr>
          <w:sz w:val="20"/>
          <w:szCs w:val="20"/>
          <w:color w:val="auto"/>
        </w:rPr>
      </w:pPr>
      <w:r>
        <w:rPr>
          <w:rFonts w:ascii="Times New Roman" w:cs="Times New Roman" w:eastAsia="Times New Roman" w:hAnsi="Times New Roman"/>
          <w:sz w:val="18"/>
          <w:szCs w:val="18"/>
          <w:color w:val="auto"/>
        </w:rPr>
        <w:t>Effect of discounting net cash flows at 10% Discounted future net cash flows</w:t>
      </w:r>
    </w:p>
    <w:p>
      <w:pPr>
        <w:spacing w:after="0" w:line="154" w:lineRule="exact"/>
        <w:rPr>
          <w:sz w:val="20"/>
          <w:szCs w:val="20"/>
          <w:color w:val="auto"/>
        </w:rPr>
      </w:pPr>
    </w:p>
    <w:p>
      <w:pPr>
        <w:ind w:left="260" w:right="480" w:hanging="224"/>
        <w:spacing w:after="0" w:line="226" w:lineRule="auto"/>
        <w:rPr>
          <w:sz w:val="20"/>
          <w:szCs w:val="20"/>
          <w:color w:val="auto"/>
        </w:rPr>
      </w:pPr>
      <w:r>
        <w:rPr>
          <w:rFonts w:ascii="Times New Roman" w:cs="Times New Roman" w:eastAsia="Times New Roman" w:hAnsi="Times New Roman"/>
          <w:sz w:val="18"/>
          <w:szCs w:val="18"/>
          <w:color w:val="auto"/>
        </w:rPr>
        <w:t>Total consolidated and equity interests in standardized measure of discounted future net cash flows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Subsidiaries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As of December 31, 2020</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cash inflows from sales of oil and gas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production costs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development costs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income tax expenses</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net cash flows</w:t>
      </w:r>
    </w:p>
    <w:p>
      <w:pPr>
        <w:spacing w:after="0" w:line="27" w:lineRule="exact"/>
        <w:rPr>
          <w:sz w:val="20"/>
          <w:szCs w:val="20"/>
          <w:color w:val="auto"/>
        </w:rPr>
      </w:pPr>
    </w:p>
    <w:p>
      <w:pPr>
        <w:ind w:left="220" w:right="100"/>
        <w:spacing w:after="0" w:line="307" w:lineRule="auto"/>
        <w:rPr>
          <w:sz w:val="20"/>
          <w:szCs w:val="20"/>
          <w:color w:val="auto"/>
        </w:rPr>
      </w:pPr>
      <w:r>
        <w:rPr>
          <w:rFonts w:ascii="Times New Roman" w:cs="Times New Roman" w:eastAsia="Times New Roman" w:hAnsi="Times New Roman"/>
          <w:sz w:val="18"/>
          <w:szCs w:val="18"/>
          <w:color w:val="auto"/>
        </w:rPr>
        <w:t>Effect of discounting net cash flows at 10% Discounted future net cash flows</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Equity Companies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As of December 31, 2020</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cash inflows from sales of oil and gas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production costs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development costs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income tax expenses</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Future net cash flows</w:t>
      </w:r>
    </w:p>
    <w:p>
      <w:pPr>
        <w:spacing w:after="0" w:line="27" w:lineRule="exact"/>
        <w:rPr>
          <w:sz w:val="20"/>
          <w:szCs w:val="20"/>
          <w:color w:val="auto"/>
        </w:rPr>
      </w:pPr>
    </w:p>
    <w:p>
      <w:pPr>
        <w:ind w:left="220" w:right="100"/>
        <w:spacing w:after="0" w:line="307" w:lineRule="auto"/>
        <w:rPr>
          <w:sz w:val="20"/>
          <w:szCs w:val="20"/>
          <w:color w:val="auto"/>
        </w:rPr>
      </w:pPr>
      <w:r>
        <w:rPr>
          <w:rFonts w:ascii="Times New Roman" w:cs="Times New Roman" w:eastAsia="Times New Roman" w:hAnsi="Times New Roman"/>
          <w:sz w:val="18"/>
          <w:szCs w:val="18"/>
          <w:color w:val="auto"/>
        </w:rPr>
        <w:t>Effect of discounting net cash flows at 10% Discounted future net cash flows</w:t>
      </w:r>
    </w:p>
    <w:p>
      <w:pPr>
        <w:spacing w:after="0" w:line="154" w:lineRule="exact"/>
        <w:rPr>
          <w:sz w:val="20"/>
          <w:szCs w:val="20"/>
          <w:color w:val="auto"/>
        </w:rPr>
      </w:pPr>
    </w:p>
    <w:p>
      <w:pPr>
        <w:ind w:left="260" w:right="480" w:hanging="224"/>
        <w:spacing w:after="0" w:line="226" w:lineRule="auto"/>
        <w:rPr>
          <w:sz w:val="20"/>
          <w:szCs w:val="20"/>
          <w:color w:val="auto"/>
        </w:rPr>
      </w:pPr>
      <w:r>
        <w:rPr>
          <w:rFonts w:ascii="Times New Roman" w:cs="Times New Roman" w:eastAsia="Times New Roman" w:hAnsi="Times New Roman"/>
          <w:sz w:val="18"/>
          <w:szCs w:val="18"/>
          <w:color w:val="auto"/>
        </w:rPr>
        <w:t>Total consolidated and equity interests in standardized measure of discounted future net cash flows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208,981</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190,604</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5,789</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30,194</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215,837</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43,599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695,004</w:t>
            </w:r>
          </w:p>
        </w:tc>
      </w:tr>
      <w:tr>
        <w:trPr>
          <w:trHeight w:val="229"/>
        </w:trPr>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90,448</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133,606</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3,209</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10,177</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58,255</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12,980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308,675</w:t>
            </w:r>
          </w:p>
        </w:tc>
      </w:tr>
      <w:tr>
        <w:trPr>
          <w:trHeight w:val="230"/>
        </w:trPr>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53,641</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31,158</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4,397</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6,756</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14,113</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8,109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118,174</w:t>
            </w:r>
          </w:p>
        </w:tc>
      </w:tr>
      <w:tr>
        <w:trPr>
          <w:trHeight w:val="234"/>
        </w:trPr>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12,530</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5,888</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(594)</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5,374</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108,316</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5,158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136,672</w:t>
            </w:r>
          </w:p>
        </w:tc>
      </w:tr>
      <w:tr>
        <w:trPr>
          <w:trHeight w:val="218"/>
        </w:trPr>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52,362</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19,952</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(1,223)</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7,887</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35,153</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17,352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131,483</w:t>
            </w:r>
          </w:p>
        </w:tc>
      </w:tr>
      <w:tr>
        <w:trPr>
          <w:trHeight w:val="234"/>
        </w:trPr>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30,499</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7,728</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(1,265)</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872</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18,658</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7,491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63,983</w:t>
            </w:r>
          </w:p>
        </w:tc>
      </w:tr>
      <w:tr>
        <w:trPr>
          <w:trHeight w:val="223"/>
        </w:trPr>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21,863</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12,224</w:t>
            </w: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42</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7,015</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16,495</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9,861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67,500</w:t>
            </w:r>
          </w:p>
        </w:tc>
      </w:tr>
      <w:tr>
        <w:trPr>
          <w:trHeight w:val="880"/>
        </w:trPr>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15,729</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3,194</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2,509</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115,451</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136,883</w:t>
            </w:r>
          </w:p>
        </w:tc>
      </w:tr>
      <w:tr>
        <w:trPr>
          <w:trHeight w:val="229"/>
        </w:trPr>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6,848</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1,302</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246</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48,259</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56,655</w:t>
            </w:r>
          </w:p>
        </w:tc>
      </w:tr>
      <w:tr>
        <w:trPr>
          <w:trHeight w:val="230"/>
        </w:trPr>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3,681</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1,182</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247</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11,463</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16,573</w:t>
            </w:r>
          </w:p>
        </w:tc>
      </w:tr>
      <w:tr>
        <w:trPr>
          <w:trHeight w:val="234"/>
        </w:trPr>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346</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555</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17,891</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18,792</w:t>
            </w:r>
          </w:p>
        </w:tc>
      </w:tr>
      <w:tr>
        <w:trPr>
          <w:trHeight w:val="218"/>
        </w:trPr>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5,200</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364</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1,461</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37,838</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44,863</w:t>
            </w:r>
          </w:p>
        </w:tc>
      </w:tr>
      <w:tr>
        <w:trPr>
          <w:trHeight w:val="234"/>
        </w:trPr>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2,721</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41</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1,112</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18,573</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22,447</w:t>
            </w:r>
          </w:p>
        </w:tc>
      </w:tr>
      <w:tr>
        <w:trPr>
          <w:trHeight w:val="223"/>
        </w:trPr>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2,479</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323</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349</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19,265</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22,416</w:t>
            </w:r>
          </w:p>
        </w:tc>
      </w:tr>
      <w:tr>
        <w:trPr>
          <w:trHeight w:val="776"/>
        </w:trPr>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24,342</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12,224</w:t>
            </w:r>
          </w:p>
        </w:tc>
        <w:tc>
          <w:tcPr>
            <w:tcW w:w="10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365</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7,364</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35,760</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9,861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89,916</w:t>
            </w:r>
          </w:p>
        </w:tc>
      </w:tr>
      <w:tr>
        <w:trPr>
          <w:trHeight w:val="880"/>
        </w:trPr>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93,520</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38,193</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2,734</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15,411</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138,080</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19,794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307,732</w:t>
            </w:r>
          </w:p>
        </w:tc>
      </w:tr>
      <w:tr>
        <w:trPr>
          <w:trHeight w:val="229"/>
        </w:trPr>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53,635</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19,971</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1,815</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6,527</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42,378</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3,188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127,514</w:t>
            </w:r>
          </w:p>
        </w:tc>
      </w:tr>
      <w:tr>
        <w:trPr>
          <w:trHeight w:val="230"/>
        </w:trPr>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27,668</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10,991</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4,244</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6,223</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13,432</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7,580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70,138</w:t>
            </w:r>
          </w:p>
        </w:tc>
      </w:tr>
      <w:tr>
        <w:trPr>
          <w:trHeight w:val="234"/>
        </w:trPr>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(2,509)</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851</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(1,121)</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916</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62,223</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1,381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61,741</w:t>
            </w:r>
          </w:p>
        </w:tc>
      </w:tr>
      <w:tr>
        <w:trPr>
          <w:trHeight w:val="218"/>
        </w:trPr>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14,726</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6,380</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(2,204)</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1,745</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20,047</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7,645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48,339</w:t>
            </w:r>
          </w:p>
        </w:tc>
      </w:tr>
      <w:tr>
        <w:trPr>
          <w:trHeight w:val="234"/>
        </w:trPr>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8,564</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1,116</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(1,565)</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(511)</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10,557</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3,624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21,785</w:t>
            </w:r>
          </w:p>
        </w:tc>
      </w:tr>
      <w:tr>
        <w:trPr>
          <w:trHeight w:val="223"/>
        </w:trPr>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6,162</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5,264</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(639)</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2,256</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9,490</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4,021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26,554</w:t>
            </w:r>
          </w:p>
        </w:tc>
      </w:tr>
      <w:tr>
        <w:trPr>
          <w:trHeight w:val="880"/>
        </w:trPr>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5,304</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1,511</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740</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63,105</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70,660</w:t>
            </w:r>
          </w:p>
        </w:tc>
      </w:tr>
      <w:tr>
        <w:trPr>
          <w:trHeight w:val="229"/>
        </w:trPr>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3,467</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694</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247</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29,170</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33,578</w:t>
            </w:r>
          </w:p>
        </w:tc>
      </w:tr>
      <w:tr>
        <w:trPr>
          <w:trHeight w:val="230"/>
        </w:trPr>
        <w:tc>
          <w:tcPr>
            <w:tcW w:w="1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2,243</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1,054</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9,929</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13,389</w:t>
            </w:r>
          </w:p>
        </w:tc>
      </w:tr>
      <w:tr>
        <w:trPr>
          <w:trHeight w:val="234"/>
        </w:trPr>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(115)</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8,088</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8,015</w:t>
            </w:r>
          </w:p>
        </w:tc>
      </w:tr>
      <w:tr>
        <w:trPr>
          <w:trHeight w:val="218"/>
        </w:trPr>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(406)</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(122)</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288</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15,918</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15,678</w:t>
            </w:r>
          </w:p>
        </w:tc>
      </w:tr>
      <w:tr>
        <w:trPr>
          <w:trHeight w:val="234"/>
        </w:trPr>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(378)</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(86)</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258</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7,443</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7,237</w:t>
            </w:r>
          </w:p>
        </w:tc>
      </w:tr>
      <w:tr>
        <w:trPr>
          <w:trHeight w:val="223"/>
        </w:trPr>
        <w:tc>
          <w:tcPr>
            <w:tcW w:w="11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(36)</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8,475</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8,441</w:t>
            </w:r>
          </w:p>
        </w:tc>
      </w:tr>
      <w:tr>
        <w:trPr>
          <w:trHeight w:val="776"/>
        </w:trPr>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6,134</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5,264</w:t>
            </w:r>
          </w:p>
        </w:tc>
        <w:tc>
          <w:tcPr>
            <w:tcW w:w="10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(675)</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2,286</w:t>
            </w: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17,965</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4,021</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34,995</w:t>
            </w:r>
          </w:p>
        </w:tc>
      </w:tr>
    </w:tbl>
    <w:p>
      <w:pPr>
        <w:spacing w:after="0" w:line="142" w:lineRule="exact"/>
        <w:rPr>
          <w:sz w:val="20"/>
          <w:szCs w:val="20"/>
          <w:color w:val="auto"/>
        </w:rPr>
      </w:pPr>
    </w:p>
    <w:p>
      <w:pPr>
        <w:sectPr>
          <w:pgSz w:w="11900" w:h="16838" w:orient="portrait"/>
          <w:cols w:equalWidth="0" w:num="2">
            <w:col w:w="3460" w:space="600"/>
            <w:col w:w="7180"/>
          </w:cols>
          <w:pgMar w:left="320" w:top="900" w:right="339" w:bottom="1440" w:gutter="0" w:footer="0" w:header="0"/>
          <w:type w:val="continuous"/>
        </w:sectPr>
      </w:pPr>
    </w:p>
    <w:p>
      <w:pPr>
        <w:ind w:left="340" w:right="20" w:hanging="332"/>
        <w:spacing w:after="0" w:line="284" w:lineRule="auto"/>
        <w:tabs>
          <w:tab w:leader="none" w:pos="334" w:val="left"/>
        </w:tabs>
        <w:numPr>
          <w:ilvl w:val="0"/>
          <w:numId w:val="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discounted future net cash flows attributable to noncontrolling interests in ExxonMobil consolidated subsidiaries of $1,064 million in 2019 and $(150) million in 2020.</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Change in Standardized Measure of Discounted Future Net Cash Flows Relating to Proved Oil and Gas Reserves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and Equity Interests</w:t>
            </w:r>
          </w:p>
        </w:tc>
        <w:tc>
          <w:tcPr>
            <w:tcW w:w="9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5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tcPr>
          <w:p>
            <w:pPr>
              <w:jc w:val="center"/>
              <w:ind w:right="4"/>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7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Share of Equity Method</w:t>
            </w:r>
          </w:p>
        </w:tc>
        <w:tc>
          <w:tcPr>
            <w:tcW w:w="16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Total Consolidated and</w:t>
            </w:r>
          </w:p>
        </w:tc>
        <w:tc>
          <w:tcPr>
            <w:tcW w:w="0" w:type="dxa"/>
            <w:vAlign w:val="bottom"/>
          </w:tcPr>
          <w:p>
            <w:pPr>
              <w:spacing w:after="0"/>
              <w:rPr>
                <w:sz w:val="1"/>
                <w:szCs w:val="1"/>
                <w:color w:val="auto"/>
              </w:rPr>
            </w:pPr>
          </w:p>
        </w:tc>
      </w:tr>
      <w:tr>
        <w:trPr>
          <w:trHeight w:val="189"/>
        </w:trPr>
        <w:tc>
          <w:tcPr>
            <w:tcW w:w="5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Investees</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Interests</w:t>
            </w: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Discounted future net cash flows as of December 31, 2017</w:t>
            </w:r>
          </w:p>
        </w:tc>
        <w:tc>
          <w:tcPr>
            <w:tcW w:w="260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auto"/>
              </w:rPr>
              <w:t>65,201</w:t>
            </w:r>
          </w:p>
        </w:tc>
        <w:tc>
          <w:tcPr>
            <w:tcW w:w="1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25,003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90,204</w:t>
            </w:r>
          </w:p>
        </w:tc>
        <w:tc>
          <w:tcPr>
            <w:tcW w:w="0" w:type="dxa"/>
            <w:vAlign w:val="bottom"/>
          </w:tcPr>
          <w:p>
            <w:pPr>
              <w:spacing w:after="0"/>
              <w:rPr>
                <w:sz w:val="1"/>
                <w:szCs w:val="1"/>
                <w:color w:val="auto"/>
              </w:rPr>
            </w:pPr>
          </w:p>
        </w:tc>
      </w:tr>
      <w:tr>
        <w:trPr>
          <w:trHeight w:val="432"/>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of reserves added during the year due to extensions, discoveries,</w:t>
            </w:r>
          </w:p>
        </w:tc>
        <w:tc>
          <w:tcPr>
            <w:tcW w:w="2600" w:type="dxa"/>
            <w:vAlign w:val="bottom"/>
            <w:gridSpan w:val="3"/>
            <w:vMerge w:val="restart"/>
          </w:tcPr>
          <w:p>
            <w:pPr>
              <w:jc w:val="right"/>
              <w:ind w:right="64"/>
              <w:spacing w:after="0"/>
              <w:rPr>
                <w:sz w:val="20"/>
                <w:szCs w:val="20"/>
                <w:color w:val="auto"/>
              </w:rPr>
            </w:pPr>
            <w:r>
              <w:rPr>
                <w:rFonts w:ascii="Times New Roman" w:cs="Times New Roman" w:eastAsia="Times New Roman" w:hAnsi="Times New Roman"/>
                <w:sz w:val="18"/>
                <w:szCs w:val="18"/>
                <w:color w:val="auto"/>
              </w:rPr>
              <w:t>9,472</w:t>
            </w:r>
          </w:p>
        </w:tc>
        <w:tc>
          <w:tcPr>
            <w:tcW w:w="172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(134)</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9,338</w:t>
            </w:r>
          </w:p>
        </w:tc>
        <w:tc>
          <w:tcPr>
            <w:tcW w:w="0" w:type="dxa"/>
            <w:vAlign w:val="bottom"/>
          </w:tcPr>
          <w:p>
            <w:pPr>
              <w:spacing w:after="0"/>
              <w:rPr>
                <w:sz w:val="1"/>
                <w:szCs w:val="1"/>
                <w:color w:val="auto"/>
              </w:rPr>
            </w:pPr>
          </w:p>
        </w:tc>
      </w:tr>
      <w:tr>
        <w:trPr>
          <w:trHeight w:val="225"/>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improved recovery and net purchases/sales less related costs</w:t>
            </w:r>
          </w:p>
        </w:tc>
        <w:tc>
          <w:tcPr>
            <w:tcW w:w="2600" w:type="dxa"/>
            <w:vAlign w:val="bottom"/>
            <w:gridSpan w:val="3"/>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value of previous-year reserves due to:</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30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Sales and transfers of oil and gas produced during the year, net of</w:t>
            </w:r>
          </w:p>
        </w:tc>
        <w:tc>
          <w:tcPr>
            <w:tcW w:w="2600" w:type="dxa"/>
            <w:vAlign w:val="bottom"/>
            <w:gridSpan w:val="3"/>
            <w:vMerge w:val="restart"/>
          </w:tcPr>
          <w:p>
            <w:pPr>
              <w:jc w:val="right"/>
              <w:ind w:right="4"/>
              <w:spacing w:after="0"/>
              <w:rPr>
                <w:sz w:val="20"/>
                <w:szCs w:val="20"/>
                <w:color w:val="auto"/>
              </w:rPr>
            </w:pPr>
            <w:r>
              <w:rPr>
                <w:rFonts w:ascii="Times New Roman" w:cs="Times New Roman" w:eastAsia="Times New Roman" w:hAnsi="Times New Roman"/>
                <w:sz w:val="18"/>
                <w:szCs w:val="18"/>
                <w:color w:val="auto"/>
              </w:rPr>
              <w:t>(31,706)</w:t>
            </w:r>
          </w:p>
        </w:tc>
        <w:tc>
          <w:tcPr>
            <w:tcW w:w="172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(9,956)</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(41,662)</w:t>
            </w:r>
          </w:p>
        </w:tc>
        <w:tc>
          <w:tcPr>
            <w:tcW w:w="0" w:type="dxa"/>
            <w:vAlign w:val="bottom"/>
          </w:tcPr>
          <w:p>
            <w:pPr>
              <w:spacing w:after="0"/>
              <w:rPr>
                <w:sz w:val="1"/>
                <w:szCs w:val="1"/>
                <w:color w:val="auto"/>
              </w:rPr>
            </w:pPr>
          </w:p>
        </w:tc>
      </w:tr>
      <w:tr>
        <w:trPr>
          <w:trHeight w:val="225"/>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production (lifting) costs</w:t>
            </w:r>
          </w:p>
        </w:tc>
        <w:tc>
          <w:tcPr>
            <w:tcW w:w="2600" w:type="dxa"/>
            <w:vAlign w:val="bottom"/>
            <w:gridSpan w:val="3"/>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Development costs incurred during the year</w:t>
            </w:r>
          </w:p>
        </w:tc>
        <w:tc>
          <w:tcPr>
            <w:tcW w:w="260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auto"/>
              </w:rPr>
              <w:t>11,500</w:t>
            </w:r>
          </w:p>
        </w:tc>
        <w:tc>
          <w:tcPr>
            <w:tcW w:w="1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2,762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14,262</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prices, lifting and development costs</w:t>
            </w:r>
          </w:p>
        </w:tc>
        <w:tc>
          <w:tcPr>
            <w:tcW w:w="260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auto"/>
              </w:rPr>
              <w:t>56,798</w:t>
            </w:r>
          </w:p>
        </w:tc>
        <w:tc>
          <w:tcPr>
            <w:tcW w:w="1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23,582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80,380</w:t>
            </w: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Revisions of previous reserves estimates</w:t>
            </w:r>
          </w:p>
        </w:tc>
        <w:tc>
          <w:tcPr>
            <w:tcW w:w="260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auto"/>
              </w:rPr>
              <w:t>14,515</w:t>
            </w:r>
          </w:p>
        </w:tc>
        <w:tc>
          <w:tcPr>
            <w:tcW w:w="17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(2,091)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 of discount</w:t>
            </w:r>
          </w:p>
        </w:tc>
        <w:tc>
          <w:tcPr>
            <w:tcW w:w="260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auto"/>
              </w:rPr>
              <w:t>8,793</w:t>
            </w:r>
          </w:p>
        </w:tc>
        <w:tc>
          <w:tcPr>
            <w:tcW w:w="1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3,043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0" w:type="dxa"/>
            <w:vAlign w:val="bottom"/>
          </w:tcPr>
          <w:p>
            <w:pPr>
              <w:spacing w:after="0"/>
              <w:rPr>
                <w:sz w:val="1"/>
                <w:szCs w:val="1"/>
                <w:color w:val="auto"/>
              </w:rPr>
            </w:pP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income taxes</w:t>
            </w:r>
          </w:p>
        </w:tc>
        <w:tc>
          <w:tcPr>
            <w:tcW w:w="260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(28,469)</w:t>
            </w:r>
          </w:p>
        </w:tc>
        <w:tc>
          <w:tcPr>
            <w:tcW w:w="17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(4,637)</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(33,106)</w:t>
            </w:r>
          </w:p>
        </w:tc>
        <w:tc>
          <w:tcPr>
            <w:tcW w:w="0" w:type="dxa"/>
            <w:vAlign w:val="bottom"/>
          </w:tcPr>
          <w:p>
            <w:pPr>
              <w:spacing w:after="0"/>
              <w:rPr>
                <w:sz w:val="1"/>
                <w:szCs w:val="1"/>
                <w:color w:val="auto"/>
              </w:rPr>
            </w:pPr>
          </w:p>
        </w:tc>
      </w:tr>
      <w:tr>
        <w:trPr>
          <w:trHeight w:val="228"/>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change in the standardized measure during the year</w:t>
            </w:r>
          </w:p>
        </w:tc>
        <w:tc>
          <w:tcPr>
            <w:tcW w:w="940" w:type="dxa"/>
            <w:vAlign w:val="bottom"/>
          </w:tcPr>
          <w:p>
            <w:pPr>
              <w:spacing w:after="0"/>
              <w:rPr>
                <w:sz w:val="19"/>
                <w:szCs w:val="19"/>
                <w:color w:val="auto"/>
              </w:rPr>
            </w:pPr>
          </w:p>
        </w:tc>
        <w:tc>
          <w:tcPr>
            <w:tcW w:w="1660" w:type="dxa"/>
            <w:vAlign w:val="bottom"/>
            <w:tcBorders>
              <w:top w:val="single" w:sz="8" w:color="auto"/>
            </w:tcBorders>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40,903</w:t>
            </w:r>
          </w:p>
        </w:tc>
        <w:tc>
          <w:tcPr>
            <w:tcW w:w="172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12,569</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53,472</w:t>
            </w:r>
          </w:p>
        </w:tc>
        <w:tc>
          <w:tcPr>
            <w:tcW w:w="0" w:type="dxa"/>
            <w:vAlign w:val="bottom"/>
          </w:tcPr>
          <w:p>
            <w:pPr>
              <w:spacing w:after="0"/>
              <w:rPr>
                <w:sz w:val="1"/>
                <w:szCs w:val="1"/>
                <w:color w:val="auto"/>
              </w:rPr>
            </w:pPr>
          </w:p>
        </w:tc>
      </w:tr>
      <w:tr>
        <w:trPr>
          <w:trHeight w:val="495"/>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Discounted future net cash flows as of December 31, 2018</w:t>
            </w:r>
          </w:p>
        </w:tc>
        <w:tc>
          <w:tcPr>
            <w:tcW w:w="260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auto"/>
              </w:rPr>
              <w:t>106,104</w:t>
            </w:r>
          </w:p>
        </w:tc>
        <w:tc>
          <w:tcPr>
            <w:tcW w:w="1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37,572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143,676</w:t>
            </w:r>
          </w:p>
        </w:tc>
        <w:tc>
          <w:tcPr>
            <w:tcW w:w="0" w:type="dxa"/>
            <w:vAlign w:val="bottom"/>
          </w:tcPr>
          <w:p>
            <w:pPr>
              <w:spacing w:after="0"/>
              <w:rPr>
                <w:sz w:val="1"/>
                <w:szCs w:val="1"/>
                <w:color w:val="auto"/>
              </w:rPr>
            </w:pPr>
          </w:p>
        </w:tc>
      </w:tr>
      <w:tr>
        <w:trPr>
          <w:trHeight w:val="695"/>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and Equity Interests</w:t>
            </w:r>
          </w:p>
        </w:tc>
        <w:tc>
          <w:tcPr>
            <w:tcW w:w="94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tcPr>
          <w:p>
            <w:pPr>
              <w:jc w:val="center"/>
              <w:ind w:right="4"/>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7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Share of Equity Method</w:t>
            </w:r>
          </w:p>
        </w:tc>
        <w:tc>
          <w:tcPr>
            <w:tcW w:w="16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Total Consolidated and</w:t>
            </w:r>
          </w:p>
        </w:tc>
        <w:tc>
          <w:tcPr>
            <w:tcW w:w="0" w:type="dxa"/>
            <w:vAlign w:val="bottom"/>
          </w:tcPr>
          <w:p>
            <w:pPr>
              <w:spacing w:after="0"/>
              <w:rPr>
                <w:sz w:val="1"/>
                <w:szCs w:val="1"/>
                <w:color w:val="auto"/>
              </w:rPr>
            </w:pPr>
          </w:p>
        </w:tc>
      </w:tr>
      <w:tr>
        <w:trPr>
          <w:trHeight w:val="189"/>
        </w:trPr>
        <w:tc>
          <w:tcPr>
            <w:tcW w:w="5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Investees</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Interests</w:t>
            </w:r>
          </w:p>
        </w:tc>
        <w:tc>
          <w:tcPr>
            <w:tcW w:w="0" w:type="dxa"/>
            <w:vAlign w:val="bottom"/>
          </w:tcPr>
          <w:p>
            <w:pPr>
              <w:spacing w:after="0"/>
              <w:rPr>
                <w:sz w:val="1"/>
                <w:szCs w:val="1"/>
                <w:color w:val="auto"/>
              </w:rPr>
            </w:pPr>
          </w:p>
        </w:tc>
      </w:tr>
      <w:tr>
        <w:trPr>
          <w:trHeight w:val="186"/>
        </w:trPr>
        <w:tc>
          <w:tcPr>
            <w:tcW w:w="5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Discounted future net cash flows as of December 31, 2018</w:t>
            </w:r>
          </w:p>
        </w:tc>
        <w:tc>
          <w:tcPr>
            <w:tcW w:w="260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auto"/>
              </w:rPr>
              <w:t>106,104</w:t>
            </w:r>
          </w:p>
        </w:tc>
        <w:tc>
          <w:tcPr>
            <w:tcW w:w="1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37,572</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143,676</w:t>
            </w:r>
          </w:p>
        </w:tc>
        <w:tc>
          <w:tcPr>
            <w:tcW w:w="0" w:type="dxa"/>
            <w:vAlign w:val="bottom"/>
          </w:tcPr>
          <w:p>
            <w:pPr>
              <w:spacing w:after="0"/>
              <w:rPr>
                <w:sz w:val="1"/>
                <w:szCs w:val="1"/>
                <w:color w:val="auto"/>
              </w:rPr>
            </w:pPr>
          </w:p>
        </w:tc>
      </w:tr>
      <w:tr>
        <w:trPr>
          <w:trHeight w:val="432"/>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of reserves added during the year due to extensions, discoveries,</w:t>
            </w:r>
          </w:p>
        </w:tc>
        <w:tc>
          <w:tcPr>
            <w:tcW w:w="2600" w:type="dxa"/>
            <w:vAlign w:val="bottom"/>
            <w:gridSpan w:val="3"/>
            <w:vMerge w:val="restart"/>
          </w:tcPr>
          <w:p>
            <w:pPr>
              <w:jc w:val="right"/>
              <w:ind w:right="4"/>
              <w:spacing w:after="0"/>
              <w:rPr>
                <w:sz w:val="20"/>
                <w:szCs w:val="20"/>
                <w:color w:val="auto"/>
              </w:rPr>
            </w:pPr>
            <w:r>
              <w:rPr>
                <w:rFonts w:ascii="Times New Roman" w:cs="Times New Roman" w:eastAsia="Times New Roman" w:hAnsi="Times New Roman"/>
                <w:sz w:val="18"/>
                <w:szCs w:val="18"/>
                <w:color w:val="auto"/>
              </w:rPr>
              <w:t>(1,252)</w:t>
            </w:r>
          </w:p>
        </w:tc>
        <w:tc>
          <w:tcPr>
            <w:tcW w:w="1720" w:type="dxa"/>
            <w:vAlign w:val="bottom"/>
            <w:vMerge w:val="restart"/>
          </w:tcPr>
          <w:p>
            <w:pPr>
              <w:jc w:val="right"/>
              <w:ind w:right="75"/>
              <w:spacing w:after="0"/>
              <w:rPr>
                <w:sz w:val="20"/>
                <w:szCs w:val="20"/>
                <w:color w:val="auto"/>
              </w:rPr>
            </w:pPr>
            <w:r>
              <w:rPr>
                <w:rFonts w:ascii="Times New Roman" w:cs="Times New Roman" w:eastAsia="Times New Roman" w:hAnsi="Times New Roman"/>
                <w:sz w:val="18"/>
                <w:szCs w:val="18"/>
                <w:color w:val="auto"/>
              </w:rPr>
              <w:t>4</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135"/>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improved recovery and net purchases/sales less related costs</w:t>
            </w:r>
          </w:p>
        </w:tc>
        <w:tc>
          <w:tcPr>
            <w:tcW w:w="2600" w:type="dxa"/>
            <w:vAlign w:val="bottom"/>
            <w:gridSpan w:val="3"/>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53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value of previous-year reserves due to:</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30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Sales and transfers of oil and gas produced during the year, net of</w:t>
            </w:r>
          </w:p>
        </w:tc>
        <w:tc>
          <w:tcPr>
            <w:tcW w:w="2600" w:type="dxa"/>
            <w:vAlign w:val="bottom"/>
            <w:gridSpan w:val="3"/>
            <w:vMerge w:val="restart"/>
          </w:tcPr>
          <w:p>
            <w:pPr>
              <w:jc w:val="right"/>
              <w:ind w:right="4"/>
              <w:spacing w:after="0"/>
              <w:rPr>
                <w:sz w:val="20"/>
                <w:szCs w:val="20"/>
                <w:color w:val="auto"/>
              </w:rPr>
            </w:pPr>
            <w:r>
              <w:rPr>
                <w:rFonts w:ascii="Times New Roman" w:cs="Times New Roman" w:eastAsia="Times New Roman" w:hAnsi="Times New Roman"/>
                <w:sz w:val="18"/>
                <w:szCs w:val="18"/>
                <w:color w:val="auto"/>
              </w:rPr>
              <w:t>(29,159)</w:t>
            </w:r>
          </w:p>
        </w:tc>
        <w:tc>
          <w:tcPr>
            <w:tcW w:w="172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(8,202)</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(37,361)</w:t>
            </w:r>
          </w:p>
        </w:tc>
        <w:tc>
          <w:tcPr>
            <w:tcW w:w="0" w:type="dxa"/>
            <w:vAlign w:val="bottom"/>
          </w:tcPr>
          <w:p>
            <w:pPr>
              <w:spacing w:after="0"/>
              <w:rPr>
                <w:sz w:val="1"/>
                <w:szCs w:val="1"/>
                <w:color w:val="auto"/>
              </w:rPr>
            </w:pPr>
          </w:p>
        </w:tc>
      </w:tr>
      <w:tr>
        <w:trPr>
          <w:trHeight w:val="225"/>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production (lifting) costs</w:t>
            </w:r>
          </w:p>
        </w:tc>
        <w:tc>
          <w:tcPr>
            <w:tcW w:w="2600" w:type="dxa"/>
            <w:vAlign w:val="bottom"/>
            <w:gridSpan w:val="3"/>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Development costs incurred during the year</w:t>
            </w:r>
          </w:p>
        </w:tc>
        <w:tc>
          <w:tcPr>
            <w:tcW w:w="260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auto"/>
              </w:rPr>
              <w:t>16,544</w:t>
            </w:r>
          </w:p>
        </w:tc>
        <w:tc>
          <w:tcPr>
            <w:tcW w:w="1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2,927</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19,471</w:t>
            </w: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prices, lifting and development costs</w:t>
            </w:r>
          </w:p>
        </w:tc>
        <w:tc>
          <w:tcPr>
            <w:tcW w:w="260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(66,455)</w:t>
            </w:r>
          </w:p>
        </w:tc>
        <w:tc>
          <w:tcPr>
            <w:tcW w:w="17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(21,046)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(87,501)</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Revisions of previous reserves estimates</w:t>
            </w:r>
          </w:p>
        </w:tc>
        <w:tc>
          <w:tcPr>
            <w:tcW w:w="260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auto"/>
              </w:rPr>
              <w:t>4,906</w:t>
            </w:r>
          </w:p>
        </w:tc>
        <w:tc>
          <w:tcPr>
            <w:tcW w:w="1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657</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 of discount</w:t>
            </w:r>
          </w:p>
        </w:tc>
        <w:tc>
          <w:tcPr>
            <w:tcW w:w="260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auto"/>
              </w:rPr>
              <w:t>11,433</w:t>
            </w:r>
          </w:p>
        </w:tc>
        <w:tc>
          <w:tcPr>
            <w:tcW w:w="1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3,956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15,389</w:t>
            </w:r>
          </w:p>
        </w:tc>
        <w:tc>
          <w:tcPr>
            <w:tcW w:w="0" w:type="dxa"/>
            <w:vAlign w:val="bottom"/>
          </w:tcPr>
          <w:p>
            <w:pPr>
              <w:spacing w:after="0"/>
              <w:rPr>
                <w:sz w:val="1"/>
                <w:szCs w:val="1"/>
                <w:color w:val="auto"/>
              </w:rPr>
            </w:pP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income taxes</w:t>
            </w:r>
          </w:p>
        </w:tc>
        <w:tc>
          <w:tcPr>
            <w:tcW w:w="260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auto"/>
              </w:rPr>
              <w:t>25,379</w:t>
            </w:r>
          </w:p>
        </w:tc>
        <w:tc>
          <w:tcPr>
            <w:tcW w:w="1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6,548</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31,927</w:t>
            </w:r>
          </w:p>
        </w:tc>
        <w:tc>
          <w:tcPr>
            <w:tcW w:w="0" w:type="dxa"/>
            <w:vAlign w:val="bottom"/>
          </w:tcPr>
          <w:p>
            <w:pPr>
              <w:spacing w:after="0"/>
              <w:rPr>
                <w:sz w:val="1"/>
                <w:szCs w:val="1"/>
                <w:color w:val="auto"/>
              </w:rPr>
            </w:pPr>
          </w:p>
        </w:tc>
      </w:tr>
      <w:tr>
        <w:trPr>
          <w:trHeight w:val="228"/>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change in the standardized measure during the year</w:t>
            </w:r>
          </w:p>
        </w:tc>
        <w:tc>
          <w:tcPr>
            <w:tcW w:w="960" w:type="dxa"/>
            <w:vAlign w:val="bottom"/>
            <w:gridSpan w:val="2"/>
          </w:tcPr>
          <w:p>
            <w:pPr>
              <w:spacing w:after="0"/>
              <w:rPr>
                <w:sz w:val="19"/>
                <w:szCs w:val="19"/>
                <w:color w:val="auto"/>
              </w:rPr>
            </w:pPr>
          </w:p>
        </w:tc>
        <w:tc>
          <w:tcPr>
            <w:tcW w:w="16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(38,604)</w:t>
            </w:r>
          </w:p>
        </w:tc>
        <w:tc>
          <w:tcPr>
            <w:tcW w:w="172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(15,156)</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(53,760)</w:t>
            </w:r>
          </w:p>
        </w:tc>
        <w:tc>
          <w:tcPr>
            <w:tcW w:w="0" w:type="dxa"/>
            <w:vAlign w:val="bottom"/>
          </w:tcPr>
          <w:p>
            <w:pPr>
              <w:spacing w:after="0"/>
              <w:rPr>
                <w:sz w:val="1"/>
                <w:szCs w:val="1"/>
                <w:color w:val="auto"/>
              </w:rPr>
            </w:pPr>
          </w:p>
        </w:tc>
      </w:tr>
      <w:tr>
        <w:trPr>
          <w:trHeight w:val="495"/>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Discounted future net cash flows as of December 31, 2019</w:t>
            </w:r>
          </w:p>
        </w:tc>
        <w:tc>
          <w:tcPr>
            <w:tcW w:w="2600" w:type="dxa"/>
            <w:vAlign w:val="bottom"/>
            <w:gridSpan w:val="3"/>
          </w:tcPr>
          <w:p>
            <w:pPr>
              <w:jc w:val="right"/>
              <w:ind w:right="64"/>
              <w:spacing w:after="0"/>
              <w:rPr>
                <w:sz w:val="20"/>
                <w:szCs w:val="20"/>
                <w:color w:val="auto"/>
              </w:rPr>
            </w:pPr>
            <w:r>
              <w:rPr>
                <w:rFonts w:ascii="Times New Roman" w:cs="Times New Roman" w:eastAsia="Times New Roman" w:hAnsi="Times New Roman"/>
                <w:sz w:val="18"/>
                <w:szCs w:val="18"/>
                <w:color w:val="auto"/>
              </w:rPr>
              <w:t>67,500</w:t>
            </w:r>
          </w:p>
        </w:tc>
        <w:tc>
          <w:tcPr>
            <w:tcW w:w="1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22,416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89,916</w:t>
            </w:r>
          </w:p>
        </w:tc>
        <w:tc>
          <w:tcPr>
            <w:tcW w:w="0" w:type="dxa"/>
            <w:vAlign w:val="bottom"/>
          </w:tcPr>
          <w:p>
            <w:pPr>
              <w:spacing w:after="0"/>
              <w:rPr>
                <w:sz w:val="1"/>
                <w:szCs w:val="1"/>
                <w:color w:val="auto"/>
              </w:rPr>
            </w:pPr>
          </w:p>
        </w:tc>
      </w:tr>
      <w:tr>
        <w:trPr>
          <w:trHeight w:val="750"/>
        </w:trPr>
        <w:tc>
          <w:tcPr>
            <w:tcW w:w="5300" w:type="dxa"/>
            <w:vAlign w:val="bottom"/>
          </w:tcPr>
          <w:p>
            <w:pPr>
              <w:spacing w:after="0"/>
              <w:rPr>
                <w:sz w:val="24"/>
                <w:szCs w:val="24"/>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3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Change in Standardized Measure of Discounted Future Net Cash Flows Relating to Proved Oil and Gas Reserves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and Equity Interests (continued)</w:t>
            </w:r>
          </w:p>
        </w:tc>
        <w:tc>
          <w:tcPr>
            <w:tcW w:w="9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5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60" w:type="dxa"/>
            <w:vAlign w:val="bottom"/>
          </w:tcPr>
          <w:p>
            <w:pPr>
              <w:jc w:val="right"/>
              <w:ind w:right="382"/>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7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Share of Equity Method</w:t>
            </w:r>
          </w:p>
        </w:tc>
        <w:tc>
          <w:tcPr>
            <w:tcW w:w="16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Total Consolidated and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6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Investees</w:t>
            </w:r>
          </w:p>
        </w:tc>
        <w:tc>
          <w:tcPr>
            <w:tcW w:w="16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Equity Interests</w:t>
            </w:r>
          </w:p>
        </w:tc>
        <w:tc>
          <w:tcPr>
            <w:tcW w:w="0" w:type="dxa"/>
            <w:vAlign w:val="bottom"/>
          </w:tcPr>
          <w:p>
            <w:pPr>
              <w:spacing w:after="0"/>
              <w:rPr>
                <w:sz w:val="1"/>
                <w:szCs w:val="1"/>
                <w:color w:val="auto"/>
              </w:rPr>
            </w:pPr>
          </w:p>
        </w:tc>
      </w:tr>
      <w:tr>
        <w:trPr>
          <w:trHeight w:val="186"/>
        </w:trPr>
        <w:tc>
          <w:tcPr>
            <w:tcW w:w="5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6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Discounted future net cash flows as of December 31, 2019</w:t>
            </w:r>
          </w:p>
        </w:tc>
        <w:tc>
          <w:tcPr>
            <w:tcW w:w="25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67,500</w:t>
            </w:r>
          </w:p>
        </w:tc>
        <w:tc>
          <w:tcPr>
            <w:tcW w:w="1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22,416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of reserves added during the year due to extensions, discoveries,</w:t>
            </w:r>
          </w:p>
        </w:tc>
        <w:tc>
          <w:tcPr>
            <w:tcW w:w="258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8"/>
                <w:szCs w:val="18"/>
                <w:color w:val="auto"/>
              </w:rPr>
              <w:t>169</w:t>
            </w:r>
          </w:p>
        </w:tc>
        <w:tc>
          <w:tcPr>
            <w:tcW w:w="1720" w:type="dxa"/>
            <w:vAlign w:val="bottom"/>
            <w:vMerge w:val="restart"/>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improved recovery and net purchases/sales less related costs</w:t>
            </w:r>
          </w:p>
        </w:tc>
        <w:tc>
          <w:tcPr>
            <w:tcW w:w="2580" w:type="dxa"/>
            <w:vAlign w:val="bottom"/>
            <w:gridSpan w:val="2"/>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530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value of previous-year reserves due to:</w:t>
            </w:r>
          </w:p>
        </w:tc>
        <w:tc>
          <w:tcPr>
            <w:tcW w:w="9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30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Sales and transfers of oil and gas produced during the year, net of</w:t>
            </w:r>
          </w:p>
        </w:tc>
        <w:tc>
          <w:tcPr>
            <w:tcW w:w="258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8"/>
                <w:szCs w:val="18"/>
                <w:color w:val="auto"/>
              </w:rPr>
              <w:t>(15,048)</w:t>
            </w:r>
          </w:p>
        </w:tc>
        <w:tc>
          <w:tcPr>
            <w:tcW w:w="1720" w:type="dxa"/>
            <w:vAlign w:val="bottom"/>
            <w:vMerge w:val="restart"/>
          </w:tcPr>
          <w:p>
            <w:pPr>
              <w:jc w:val="right"/>
              <w:ind w:right="35"/>
              <w:spacing w:after="0"/>
              <w:rPr>
                <w:sz w:val="20"/>
                <w:szCs w:val="20"/>
                <w:color w:val="auto"/>
              </w:rPr>
            </w:pPr>
            <w:r>
              <w:rPr>
                <w:rFonts w:ascii="Times New Roman" w:cs="Times New Roman" w:eastAsia="Times New Roman" w:hAnsi="Times New Roman"/>
                <w:sz w:val="18"/>
                <w:szCs w:val="18"/>
                <w:color w:val="auto"/>
              </w:rPr>
              <w:t>(3,818)</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production (lifting) costs</w:t>
            </w:r>
          </w:p>
        </w:tc>
        <w:tc>
          <w:tcPr>
            <w:tcW w:w="2580" w:type="dxa"/>
            <w:vAlign w:val="bottom"/>
            <w:gridSpan w:val="2"/>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Development costs incurred during the year</w:t>
            </w:r>
          </w:p>
        </w:tc>
        <w:tc>
          <w:tcPr>
            <w:tcW w:w="25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9,969</w:t>
            </w:r>
          </w:p>
        </w:tc>
        <w:tc>
          <w:tcPr>
            <w:tcW w:w="1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1,760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prices, lifting and development costs</w:t>
            </w:r>
          </w:p>
        </w:tc>
        <w:tc>
          <w:tcPr>
            <w:tcW w:w="25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(80,444)</w:t>
            </w:r>
          </w:p>
        </w:tc>
        <w:tc>
          <w:tcPr>
            <w:tcW w:w="17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(21,739)</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Revisions of previous reserves estimates</w:t>
            </w:r>
          </w:p>
        </w:tc>
        <w:tc>
          <w:tcPr>
            <w:tcW w:w="25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2,614</w:t>
            </w:r>
          </w:p>
        </w:tc>
        <w:tc>
          <w:tcPr>
            <w:tcW w:w="1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680</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 of discount</w:t>
            </w:r>
          </w:p>
        </w:tc>
        <w:tc>
          <w:tcPr>
            <w:tcW w:w="25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10,786</w:t>
            </w:r>
          </w:p>
        </w:tc>
        <w:tc>
          <w:tcPr>
            <w:tcW w:w="1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3,011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income taxes</w:t>
            </w:r>
          </w:p>
        </w:tc>
        <w:tc>
          <w:tcPr>
            <w:tcW w:w="25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31,008</w:t>
            </w:r>
          </w:p>
        </w:tc>
        <w:tc>
          <w:tcPr>
            <w:tcW w:w="1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6,131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change in the standardized measure during the year</w:t>
            </w:r>
          </w:p>
        </w:tc>
        <w:tc>
          <w:tcPr>
            <w:tcW w:w="920" w:type="dxa"/>
            <w:vAlign w:val="bottom"/>
          </w:tcPr>
          <w:p>
            <w:pPr>
              <w:spacing w:after="0"/>
              <w:rPr>
                <w:sz w:val="19"/>
                <w:szCs w:val="19"/>
                <w:color w:val="auto"/>
              </w:rPr>
            </w:pPr>
          </w:p>
        </w:tc>
        <w:tc>
          <w:tcPr>
            <w:tcW w:w="166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rPr>
              <w:t>(40,946)</w:t>
            </w:r>
          </w:p>
        </w:tc>
        <w:tc>
          <w:tcPr>
            <w:tcW w:w="17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(13,975)</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5"/>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Discounted future net cash flows as of December 31, 2020</w:t>
            </w:r>
          </w:p>
        </w:tc>
        <w:tc>
          <w:tcPr>
            <w:tcW w:w="258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26,554</w:t>
            </w:r>
          </w:p>
        </w:tc>
        <w:tc>
          <w:tcPr>
            <w:tcW w:w="1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8,441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5300" w:type="dxa"/>
            <w:vAlign w:val="bottom"/>
          </w:tcPr>
          <w:p>
            <w:pPr>
              <w:spacing w:after="0"/>
              <w:rPr>
                <w:sz w:val="24"/>
                <w:szCs w:val="24"/>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122</w:t>
            </w:r>
          </w:p>
        </w:tc>
        <w:tc>
          <w:tcPr>
            <w:tcW w:w="166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3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OPERATING INFORMATION (unaudited)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00" w:type="dxa"/>
            <w:vAlign w:val="bottom"/>
          </w:tcPr>
          <w:p>
            <w:pPr>
              <w:jc w:val="center"/>
              <w:ind w:right="4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37"/>
        </w:trPr>
        <w:tc>
          <w:tcPr>
            <w:tcW w:w="80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18"/>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of crude oil, natural gas liquids, bitumen and synthetic oil</w:t>
            </w:r>
          </w:p>
        </w:tc>
        <w:tc>
          <w:tcPr>
            <w:tcW w:w="1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production</w:t>
            </w:r>
          </w:p>
        </w:tc>
        <w:tc>
          <w:tcPr>
            <w:tcW w:w="2520" w:type="dxa"/>
            <w:vAlign w:val="bottom"/>
            <w:gridSpan w:val="2"/>
          </w:tcPr>
          <w:p>
            <w:pPr>
              <w:jc w:val="center"/>
              <w:ind w:left="633"/>
              <w:spacing w:after="0"/>
              <w:rPr>
                <w:sz w:val="20"/>
                <w:szCs w:val="20"/>
                <w:color w:val="auto"/>
              </w:rPr>
            </w:pPr>
            <w:r>
              <w:rPr>
                <w:rFonts w:ascii="Times New Roman" w:cs="Times New Roman" w:eastAsia="Times New Roman" w:hAnsi="Times New Roman"/>
                <w:sz w:val="14"/>
                <w:szCs w:val="14"/>
                <w:i w:val="1"/>
                <w:iCs w:val="1"/>
                <w:color w:val="auto"/>
              </w:rPr>
              <w:t>(thousands of barrels daily)</w:t>
            </w:r>
          </w:p>
        </w:tc>
        <w:tc>
          <w:tcPr>
            <w:tcW w:w="720" w:type="dxa"/>
            <w:vAlign w:val="bottom"/>
          </w:tcPr>
          <w:p>
            <w:pPr>
              <w:spacing w:after="0"/>
              <w:rPr>
                <w:sz w:val="19"/>
                <w:szCs w:val="19"/>
                <w:color w:val="auto"/>
              </w:rPr>
            </w:pPr>
          </w:p>
        </w:tc>
      </w:tr>
      <w:tr>
        <w:trPr>
          <w:trHeight w:val="229"/>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United States</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685</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646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9"/>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Canada/Other Americas</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536</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467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30"/>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Europe</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30</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108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Africa</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312</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372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30"/>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Asia</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742</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748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34"/>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Australia/Oceania</w:t>
            </w: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44</w:t>
            </w: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45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Worldwide</w:t>
            </w: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2,349</w:t>
            </w: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2,386</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2,266</w:t>
            </w:r>
          </w:p>
        </w:tc>
      </w:tr>
      <w:tr>
        <w:trPr>
          <w:trHeight w:val="367"/>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 production available for sale</w:t>
            </w:r>
          </w:p>
        </w:tc>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production</w:t>
            </w:r>
          </w:p>
        </w:tc>
        <w:tc>
          <w:tcPr>
            <w:tcW w:w="2520" w:type="dxa"/>
            <w:vAlign w:val="bottom"/>
            <w:gridSpan w:val="2"/>
          </w:tcPr>
          <w:p>
            <w:pPr>
              <w:jc w:val="center"/>
              <w:ind w:left="633"/>
              <w:spacing w:after="0"/>
              <w:rPr>
                <w:sz w:val="20"/>
                <w:szCs w:val="20"/>
                <w:color w:val="auto"/>
              </w:rPr>
            </w:pPr>
            <w:r>
              <w:rPr>
                <w:rFonts w:ascii="Times New Roman" w:cs="Times New Roman" w:eastAsia="Times New Roman" w:hAnsi="Times New Roman"/>
                <w:sz w:val="14"/>
                <w:szCs w:val="14"/>
                <w:i w:val="1"/>
                <w:iCs w:val="1"/>
                <w:color w:val="auto"/>
              </w:rPr>
              <w:t>(millions of cubic feet daily)</w:t>
            </w:r>
          </w:p>
        </w:tc>
        <w:tc>
          <w:tcPr>
            <w:tcW w:w="720" w:type="dxa"/>
            <w:vAlign w:val="bottom"/>
          </w:tcPr>
          <w:p>
            <w:pPr>
              <w:spacing w:after="0"/>
              <w:rPr>
                <w:sz w:val="19"/>
                <w:szCs w:val="19"/>
                <w:color w:val="auto"/>
              </w:rPr>
            </w:pPr>
          </w:p>
        </w:tc>
      </w:tr>
      <w:tr>
        <w:trPr>
          <w:trHeight w:val="229"/>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United States</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2,691</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2,778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r>
      <w:tr>
        <w:trPr>
          <w:trHeight w:val="229"/>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Canada/Other Americas</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277</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258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30"/>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Europe</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789</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1,457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r>
      <w:tr>
        <w:trPr>
          <w:trHeight w:val="229"/>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Africa</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9</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Asia</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3,486</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3,575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w:t>
            </w:r>
          </w:p>
        </w:tc>
      </w:tr>
      <w:tr>
        <w:trPr>
          <w:trHeight w:val="234"/>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Australia/Oceania</w:t>
            </w: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1,219</w:t>
            </w: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1,319</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23"/>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Worldwide</w:t>
            </w: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8,471</w:t>
            </w: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9,394</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9,405</w:t>
            </w:r>
          </w:p>
        </w:tc>
      </w:tr>
      <w:tr>
        <w:trPr>
          <w:trHeight w:val="335"/>
        </w:trPr>
        <w:tc>
          <w:tcPr>
            <w:tcW w:w="8000" w:type="dxa"/>
            <w:vAlign w:val="bottom"/>
          </w:tcPr>
          <w:p>
            <w:pPr>
              <w:spacing w:after="0"/>
              <w:rPr>
                <w:sz w:val="24"/>
                <w:szCs w:val="24"/>
                <w:color w:val="auto"/>
              </w:rPr>
            </w:pPr>
          </w:p>
        </w:tc>
        <w:tc>
          <w:tcPr>
            <w:tcW w:w="324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(thousands of oil-equivalent barrels daily)</w:t>
            </w:r>
          </w:p>
        </w:tc>
      </w:tr>
      <w:tr>
        <w:trPr>
          <w:trHeight w:val="266"/>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Oil-equivalent production </w:t>
            </w:r>
            <w:r>
              <w:rPr>
                <w:rFonts w:ascii="Times New Roman" w:cs="Times New Roman" w:eastAsia="Times New Roman" w:hAnsi="Times New Roman"/>
                <w:sz w:val="14"/>
                <w:szCs w:val="14"/>
                <w:i w:val="1"/>
                <w:iCs w:val="1"/>
                <w:color w:val="auto"/>
              </w:rPr>
              <w:t>(1)</w:t>
            </w: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3,761</w:t>
            </w: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3,952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3,833</w:t>
            </w:r>
          </w:p>
        </w:tc>
      </w:tr>
      <w:tr>
        <w:trPr>
          <w:trHeight w:val="421"/>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Refinery throughput</w:t>
            </w:r>
          </w:p>
        </w:tc>
        <w:tc>
          <w:tcPr>
            <w:tcW w:w="2520" w:type="dxa"/>
            <w:vAlign w:val="bottom"/>
            <w:gridSpan w:val="2"/>
          </w:tcPr>
          <w:p>
            <w:pPr>
              <w:jc w:val="center"/>
              <w:ind w:left="633"/>
              <w:spacing w:after="0"/>
              <w:rPr>
                <w:sz w:val="20"/>
                <w:szCs w:val="20"/>
                <w:color w:val="auto"/>
              </w:rPr>
            </w:pPr>
            <w:r>
              <w:rPr>
                <w:rFonts w:ascii="Times New Roman" w:cs="Times New Roman" w:eastAsia="Times New Roman" w:hAnsi="Times New Roman"/>
                <w:sz w:val="14"/>
                <w:szCs w:val="14"/>
                <w:i w:val="1"/>
                <w:iCs w:val="1"/>
                <w:color w:val="auto"/>
              </w:rPr>
              <w:t>(thousands of barrels daily)</w:t>
            </w:r>
          </w:p>
        </w:tc>
        <w:tc>
          <w:tcPr>
            <w:tcW w:w="720" w:type="dxa"/>
            <w:vAlign w:val="bottom"/>
          </w:tcPr>
          <w:p>
            <w:pPr>
              <w:spacing w:after="0"/>
              <w:rPr>
                <w:sz w:val="24"/>
                <w:szCs w:val="24"/>
                <w:color w:val="auto"/>
              </w:rPr>
            </w:pPr>
          </w:p>
        </w:tc>
      </w:tr>
      <w:tr>
        <w:trPr>
          <w:trHeight w:val="230"/>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United States</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1,549</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1,532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r>
      <w:tr>
        <w:trPr>
          <w:trHeight w:val="230"/>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Canada</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340</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353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30"/>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Europe</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1,173</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1,317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229"/>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Asia Pacific</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553</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598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34"/>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Non-U.S.</w:t>
            </w: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158</w:t>
            </w: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181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3"/>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Worldwide</w:t>
            </w: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3,773</w:t>
            </w: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3,981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4,272</w:t>
            </w:r>
          </w:p>
        </w:tc>
      </w:tr>
      <w:tr>
        <w:trPr>
          <w:trHeight w:val="205"/>
        </w:trPr>
        <w:tc>
          <w:tcPr>
            <w:tcW w:w="80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 xml:space="preserve">Petroleum product sales </w:t>
            </w:r>
            <w:r>
              <w:rPr>
                <w:rFonts w:ascii="Times New Roman" w:cs="Times New Roman" w:eastAsia="Times New Roman" w:hAnsi="Times New Roman"/>
                <w:sz w:val="14"/>
                <w:szCs w:val="14"/>
                <w:i w:val="1"/>
                <w:iCs w:val="1"/>
                <w:color w:val="auto"/>
              </w:rPr>
              <w:t>(2)</w:t>
            </w:r>
          </w:p>
        </w:tc>
        <w:tc>
          <w:tcPr>
            <w:tcW w:w="1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United States</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2,154</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2,292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r>
      <w:tr>
        <w:trPr>
          <w:trHeight w:val="230"/>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Canada</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418</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476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9"/>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Europe</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1,253</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1,479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r>
      <w:tr>
        <w:trPr>
          <w:trHeight w:val="230"/>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Asia Pacific and other Eastern Hemisphere</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1,014</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1,156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34"/>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Latin America</w:t>
            </w: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56</w:t>
            </w: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49</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Worldwide</w:t>
            </w: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4,895</w:t>
            </w: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5,452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5,512</w:t>
            </w:r>
          </w:p>
        </w:tc>
      </w:tr>
      <w:tr>
        <w:trPr>
          <w:trHeight w:val="218"/>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Gasoline, naphthas</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1,994</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2,220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30"/>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Heating oils, kerosene, diesel oils</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1,751</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1,867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30"/>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Aviation fuels</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213</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406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29"/>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Heavy fuels</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249</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270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34"/>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Specialty petroleum products</w:t>
            </w: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688</w:t>
            </w: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689</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23"/>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Worldwide</w:t>
            </w: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4,895</w:t>
            </w: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5,452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5,512</w:t>
            </w:r>
          </w:p>
        </w:tc>
      </w:tr>
      <w:tr>
        <w:trPr>
          <w:trHeight w:val="421"/>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Chemical prime product sales </w:t>
            </w:r>
            <w:r>
              <w:rPr>
                <w:rFonts w:ascii="Times New Roman" w:cs="Times New Roman" w:eastAsia="Times New Roman" w:hAnsi="Times New Roman"/>
                <w:sz w:val="14"/>
                <w:szCs w:val="14"/>
                <w:i w:val="1"/>
                <w:iCs w:val="1"/>
                <w:color w:val="auto"/>
              </w:rPr>
              <w:t>(2)</w:t>
            </w:r>
          </w:p>
        </w:tc>
        <w:tc>
          <w:tcPr>
            <w:tcW w:w="2520" w:type="dxa"/>
            <w:vAlign w:val="bottom"/>
            <w:gridSpan w:val="2"/>
          </w:tcPr>
          <w:p>
            <w:pPr>
              <w:jc w:val="center"/>
              <w:ind w:left="633"/>
              <w:spacing w:after="0"/>
              <w:rPr>
                <w:sz w:val="20"/>
                <w:szCs w:val="20"/>
                <w:color w:val="auto"/>
              </w:rPr>
            </w:pPr>
            <w:r>
              <w:rPr>
                <w:rFonts w:ascii="Times New Roman" w:cs="Times New Roman" w:eastAsia="Times New Roman" w:hAnsi="Times New Roman"/>
                <w:sz w:val="14"/>
                <w:szCs w:val="14"/>
                <w:i w:val="1"/>
                <w:iCs w:val="1"/>
                <w:color w:val="auto"/>
              </w:rPr>
              <w:t>(thousands of metric tons)</w:t>
            </w:r>
          </w:p>
        </w:tc>
        <w:tc>
          <w:tcPr>
            <w:tcW w:w="720" w:type="dxa"/>
            <w:vAlign w:val="bottom"/>
          </w:tcPr>
          <w:p>
            <w:pPr>
              <w:spacing w:after="0"/>
              <w:rPr>
                <w:sz w:val="24"/>
                <w:szCs w:val="24"/>
                <w:color w:val="auto"/>
              </w:rPr>
            </w:pPr>
          </w:p>
        </w:tc>
      </w:tr>
      <w:tr>
        <w:trPr>
          <w:trHeight w:val="230"/>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United States</w:t>
            </w: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9,010</w:t>
            </w: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9,127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9,824</w:t>
            </w:r>
          </w:p>
        </w:tc>
      </w:tr>
      <w:tr>
        <w:trPr>
          <w:trHeight w:val="234"/>
        </w:trPr>
        <w:tc>
          <w:tcPr>
            <w:tcW w:w="80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Non-U.S.</w:t>
            </w: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16,439</w:t>
            </w: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17,389</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17,045</w:t>
            </w:r>
          </w:p>
        </w:tc>
      </w:tr>
      <w:tr>
        <w:trPr>
          <w:trHeight w:val="223"/>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Worldwide</w:t>
            </w:r>
          </w:p>
        </w:tc>
        <w:tc>
          <w:tcPr>
            <w:tcW w:w="12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25,449</w:t>
            </w:r>
          </w:p>
        </w:tc>
        <w:tc>
          <w:tcPr>
            <w:tcW w:w="13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26,516</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26,869</w:t>
            </w:r>
          </w:p>
        </w:tc>
      </w:tr>
    </w:tbl>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Operating statistics include 100 percent of operations of majority-owned subsidiaries; for other companies, crude production, gas, petroleum product and chemical prime product sales include ExxonMobil’s ownership percentage and refining throughput includes quantities processed for ExxonMobil. Net production excludes royalties and quantities due others when produced, whether payment is made in kind or cash.</w:t>
      </w:r>
    </w:p>
    <w:p>
      <w:pPr>
        <w:spacing w:after="0" w:line="11"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Natural gas is converted to an oil-equivalent basis at six million cubic feet per one thousand barrels.</w:t>
      </w:r>
    </w:p>
    <w:p>
      <w:pPr>
        <w:spacing w:after="0" w:line="63"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Petroleum product and chemical prime product sales data reported net of purchases/sales contracts with the same counterparty.</w:t>
      </w:r>
    </w:p>
    <w:p>
      <w:pPr>
        <w:sectPr>
          <w:pgSz w:w="11900" w:h="16838" w:orient="portrait"/>
          <w:cols w:equalWidth="0" w:num="1">
            <w:col w:w="11240"/>
          </w:cols>
          <w:pgMar w:left="320" w:top="806"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022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51"/>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8"/>
        </w:trPr>
        <w:tc>
          <w:tcPr>
            <w:tcW w:w="1020" w:type="dxa"/>
            <w:vAlign w:val="bottom"/>
          </w:tcPr>
          <w:p>
            <w:pPr>
              <w:ind w:left="20"/>
              <w:spacing w:after="0"/>
              <w:rPr>
                <w:rFonts w:ascii="Times New Roman" w:cs="Times New Roman" w:eastAsia="Times New Roman" w:hAnsi="Times New Roman"/>
                <w:sz w:val="18"/>
                <w:szCs w:val="18"/>
                <w:u w:val="single" w:color="auto"/>
                <w:color w:val="0000FF"/>
              </w:rPr>
            </w:pPr>
            <w:hyperlink r:id="rId174">
              <w:r>
                <w:rPr>
                  <w:rFonts w:ascii="Times New Roman" w:cs="Times New Roman" w:eastAsia="Times New Roman" w:hAnsi="Times New Roman"/>
                  <w:sz w:val="18"/>
                  <w:szCs w:val="18"/>
                  <w:u w:val="single" w:color="auto"/>
                  <w:color w:val="0000FF"/>
                </w:rPr>
                <w:t>3(i)</w:t>
              </w:r>
            </w:hyperlink>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Restated Certificate of Incorporation, as restated November 30, 1999, and as further amended effective June 20, 2001 (incorporated by</w:t>
            </w:r>
          </w:p>
        </w:tc>
      </w:tr>
      <w:tr>
        <w:trPr>
          <w:trHeight w:val="234"/>
        </w:trPr>
        <w:tc>
          <w:tcPr>
            <w:tcW w:w="10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reference to Exhibit 3(i) to the Registrant’s Annual Report on Form 10-K for 2015).</w:t>
            </w:r>
          </w:p>
        </w:tc>
      </w:tr>
      <w:tr>
        <w:trPr>
          <w:trHeight w:val="292"/>
        </w:trPr>
        <w:tc>
          <w:tcPr>
            <w:tcW w:w="1020" w:type="dxa"/>
            <w:vAlign w:val="bottom"/>
          </w:tcPr>
          <w:p>
            <w:pPr>
              <w:ind w:left="20"/>
              <w:spacing w:after="0"/>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3(ii)</w:t>
              </w:r>
            </w:hyperlink>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By-Laws, as revised effective March 1, 2020 (incorporated by reference to Exhibit 3(ii) to the Registrant’s Report on Form 8-K of March</w:t>
            </w:r>
          </w:p>
        </w:tc>
      </w:tr>
      <w:tr>
        <w:trPr>
          <w:trHeight w:val="234"/>
        </w:trPr>
        <w:tc>
          <w:tcPr>
            <w:tcW w:w="10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 2020).</w:t>
            </w:r>
          </w:p>
        </w:tc>
      </w:tr>
      <w:tr>
        <w:trPr>
          <w:trHeight w:val="292"/>
        </w:trPr>
        <w:tc>
          <w:tcPr>
            <w:tcW w:w="1020" w:type="dxa"/>
            <w:vAlign w:val="bottom"/>
          </w:tcPr>
          <w:p>
            <w:pPr>
              <w:ind w:left="20"/>
              <w:spacing w:after="0"/>
              <w:rPr>
                <w:rFonts w:ascii="Times New Roman" w:cs="Times New Roman" w:eastAsia="Times New Roman" w:hAnsi="Times New Roman"/>
                <w:sz w:val="18"/>
                <w:szCs w:val="18"/>
                <w:u w:val="single" w:color="auto"/>
                <w:color w:val="0000FF"/>
              </w:rPr>
            </w:pPr>
            <w:hyperlink r:id="rId176">
              <w:r>
                <w:rPr>
                  <w:rFonts w:ascii="Times New Roman" w:cs="Times New Roman" w:eastAsia="Times New Roman" w:hAnsi="Times New Roman"/>
                  <w:sz w:val="18"/>
                  <w:szCs w:val="18"/>
                  <w:u w:val="single" w:color="auto"/>
                  <w:color w:val="0000FF"/>
                </w:rPr>
                <w:t>4(vi)</w:t>
              </w:r>
            </w:hyperlink>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Description of ExxonMobil Capital Stock (incorporated by reference to Exhibit 4(vi) to the Registrant's Annual Report on Form 10-K for</w:t>
            </w:r>
          </w:p>
        </w:tc>
      </w:tr>
      <w:tr>
        <w:trPr>
          <w:trHeight w:val="234"/>
        </w:trPr>
        <w:tc>
          <w:tcPr>
            <w:tcW w:w="10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2019).</w:t>
            </w:r>
          </w:p>
        </w:tc>
      </w:tr>
      <w:tr>
        <w:trPr>
          <w:trHeight w:val="292"/>
        </w:trPr>
        <w:tc>
          <w:tcPr>
            <w:tcW w:w="1020" w:type="dxa"/>
            <w:vAlign w:val="bottom"/>
          </w:tcPr>
          <w:p>
            <w:pPr>
              <w:ind w:left="20"/>
              <w:spacing w:after="0"/>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10(iii)(a.1)</w:t>
              </w:r>
            </w:hyperlink>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2003 Incentive Program, as approved by shareholders May 28, 2003 (incorporated by reference to Exhibit 10(iii)(a.1) to the Registrant’s</w:t>
            </w:r>
          </w:p>
        </w:tc>
      </w:tr>
      <w:tr>
        <w:trPr>
          <w:trHeight w:val="234"/>
        </w:trPr>
        <w:tc>
          <w:tcPr>
            <w:tcW w:w="10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Annual Report on Form 10-K for 2017).*</w:t>
            </w:r>
          </w:p>
        </w:tc>
      </w:tr>
      <w:tr>
        <w:trPr>
          <w:trHeight w:val="292"/>
        </w:trPr>
        <w:tc>
          <w:tcPr>
            <w:tcW w:w="1020" w:type="dxa"/>
            <w:vAlign w:val="bottom"/>
          </w:tcPr>
          <w:p>
            <w:pPr>
              <w:ind w:left="20"/>
              <w:spacing w:after="0"/>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10(iii)(a.2)</w:t>
              </w:r>
            </w:hyperlink>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Extended Provisions for Restricted Stock Agreements (incorporated by reference to Exhibit 10(iii)(a.2) to the Registrant’s Annual Report</w:t>
            </w:r>
          </w:p>
        </w:tc>
      </w:tr>
      <w:tr>
        <w:trPr>
          <w:trHeight w:val="234"/>
        </w:trPr>
        <w:tc>
          <w:tcPr>
            <w:tcW w:w="10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on Form 10-K for 2016).*</w:t>
            </w:r>
          </w:p>
        </w:tc>
      </w:tr>
      <w:tr>
        <w:trPr>
          <w:trHeight w:val="292"/>
        </w:trPr>
        <w:tc>
          <w:tcPr>
            <w:tcW w:w="1020" w:type="dxa"/>
            <w:vAlign w:val="bottom"/>
          </w:tcPr>
          <w:p>
            <w:pPr>
              <w:ind w:left="20"/>
              <w:spacing w:after="0"/>
              <w:rPr>
                <w:rFonts w:ascii="Times New Roman" w:cs="Times New Roman" w:eastAsia="Times New Roman" w:hAnsi="Times New Roman"/>
                <w:sz w:val="18"/>
                <w:szCs w:val="18"/>
                <w:u w:val="single" w:color="auto"/>
                <w:color w:val="0000FF"/>
              </w:rPr>
            </w:pPr>
            <w:hyperlink r:id="rId179">
              <w:r>
                <w:rPr>
                  <w:rFonts w:ascii="Times New Roman" w:cs="Times New Roman" w:eastAsia="Times New Roman" w:hAnsi="Times New Roman"/>
                  <w:sz w:val="18"/>
                  <w:szCs w:val="18"/>
                  <w:u w:val="single" w:color="auto"/>
                  <w:color w:val="0000FF"/>
                </w:rPr>
                <w:t>10(iii)(a.3)</w:t>
              </w:r>
            </w:hyperlink>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Extended Provisions for Restricted Stock Unit Agreements – Settlement in Shares (incorporated by reference to Exhibit 99.1 to the</w:t>
            </w:r>
          </w:p>
        </w:tc>
      </w:tr>
      <w:tr>
        <w:trPr>
          <w:trHeight w:val="234"/>
        </w:trPr>
        <w:tc>
          <w:tcPr>
            <w:tcW w:w="10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Registrant's report on Form 8-K of December 1, 2020).*</w:t>
            </w:r>
          </w:p>
        </w:tc>
      </w:tr>
      <w:tr>
        <w:trPr>
          <w:trHeight w:val="292"/>
        </w:trPr>
        <w:tc>
          <w:tcPr>
            <w:tcW w:w="1020" w:type="dxa"/>
            <w:vAlign w:val="bottom"/>
          </w:tcPr>
          <w:p>
            <w:pPr>
              <w:ind w:left="20"/>
              <w:spacing w:after="0"/>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10(iii)(b.1)</w:t>
              </w:r>
            </w:hyperlink>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 Term Incentive Program, as amended (incorporated by reference to Exhibit 10(iii)(b.1) to the Registrant’s Annual Report on Form</w:t>
            </w:r>
          </w:p>
        </w:tc>
      </w:tr>
      <w:tr>
        <w:trPr>
          <w:trHeight w:val="234"/>
        </w:trPr>
        <w:tc>
          <w:tcPr>
            <w:tcW w:w="10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10-K for 2018).*</w:t>
            </w:r>
          </w:p>
        </w:tc>
      </w:tr>
      <w:tr>
        <w:trPr>
          <w:trHeight w:val="292"/>
        </w:trPr>
        <w:tc>
          <w:tcPr>
            <w:tcW w:w="1020" w:type="dxa"/>
            <w:vAlign w:val="bottom"/>
          </w:tcPr>
          <w:p>
            <w:pPr>
              <w:ind w:left="20"/>
              <w:spacing w:after="0"/>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10(iii)(b.2)</w:t>
              </w:r>
            </w:hyperlink>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Earnings Bonus Unit instrument (incorporated by reference to Exhibit 10(iii)(b.2) to the Registrant's Annual Report on Form 10-K for</w:t>
            </w:r>
          </w:p>
        </w:tc>
      </w:tr>
      <w:tr>
        <w:trPr>
          <w:trHeight w:val="234"/>
        </w:trPr>
        <w:tc>
          <w:tcPr>
            <w:tcW w:w="10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2019).*</w:t>
            </w:r>
          </w:p>
        </w:tc>
      </w:tr>
      <w:tr>
        <w:trPr>
          <w:trHeight w:val="292"/>
        </w:trPr>
        <w:tc>
          <w:tcPr>
            <w:tcW w:w="1020" w:type="dxa"/>
            <w:vAlign w:val="bottom"/>
          </w:tcPr>
          <w:p>
            <w:pPr>
              <w:ind w:left="20"/>
              <w:spacing w:after="0"/>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10(iii)(c.1)</w:t>
              </w:r>
            </w:hyperlink>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ExxonMobil Supplemental Savings Plan (incorporated by reference to Exhibit 10(iii)(c.1) to the Registrant’s Quarterly Report on Form</w:t>
            </w:r>
          </w:p>
        </w:tc>
      </w:tr>
      <w:tr>
        <w:trPr>
          <w:trHeight w:val="234"/>
        </w:trPr>
        <w:tc>
          <w:tcPr>
            <w:tcW w:w="10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10-Q for the quarter ended June 30, 2017).*</w:t>
            </w:r>
          </w:p>
        </w:tc>
      </w:tr>
      <w:tr>
        <w:trPr>
          <w:trHeight w:val="292"/>
        </w:trPr>
        <w:tc>
          <w:tcPr>
            <w:tcW w:w="1020" w:type="dxa"/>
            <w:vAlign w:val="bottom"/>
          </w:tcPr>
          <w:p>
            <w:pPr>
              <w:ind w:left="20"/>
              <w:spacing w:after="0"/>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10(iii)(c.2)</w:t>
              </w:r>
            </w:hyperlink>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ExxonMobil Supplemental Pension Plan (incorporated by reference to Exhibit 10(iii)(c.2) to the Registrant’s Annual Report on Form 10-</w:t>
            </w:r>
          </w:p>
        </w:tc>
      </w:tr>
      <w:tr>
        <w:trPr>
          <w:trHeight w:val="234"/>
        </w:trPr>
        <w:tc>
          <w:tcPr>
            <w:tcW w:w="10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 for 2014).*</w:t>
            </w:r>
          </w:p>
        </w:tc>
      </w:tr>
      <w:tr>
        <w:trPr>
          <w:trHeight w:val="292"/>
        </w:trPr>
        <w:tc>
          <w:tcPr>
            <w:tcW w:w="1020" w:type="dxa"/>
            <w:vAlign w:val="bottom"/>
          </w:tcPr>
          <w:p>
            <w:pPr>
              <w:ind w:left="20"/>
              <w:spacing w:after="0"/>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10(iii)(c.3)</w:t>
              </w:r>
            </w:hyperlink>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ExxonMobil Additional Payments Plan (incorporated by reference to Exhibit 10(iii)(c.3) to the Registrant’s Annual Report on Form 10-K</w:t>
            </w:r>
          </w:p>
        </w:tc>
      </w:tr>
      <w:tr>
        <w:trPr>
          <w:trHeight w:val="234"/>
        </w:trPr>
        <w:tc>
          <w:tcPr>
            <w:tcW w:w="10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 2018).*</w:t>
            </w:r>
          </w:p>
        </w:tc>
      </w:tr>
      <w:tr>
        <w:trPr>
          <w:trHeight w:val="292"/>
        </w:trPr>
        <w:tc>
          <w:tcPr>
            <w:tcW w:w="1020" w:type="dxa"/>
            <w:vAlign w:val="bottom"/>
          </w:tcPr>
          <w:p>
            <w:pPr>
              <w:ind w:left="20"/>
              <w:spacing w:after="0"/>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10(iii)(d)</w:t>
              </w:r>
            </w:hyperlink>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ExxonMobil Executive Life Insurance and Death Benefit Plan (incorporated by reference to Exhibit 10(iii)(d) to the Registrant’s Annual</w:t>
            </w:r>
          </w:p>
        </w:tc>
      </w:tr>
      <w:tr>
        <w:trPr>
          <w:trHeight w:val="234"/>
        </w:trPr>
        <w:tc>
          <w:tcPr>
            <w:tcW w:w="10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Report on Form 10-K for 2016).*</w:t>
            </w:r>
          </w:p>
        </w:tc>
      </w:tr>
      <w:tr>
        <w:trPr>
          <w:trHeight w:val="292"/>
        </w:trPr>
        <w:tc>
          <w:tcPr>
            <w:tcW w:w="1020" w:type="dxa"/>
            <w:vAlign w:val="bottom"/>
          </w:tcPr>
          <w:p>
            <w:pPr>
              <w:ind w:left="20"/>
              <w:spacing w:after="0"/>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10(iii)(f.1)</w:t>
              </w:r>
            </w:hyperlink>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2004 Non-Employee Director Restricted Stock Plan (incorporated by reference to Exhibit 10(iii)(f.1) to the Registrant’s Annual Report on</w:t>
            </w:r>
          </w:p>
        </w:tc>
      </w:tr>
      <w:tr>
        <w:trPr>
          <w:trHeight w:val="234"/>
        </w:trPr>
        <w:tc>
          <w:tcPr>
            <w:tcW w:w="10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10-K for 2018).*</w:t>
            </w:r>
          </w:p>
        </w:tc>
      </w:tr>
      <w:tr>
        <w:trPr>
          <w:trHeight w:val="292"/>
        </w:trPr>
        <w:tc>
          <w:tcPr>
            <w:tcW w:w="1020" w:type="dxa"/>
            <w:vAlign w:val="bottom"/>
          </w:tcPr>
          <w:p>
            <w:pPr>
              <w:ind w:left="20"/>
              <w:spacing w:after="0"/>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10(iii)(f.2)</w:t>
              </w:r>
            </w:hyperlink>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Standing resolution for non-employee director restricted grants dated September 26, 2007 (incorporated by reference to Exhibit 10(iii)(f.2)</w:t>
            </w:r>
          </w:p>
        </w:tc>
      </w:tr>
      <w:tr>
        <w:trPr>
          <w:trHeight w:val="234"/>
        </w:trPr>
        <w:tc>
          <w:tcPr>
            <w:tcW w:w="10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the Registrant’s Annual Report on Form 10-K for 2016).*</w:t>
            </w:r>
          </w:p>
        </w:tc>
      </w:tr>
      <w:tr>
        <w:trPr>
          <w:trHeight w:val="346"/>
        </w:trPr>
        <w:tc>
          <w:tcPr>
            <w:tcW w:w="1020" w:type="dxa"/>
            <w:vAlign w:val="bottom"/>
          </w:tcPr>
          <w:p>
            <w:pPr>
              <w:ind w:left="20"/>
              <w:spacing w:after="0"/>
              <w:rPr>
                <w:rFonts w:ascii="Times New Roman" w:cs="Times New Roman" w:eastAsia="Times New Roman" w:hAnsi="Times New Roman"/>
                <w:sz w:val="18"/>
                <w:szCs w:val="18"/>
                <w:u w:val="single" w:color="auto"/>
                <w:color w:val="0000FF"/>
              </w:rPr>
            </w:pPr>
            <w:hyperlink w:anchor="page129">
              <w:r>
                <w:rPr>
                  <w:rFonts w:ascii="Times New Roman" w:cs="Times New Roman" w:eastAsia="Times New Roman" w:hAnsi="Times New Roman"/>
                  <w:sz w:val="18"/>
                  <w:szCs w:val="18"/>
                  <w:u w:val="single" w:color="auto"/>
                  <w:color w:val="0000FF"/>
                </w:rPr>
                <w:t>10(iii)(f.3)</w:t>
              </w:r>
            </w:hyperlink>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of restricted stock grant letter for non-employee directors.*</w:t>
            </w:r>
          </w:p>
        </w:tc>
      </w:tr>
      <w:tr>
        <w:trPr>
          <w:trHeight w:val="297"/>
        </w:trPr>
        <w:tc>
          <w:tcPr>
            <w:tcW w:w="1020" w:type="dxa"/>
            <w:vAlign w:val="bottom"/>
          </w:tcPr>
          <w:p>
            <w:pPr>
              <w:ind w:left="20"/>
              <w:spacing w:after="0"/>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10(iii)(f.4)</w:t>
              </w:r>
            </w:hyperlink>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Standing resolution for non-employee director cash fees dated March 1, 2020 (incorporated by reference to Exhibit 10(iii)(f.4) to the</w:t>
            </w:r>
          </w:p>
        </w:tc>
      </w:tr>
      <w:tr>
        <w:trPr>
          <w:trHeight w:val="234"/>
        </w:trPr>
        <w:tc>
          <w:tcPr>
            <w:tcW w:w="1020" w:type="dxa"/>
            <w:vAlign w:val="bottom"/>
          </w:tcPr>
          <w:p>
            <w:pPr>
              <w:spacing w:after="0"/>
              <w:rPr>
                <w:sz w:val="20"/>
                <w:szCs w:val="20"/>
                <w:color w:val="auto"/>
              </w:rPr>
            </w:pPr>
          </w:p>
        </w:tc>
        <w:tc>
          <w:tcPr>
            <w:tcW w:w="10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Registrant’s Report on Form 10-Q for the quarter ended March 31, 2020).*</w:t>
            </w:r>
          </w:p>
        </w:tc>
      </w:tr>
    </w:tbl>
    <w:p>
      <w:pPr>
        <w:spacing w:after="0" w:line="112" w:lineRule="exact"/>
        <w:rPr>
          <w:sz w:val="20"/>
          <w:szCs w:val="20"/>
          <w:color w:val="auto"/>
        </w:rPr>
      </w:pPr>
    </w:p>
    <w:p>
      <w:pPr>
        <w:ind w:left="1220" w:hanging="1194"/>
        <w:spacing w:after="0"/>
        <w:tabs>
          <w:tab w:leader="none" w:pos="1220" w:val="left"/>
        </w:tabs>
        <w:numPr>
          <w:ilvl w:val="0"/>
          <w:numId w:val="4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Code of Ethics and Business Conduct (incorporated by reference to Exhibit 14 to the Registrant’s Annual Report on Form 10-K for 2017).</w:t>
      </w:r>
    </w:p>
    <w:p>
      <w:pPr>
        <w:spacing w:after="0" w:line="144" w:lineRule="exact"/>
        <w:rPr>
          <w:sz w:val="20"/>
          <w:szCs w:val="20"/>
          <w:color w:val="auto"/>
        </w:rPr>
      </w:pPr>
    </w:p>
    <w:p>
      <w:pPr>
        <w:ind w:left="1220" w:hanging="1194"/>
        <w:spacing w:after="0"/>
        <w:tabs>
          <w:tab w:leader="none" w:pos="1220" w:val="left"/>
        </w:tabs>
        <w:numPr>
          <w:ilvl w:val="0"/>
          <w:numId w:val="4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Subsidiaries of the registrant.</w:t>
      </w:r>
    </w:p>
    <w:p>
      <w:pPr>
        <w:spacing w:after="0" w:line="144" w:lineRule="exact"/>
        <w:rPr>
          <w:sz w:val="20"/>
          <w:szCs w:val="20"/>
          <w:color w:val="auto"/>
        </w:rPr>
      </w:pPr>
    </w:p>
    <w:p>
      <w:pPr>
        <w:ind w:left="1220" w:hanging="1194"/>
        <w:spacing w:after="0"/>
        <w:tabs>
          <w:tab w:leader="none" w:pos="1220" w:val="left"/>
        </w:tabs>
        <w:numPr>
          <w:ilvl w:val="0"/>
          <w:numId w:val="4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Consent of PricewaterhouseCoopers LLP, Independent Registered Public Accounting Firm.</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80" w:type="dxa"/>
            <w:vAlign w:val="bottom"/>
          </w:tcPr>
          <w:p>
            <w:pPr>
              <w:spacing w:after="0"/>
              <w:rPr>
                <w:rFonts w:ascii="Times New Roman" w:cs="Times New Roman" w:eastAsia="Times New Roman" w:hAnsi="Times New Roman"/>
                <w:sz w:val="18"/>
                <w:szCs w:val="18"/>
                <w:u w:val="single" w:color="auto"/>
                <w:color w:val="0000FF"/>
              </w:rPr>
            </w:pPr>
            <w:hyperlink w:anchor="page135">
              <w:r>
                <w:rPr>
                  <w:rFonts w:ascii="Times New Roman" w:cs="Times New Roman" w:eastAsia="Times New Roman" w:hAnsi="Times New Roman"/>
                  <w:sz w:val="18"/>
                  <w:szCs w:val="18"/>
                  <w:u w:val="single" w:color="auto"/>
                  <w:color w:val="0000FF"/>
                </w:rPr>
                <w:t>31.1</w:t>
              </w:r>
            </w:hyperlink>
          </w:p>
        </w:tc>
        <w:tc>
          <w:tcPr>
            <w:tcW w:w="7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Certification (pursuant to Securities Exchange Act Rule 13a-14(a)) by Chief Executive Officer.</w:t>
            </w:r>
          </w:p>
        </w:tc>
      </w:tr>
      <w:tr>
        <w:trPr>
          <w:trHeight w:val="351"/>
        </w:trPr>
        <w:tc>
          <w:tcPr>
            <w:tcW w:w="980" w:type="dxa"/>
            <w:vAlign w:val="bottom"/>
          </w:tcPr>
          <w:p>
            <w:pPr>
              <w:spacing w:after="0"/>
              <w:rPr>
                <w:rFonts w:ascii="Times New Roman" w:cs="Times New Roman" w:eastAsia="Times New Roman" w:hAnsi="Times New Roman"/>
                <w:sz w:val="18"/>
                <w:szCs w:val="18"/>
                <w:u w:val="single" w:color="auto"/>
                <w:color w:val="0000FF"/>
              </w:rPr>
            </w:pPr>
            <w:hyperlink w:anchor="page136">
              <w:r>
                <w:rPr>
                  <w:rFonts w:ascii="Times New Roman" w:cs="Times New Roman" w:eastAsia="Times New Roman" w:hAnsi="Times New Roman"/>
                  <w:sz w:val="18"/>
                  <w:szCs w:val="18"/>
                  <w:u w:val="single" w:color="auto"/>
                  <w:color w:val="0000FF"/>
                </w:rPr>
                <w:t>31.2</w:t>
              </w:r>
            </w:hyperlink>
          </w:p>
        </w:tc>
        <w:tc>
          <w:tcPr>
            <w:tcW w:w="7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Certification (pursuant to Securities Exchange Act Rule 13a-14(a)) by Principal Financial Officer.</w:t>
            </w:r>
          </w:p>
        </w:tc>
      </w:tr>
      <w:tr>
        <w:trPr>
          <w:trHeight w:val="351"/>
        </w:trPr>
        <w:tc>
          <w:tcPr>
            <w:tcW w:w="980" w:type="dxa"/>
            <w:vAlign w:val="bottom"/>
          </w:tcPr>
          <w:p>
            <w:pPr>
              <w:spacing w:after="0"/>
              <w:rPr>
                <w:rFonts w:ascii="Times New Roman" w:cs="Times New Roman" w:eastAsia="Times New Roman" w:hAnsi="Times New Roman"/>
                <w:sz w:val="18"/>
                <w:szCs w:val="18"/>
                <w:u w:val="single" w:color="auto"/>
                <w:color w:val="0000FF"/>
              </w:rPr>
            </w:pPr>
            <w:hyperlink w:anchor="page137">
              <w:r>
                <w:rPr>
                  <w:rFonts w:ascii="Times New Roman" w:cs="Times New Roman" w:eastAsia="Times New Roman" w:hAnsi="Times New Roman"/>
                  <w:sz w:val="18"/>
                  <w:szCs w:val="18"/>
                  <w:u w:val="single" w:color="auto"/>
                  <w:color w:val="0000FF"/>
                </w:rPr>
                <w:t>31.3</w:t>
              </w:r>
            </w:hyperlink>
          </w:p>
        </w:tc>
        <w:tc>
          <w:tcPr>
            <w:tcW w:w="7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Certification (pursuant to Securities Exchange Act Rule 13a-14(a)) by Principal Accounting Officer.</w:t>
            </w:r>
          </w:p>
        </w:tc>
      </w:tr>
      <w:tr>
        <w:trPr>
          <w:trHeight w:val="351"/>
        </w:trPr>
        <w:tc>
          <w:tcPr>
            <w:tcW w:w="980" w:type="dxa"/>
            <w:vAlign w:val="bottom"/>
          </w:tcPr>
          <w:p>
            <w:pPr>
              <w:spacing w:after="0"/>
              <w:rPr>
                <w:rFonts w:ascii="Times New Roman" w:cs="Times New Roman" w:eastAsia="Times New Roman" w:hAnsi="Times New Roman"/>
                <w:sz w:val="18"/>
                <w:szCs w:val="18"/>
                <w:u w:val="single" w:color="auto"/>
                <w:color w:val="0000FF"/>
              </w:rPr>
            </w:pPr>
            <w:hyperlink w:anchor="page138">
              <w:r>
                <w:rPr>
                  <w:rFonts w:ascii="Times New Roman" w:cs="Times New Roman" w:eastAsia="Times New Roman" w:hAnsi="Times New Roman"/>
                  <w:sz w:val="18"/>
                  <w:szCs w:val="18"/>
                  <w:u w:val="single" w:color="auto"/>
                  <w:color w:val="0000FF"/>
                </w:rPr>
                <w:t>32.1</w:t>
              </w:r>
            </w:hyperlink>
          </w:p>
        </w:tc>
        <w:tc>
          <w:tcPr>
            <w:tcW w:w="1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1350</w:t>
            </w: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Sarbanes-Oxley Section 906) by Chief Executive Officer.</w:t>
            </w:r>
          </w:p>
        </w:tc>
      </w:tr>
      <w:tr>
        <w:trPr>
          <w:trHeight w:val="351"/>
        </w:trPr>
        <w:tc>
          <w:tcPr>
            <w:tcW w:w="980" w:type="dxa"/>
            <w:vAlign w:val="bottom"/>
          </w:tcPr>
          <w:p>
            <w:pPr>
              <w:spacing w:after="0"/>
              <w:rPr>
                <w:rFonts w:ascii="Times New Roman" w:cs="Times New Roman" w:eastAsia="Times New Roman" w:hAnsi="Times New Roman"/>
                <w:sz w:val="18"/>
                <w:szCs w:val="18"/>
                <w:u w:val="single" w:color="auto"/>
                <w:color w:val="0000FF"/>
              </w:rPr>
            </w:pPr>
            <w:hyperlink w:anchor="page139">
              <w:r>
                <w:rPr>
                  <w:rFonts w:ascii="Times New Roman" w:cs="Times New Roman" w:eastAsia="Times New Roman" w:hAnsi="Times New Roman"/>
                  <w:sz w:val="18"/>
                  <w:szCs w:val="18"/>
                  <w:u w:val="single" w:color="auto"/>
                  <w:color w:val="0000FF"/>
                </w:rPr>
                <w:t>32.2</w:t>
              </w:r>
            </w:hyperlink>
          </w:p>
        </w:tc>
        <w:tc>
          <w:tcPr>
            <w:tcW w:w="1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1350</w:t>
            </w: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(pursuant to Sarbanes-Oxley Section 906) by Principal Financial Officer.</w:t>
            </w:r>
          </w:p>
        </w:tc>
      </w:tr>
      <w:tr>
        <w:trPr>
          <w:trHeight w:val="351"/>
        </w:trPr>
        <w:tc>
          <w:tcPr>
            <w:tcW w:w="980" w:type="dxa"/>
            <w:vAlign w:val="bottom"/>
          </w:tcPr>
          <w:p>
            <w:pPr>
              <w:spacing w:after="0"/>
              <w:rPr>
                <w:rFonts w:ascii="Times New Roman" w:cs="Times New Roman" w:eastAsia="Times New Roman" w:hAnsi="Times New Roman"/>
                <w:sz w:val="18"/>
                <w:szCs w:val="18"/>
                <w:u w:val="single" w:color="auto"/>
                <w:color w:val="0000FF"/>
              </w:rPr>
            </w:pPr>
            <w:hyperlink w:anchor="page140">
              <w:r>
                <w:rPr>
                  <w:rFonts w:ascii="Times New Roman" w:cs="Times New Roman" w:eastAsia="Times New Roman" w:hAnsi="Times New Roman"/>
                  <w:sz w:val="18"/>
                  <w:szCs w:val="18"/>
                  <w:u w:val="single" w:color="auto"/>
                  <w:color w:val="0000FF"/>
                </w:rPr>
                <w:t>32.3</w:t>
              </w:r>
            </w:hyperlink>
          </w:p>
        </w:tc>
        <w:tc>
          <w:tcPr>
            <w:tcW w:w="1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1350</w:t>
            </w: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Certification (pursuant to Sarbanes-Oxley Section 906) by Principal Accounting Officer.</w:t>
            </w:r>
          </w:p>
        </w:tc>
      </w:tr>
      <w:tr>
        <w:trPr>
          <w:trHeight w:val="35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Interactive data files (formatted as Inline XBRL).</w:t>
            </w:r>
          </w:p>
        </w:tc>
      </w:tr>
      <w:tr>
        <w:trPr>
          <w:trHeight w:val="35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103"/>
        </w:trPr>
        <w:tc>
          <w:tcPr>
            <w:tcW w:w="980" w:type="dxa"/>
            <w:vAlign w:val="bottom"/>
          </w:tcPr>
          <w:p>
            <w:pPr>
              <w:spacing w:after="0"/>
              <w:rPr>
                <w:sz w:val="20"/>
                <w:szCs w:val="20"/>
                <w:color w:val="auto"/>
              </w:rPr>
            </w:pPr>
            <w:r>
              <w:rPr>
                <w:rFonts w:ascii="Times New Roman" w:cs="Times New Roman" w:eastAsia="Times New Roman" w:hAnsi="Times New Roman"/>
                <w:sz w:val="7"/>
                <w:szCs w:val="7"/>
                <w:color w:val="auto"/>
              </w:rPr>
              <w:t>_____________________</w:t>
            </w:r>
          </w:p>
        </w:tc>
        <w:tc>
          <w:tcPr>
            <w:tcW w:w="1200" w:type="dxa"/>
            <w:vAlign w:val="bottom"/>
          </w:tcPr>
          <w:p>
            <w:pPr>
              <w:spacing w:after="0"/>
              <w:rPr>
                <w:sz w:val="8"/>
                <w:szCs w:val="8"/>
                <w:color w:val="auto"/>
              </w:rPr>
            </w:pPr>
          </w:p>
        </w:tc>
        <w:tc>
          <w:tcPr>
            <w:tcW w:w="6380" w:type="dxa"/>
            <w:vAlign w:val="bottom"/>
          </w:tcPr>
          <w:p>
            <w:pPr>
              <w:spacing w:after="0"/>
              <w:rPr>
                <w:sz w:val="8"/>
                <w:szCs w:val="8"/>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Compensatory plan or arrangement required to be identified pursuant to Item 15(a)(3) of this Annual Report on Form 10-K.</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registrant has not filed with this report copies of the instruments defining the rights of holders of long-term debt of the registrant and its subsidiaries for which consolidated or unconsolidated financial statements are required to be filed. The registrant agrees to furnish a copy of any such instrument to the Securities and Exchange Commission upon request.</w:t>
      </w:r>
    </w:p>
    <w:p>
      <w:pPr>
        <w:sectPr>
          <w:pgSz w:w="11900" w:h="16838" w:orient="portrait"/>
          <w:cols w:equalWidth="0" w:num="1">
            <w:col w:w="11240"/>
          </w:cols>
          <w:pgMar w:left="320" w:top="765" w:right="339" w:bottom="825"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825"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EXXON MOBIL CORPORATION</w:t>
      </w:r>
    </w:p>
    <w:p>
      <w:pPr>
        <w:spacing w:after="0" w:line="252" w:lineRule="exact"/>
        <w:rPr>
          <w:sz w:val="20"/>
          <w:szCs w:val="20"/>
          <w:color w:val="auto"/>
        </w:rPr>
      </w:pPr>
    </w:p>
    <w:p>
      <w:pPr>
        <w:ind w:left="5500"/>
        <w:spacing w:after="0"/>
        <w:tabs>
          <w:tab w:leader="none" w:pos="7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DARREN W.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17145</wp:posOffset>
            </wp:positionV>
            <wp:extent cx="30175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5"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8"/>
          <w:szCs w:val="18"/>
          <w:color w:val="auto"/>
        </w:rPr>
        <w:t>(Darren W. Woods,</w:t>
      </w:r>
    </w:p>
    <w:p>
      <w:pPr>
        <w:jc w:val="center"/>
        <w:ind w:left="530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1316355</wp:posOffset>
            </wp:positionH>
            <wp:positionV relativeFrom="paragraph">
              <wp:posOffset>540385</wp:posOffset>
            </wp:positionV>
            <wp:extent cx="45173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Each person whose signature appears below constitutes and appoints Jeremy R. Osterstock, Antony E. Peters, and David R. Woodcock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104140</wp:posOffset>
            </wp:positionV>
            <wp:extent cx="45173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Pursuant to the requirements of the Securities Exchange Act of 1934, this report has been signed below by the following persons on behalf of the registrant and in the capacities indicated and on February 24, 2021.</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DARREN W. WOODS</w:t>
            </w:r>
          </w:p>
        </w:tc>
        <w:tc>
          <w:tcPr>
            <w:tcW w:w="5800" w:type="dxa"/>
            <w:vAlign w:val="bottom"/>
          </w:tcPr>
          <w:p>
            <w:pPr>
              <w:jc w:val="center"/>
              <w:ind w:left="3630"/>
              <w:spacing w:after="0"/>
              <w:rPr>
                <w:sz w:val="20"/>
                <w:szCs w:val="20"/>
                <w:color w:val="auto"/>
              </w:rPr>
            </w:pPr>
            <w:r>
              <w:rPr>
                <w:rFonts w:ascii="Times New Roman" w:cs="Times New Roman" w:eastAsia="Times New Roman" w:hAnsi="Times New Roman"/>
                <w:sz w:val="18"/>
                <w:szCs w:val="18"/>
                <w:color w:val="auto"/>
                <w:w w:val="99"/>
              </w:rPr>
              <w:t>Chairman of the Board</w:t>
            </w: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(Darren W. Woods)</w:t>
            </w:r>
          </w:p>
        </w:tc>
        <w:tc>
          <w:tcPr>
            <w:tcW w:w="5800" w:type="dxa"/>
            <w:vAlign w:val="bottom"/>
          </w:tcPr>
          <w:p>
            <w:pPr>
              <w:jc w:val="center"/>
              <w:ind w:left="3630"/>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454"/>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SUSAN K. AVERY</w:t>
            </w:r>
          </w:p>
        </w:tc>
        <w:tc>
          <w:tcPr>
            <w:tcW w:w="5800" w:type="dxa"/>
            <w:vAlign w:val="bottom"/>
          </w:tcPr>
          <w:p>
            <w:pPr>
              <w:jc w:val="center"/>
              <w:ind w:left="36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(Susan K. Avery)</w:t>
            </w:r>
          </w:p>
        </w:tc>
        <w:tc>
          <w:tcPr>
            <w:tcW w:w="5800" w:type="dxa"/>
            <w:vAlign w:val="bottom"/>
          </w:tcPr>
          <w:p>
            <w:pPr>
              <w:spacing w:after="0"/>
              <w:rPr>
                <w:sz w:val="19"/>
                <w:szCs w:val="19"/>
                <w:color w:val="auto"/>
              </w:rPr>
            </w:pPr>
          </w:p>
        </w:tc>
      </w:tr>
      <w:tr>
        <w:trPr>
          <w:trHeight w:val="454"/>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ANGELA F. BRALY</w:t>
            </w:r>
          </w:p>
        </w:tc>
        <w:tc>
          <w:tcPr>
            <w:tcW w:w="5800" w:type="dxa"/>
            <w:vAlign w:val="bottom"/>
          </w:tcPr>
          <w:p>
            <w:pPr>
              <w:jc w:val="center"/>
              <w:ind w:left="36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(Angela F. Braly)</w:t>
            </w:r>
          </w:p>
        </w:tc>
        <w:tc>
          <w:tcPr>
            <w:tcW w:w="5800" w:type="dxa"/>
            <w:vAlign w:val="bottom"/>
          </w:tcPr>
          <w:p>
            <w:pPr>
              <w:spacing w:after="0"/>
              <w:rPr>
                <w:sz w:val="19"/>
                <w:szCs w:val="19"/>
                <w:color w:val="auto"/>
              </w:rPr>
            </w:pPr>
          </w:p>
        </w:tc>
      </w:tr>
      <w:tr>
        <w:trPr>
          <w:trHeight w:val="454"/>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URSULA M. BURNS</w:t>
            </w:r>
          </w:p>
        </w:tc>
        <w:tc>
          <w:tcPr>
            <w:tcW w:w="5800" w:type="dxa"/>
            <w:vAlign w:val="bottom"/>
          </w:tcPr>
          <w:p>
            <w:pPr>
              <w:jc w:val="center"/>
              <w:ind w:left="36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(Ursula M. Burns)</w:t>
            </w:r>
          </w:p>
        </w:tc>
        <w:tc>
          <w:tcPr>
            <w:tcW w:w="58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4"/>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KENNETH C. FRAZIER</w:t>
            </w:r>
          </w:p>
        </w:tc>
        <w:tc>
          <w:tcPr>
            <w:tcW w:w="5860" w:type="dxa"/>
            <w:vAlign w:val="bottom"/>
          </w:tcPr>
          <w:p>
            <w:pPr>
              <w:jc w:val="center"/>
              <w:ind w:left="35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(Kenneth C. Frazier)</w:t>
            </w:r>
          </w:p>
        </w:tc>
        <w:tc>
          <w:tcPr>
            <w:tcW w:w="5860" w:type="dxa"/>
            <w:vAlign w:val="bottom"/>
          </w:tcPr>
          <w:p>
            <w:pPr>
              <w:spacing w:after="0"/>
              <w:rPr>
                <w:sz w:val="19"/>
                <w:szCs w:val="19"/>
                <w:color w:val="auto"/>
              </w:rPr>
            </w:pPr>
          </w:p>
        </w:tc>
      </w:tr>
      <w:tr>
        <w:trPr>
          <w:trHeight w:val="454"/>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L. HOOLEY</w:t>
            </w:r>
          </w:p>
        </w:tc>
        <w:tc>
          <w:tcPr>
            <w:tcW w:w="5860" w:type="dxa"/>
            <w:vAlign w:val="bottom"/>
          </w:tcPr>
          <w:p>
            <w:pPr>
              <w:jc w:val="center"/>
              <w:ind w:left="35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(Joseph L. Hooley)</w:t>
            </w:r>
          </w:p>
        </w:tc>
        <w:tc>
          <w:tcPr>
            <w:tcW w:w="5860" w:type="dxa"/>
            <w:vAlign w:val="bottom"/>
          </w:tcPr>
          <w:p>
            <w:pPr>
              <w:spacing w:after="0"/>
              <w:rPr>
                <w:sz w:val="19"/>
                <w:szCs w:val="19"/>
                <w:color w:val="auto"/>
              </w:rPr>
            </w:pPr>
          </w:p>
        </w:tc>
      </w:tr>
      <w:tr>
        <w:trPr>
          <w:trHeight w:val="454"/>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A. KANDARIAN</w:t>
            </w:r>
          </w:p>
        </w:tc>
        <w:tc>
          <w:tcPr>
            <w:tcW w:w="5860" w:type="dxa"/>
            <w:vAlign w:val="bottom"/>
          </w:tcPr>
          <w:p>
            <w:pPr>
              <w:jc w:val="center"/>
              <w:ind w:left="35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(Steven A. Kandarian)</w:t>
            </w:r>
          </w:p>
        </w:tc>
        <w:tc>
          <w:tcPr>
            <w:tcW w:w="5860" w:type="dxa"/>
            <w:vAlign w:val="bottom"/>
          </w:tcPr>
          <w:p>
            <w:pPr>
              <w:spacing w:after="0"/>
              <w:rPr>
                <w:sz w:val="19"/>
                <w:szCs w:val="19"/>
                <w:color w:val="auto"/>
              </w:rPr>
            </w:pPr>
          </w:p>
        </w:tc>
      </w:tr>
      <w:tr>
        <w:trPr>
          <w:trHeight w:val="454"/>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DOUGLAS R. OBERHELMAN</w:t>
            </w:r>
          </w:p>
        </w:tc>
        <w:tc>
          <w:tcPr>
            <w:tcW w:w="5860" w:type="dxa"/>
            <w:vAlign w:val="bottom"/>
          </w:tcPr>
          <w:p>
            <w:pPr>
              <w:jc w:val="center"/>
              <w:ind w:left="35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(Douglas R. Oberhelman)</w:t>
            </w:r>
          </w:p>
        </w:tc>
        <w:tc>
          <w:tcPr>
            <w:tcW w:w="5860" w:type="dxa"/>
            <w:vAlign w:val="bottom"/>
          </w:tcPr>
          <w:p>
            <w:pPr>
              <w:spacing w:after="0"/>
              <w:rPr>
                <w:sz w:val="19"/>
                <w:szCs w:val="19"/>
                <w:color w:val="auto"/>
              </w:rPr>
            </w:pPr>
          </w:p>
        </w:tc>
      </w:tr>
      <w:tr>
        <w:trPr>
          <w:trHeight w:val="454"/>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SAMUEL J. PALMISANO</w:t>
            </w:r>
          </w:p>
        </w:tc>
        <w:tc>
          <w:tcPr>
            <w:tcW w:w="5860" w:type="dxa"/>
            <w:vAlign w:val="bottom"/>
          </w:tcPr>
          <w:p>
            <w:pPr>
              <w:jc w:val="center"/>
              <w:ind w:left="35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(Samuel J. Palmisano)</w:t>
            </w:r>
          </w:p>
        </w:tc>
        <w:tc>
          <w:tcPr>
            <w:tcW w:w="5860" w:type="dxa"/>
            <w:vAlign w:val="bottom"/>
          </w:tcPr>
          <w:p>
            <w:pPr>
              <w:spacing w:after="0"/>
              <w:rPr>
                <w:sz w:val="19"/>
                <w:szCs w:val="19"/>
                <w:color w:val="auto"/>
              </w:rPr>
            </w:pPr>
          </w:p>
        </w:tc>
      </w:tr>
      <w:tr>
        <w:trPr>
          <w:trHeight w:val="495"/>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WILLIAM C. WELDON</w:t>
            </w:r>
          </w:p>
        </w:tc>
        <w:tc>
          <w:tcPr>
            <w:tcW w:w="5860" w:type="dxa"/>
            <w:vAlign w:val="bottom"/>
          </w:tcPr>
          <w:p>
            <w:pPr>
              <w:jc w:val="center"/>
              <w:ind w:left="35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(William C. Weldon)</w:t>
            </w:r>
          </w:p>
        </w:tc>
        <w:tc>
          <w:tcPr>
            <w:tcW w:w="5860" w:type="dxa"/>
            <w:vAlign w:val="bottom"/>
          </w:tcPr>
          <w:p>
            <w:pPr>
              <w:spacing w:after="0"/>
              <w:rPr>
                <w:sz w:val="19"/>
                <w:szCs w:val="19"/>
                <w:color w:val="auto"/>
              </w:rPr>
            </w:pPr>
          </w:p>
        </w:tc>
      </w:tr>
      <w:tr>
        <w:trPr>
          <w:trHeight w:val="454"/>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WAN ZULKIFLEE</w:t>
            </w:r>
          </w:p>
        </w:tc>
        <w:tc>
          <w:tcPr>
            <w:tcW w:w="5860" w:type="dxa"/>
            <w:vAlign w:val="bottom"/>
          </w:tcPr>
          <w:p>
            <w:pPr>
              <w:jc w:val="center"/>
              <w:ind w:left="35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(Wan Zulkiflee)</w:t>
            </w:r>
          </w:p>
        </w:tc>
        <w:tc>
          <w:tcPr>
            <w:tcW w:w="5860" w:type="dxa"/>
            <w:vAlign w:val="bottom"/>
          </w:tcPr>
          <w:p>
            <w:pPr>
              <w:spacing w:after="0"/>
              <w:rPr>
                <w:sz w:val="19"/>
                <w:szCs w:val="19"/>
                <w:color w:val="auto"/>
              </w:rPr>
            </w:pPr>
          </w:p>
        </w:tc>
      </w:tr>
      <w:tr>
        <w:trPr>
          <w:trHeight w:val="495"/>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ANDREW P. SWIGER</w:t>
            </w:r>
          </w:p>
        </w:tc>
        <w:tc>
          <w:tcPr>
            <w:tcW w:w="5860" w:type="dxa"/>
            <w:vAlign w:val="bottom"/>
          </w:tcPr>
          <w:p>
            <w:pPr>
              <w:jc w:val="center"/>
              <w:ind w:left="3570"/>
              <w:spacing w:after="0"/>
              <w:rPr>
                <w:sz w:val="20"/>
                <w:szCs w:val="20"/>
                <w:color w:val="auto"/>
              </w:rPr>
            </w:pPr>
            <w:r>
              <w:rPr>
                <w:rFonts w:ascii="Times New Roman" w:cs="Times New Roman" w:eastAsia="Times New Roman" w:hAnsi="Times New Roman"/>
                <w:sz w:val="18"/>
                <w:szCs w:val="18"/>
                <w:color w:val="auto"/>
                <w:w w:val="99"/>
              </w:rPr>
              <w:t>Senior Vice President</w:t>
            </w: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(Andrew P. Swiger)</w:t>
            </w:r>
          </w:p>
        </w:tc>
        <w:tc>
          <w:tcPr>
            <w:tcW w:w="5860" w:type="dxa"/>
            <w:vAlign w:val="bottom"/>
          </w:tcPr>
          <w:p>
            <w:pPr>
              <w:jc w:val="center"/>
              <w:ind w:left="3570"/>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54"/>
        </w:trPr>
        <w:tc>
          <w:tcPr>
            <w:tcW w:w="5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S. ROSENTHAL</w:t>
            </w:r>
          </w:p>
        </w:tc>
        <w:tc>
          <w:tcPr>
            <w:tcW w:w="5860" w:type="dxa"/>
            <w:vAlign w:val="bottom"/>
          </w:tcPr>
          <w:p>
            <w:pPr>
              <w:jc w:val="center"/>
              <w:ind w:left="3570"/>
              <w:spacing w:after="0"/>
              <w:rPr>
                <w:sz w:val="20"/>
                <w:szCs w:val="20"/>
                <w:color w:val="auto"/>
              </w:rPr>
            </w:pPr>
            <w:r>
              <w:rPr>
                <w:rFonts w:ascii="Times New Roman" w:cs="Times New Roman" w:eastAsia="Times New Roman" w:hAnsi="Times New Roman"/>
                <w:sz w:val="18"/>
                <w:szCs w:val="18"/>
                <w:color w:val="auto"/>
                <w:w w:val="98"/>
              </w:rPr>
              <w:t>Vice President and Controller</w:t>
            </w: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(David S. Rosenthal)</w:t>
            </w:r>
          </w:p>
        </w:tc>
        <w:tc>
          <w:tcPr>
            <w:tcW w:w="5860" w:type="dxa"/>
            <w:vAlign w:val="bottom"/>
          </w:tcPr>
          <w:p>
            <w:pPr>
              <w:jc w:val="center"/>
              <w:ind w:left="3570"/>
              <w:spacing w:after="0"/>
              <w:rPr>
                <w:sz w:val="20"/>
                <w:szCs w:val="20"/>
                <w:color w:val="auto"/>
              </w:rPr>
            </w:pPr>
            <w:r>
              <w:rPr>
                <w:rFonts w:ascii="Times New Roman" w:cs="Times New Roman" w:eastAsia="Times New Roman" w:hAnsi="Times New Roman"/>
                <w:sz w:val="18"/>
                <w:szCs w:val="18"/>
                <w:color w:val="auto"/>
                <w:w w:val="99"/>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880"/>
          </w:cols>
          <w:pgMar w:left="320" w:top="904" w:right="699" w:bottom="1440" w:gutter="0" w:footer="0" w:header="0"/>
        </w:sectPr>
      </w:pPr>
    </w:p>
    <w:bookmarkStart w:id="128" w:name="page129"/>
    <w:bookmarkEnd w:id="128"/>
    <w:p>
      <w:pPr>
        <w:ind w:left="9580"/>
        <w:spacing w:after="0"/>
        <w:rPr>
          <w:sz w:val="20"/>
          <w:szCs w:val="20"/>
          <w:color w:val="auto"/>
        </w:rPr>
      </w:pPr>
      <w:r>
        <w:rPr>
          <w:rFonts w:ascii="Times New Roman" w:cs="Times New Roman" w:eastAsia="Times New Roman" w:hAnsi="Times New Roman"/>
          <w:sz w:val="17"/>
          <w:szCs w:val="17"/>
          <w:b w:val="1"/>
          <w:bCs w:val="1"/>
          <w:color w:val="auto"/>
        </w:rPr>
        <w:t>EXHIBIT 10(iii)(f.3)</w:t>
      </w:r>
    </w:p>
    <w:p>
      <w:pPr>
        <w:sectPr>
          <w:pgSz w:w="11900" w:h="16838" w:orient="portrait"/>
          <w:cols w:equalWidth="0" w:num="1">
            <w:col w:w="11160"/>
          </w:cols>
          <w:pgMar w:left="320" w:top="630" w:right="419" w:bottom="1440" w:gutter="0" w:footer="0" w:header="0"/>
        </w:sect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6D6D6D"/>
        </w:rPr>
        <w:t>Exxon Mobil Corporation</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6D6D6D"/>
        </w:rPr>
        <w:t>Stephen A. Littleton</w:t>
      </w:r>
    </w:p>
    <w:p>
      <w:pPr>
        <w:spacing w:after="0" w:line="57" w:lineRule="exact"/>
        <w:rPr>
          <w:sz w:val="20"/>
          <w:szCs w:val="20"/>
          <w:color w:val="auto"/>
        </w:rPr>
      </w:pPr>
    </w:p>
    <w:p>
      <w:pPr>
        <w:sectPr>
          <w:pgSz w:w="11900" w:h="16838" w:orient="portrait"/>
          <w:cols w:equalWidth="0" w:num="2">
            <w:col w:w="6840" w:space="720"/>
            <w:col w:w="3600"/>
          </w:cols>
          <w:pgMar w:left="320" w:top="630" w:right="419" w:bottom="1440" w:gutter="0" w:footer="0" w:header="0"/>
          <w:type w:val="continuous"/>
        </w:sectPr>
      </w:pPr>
    </w:p>
    <w:p>
      <w:pPr>
        <w:ind w:left="20"/>
        <w:spacing w:after="0"/>
        <w:rPr>
          <w:sz w:val="20"/>
          <w:szCs w:val="20"/>
          <w:color w:val="auto"/>
        </w:rPr>
      </w:pPr>
      <w:r>
        <w:rPr>
          <w:rFonts w:ascii="Arial" w:cs="Arial" w:eastAsia="Arial" w:hAnsi="Arial"/>
          <w:sz w:val="14"/>
          <w:szCs w:val="14"/>
          <w:color w:val="6D6D6D"/>
        </w:rPr>
        <w:t>5959 Las Colinas Boulevard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6D6D6D"/>
        </w:rPr>
        <w:t>Vice President, Investor Relations</w:t>
      </w:r>
    </w:p>
    <w:p>
      <w:pPr>
        <w:spacing w:after="0" w:line="55" w:lineRule="exact"/>
        <w:rPr>
          <w:sz w:val="20"/>
          <w:szCs w:val="20"/>
          <w:color w:val="auto"/>
        </w:rPr>
      </w:pPr>
    </w:p>
    <w:p>
      <w:pPr>
        <w:sectPr>
          <w:pgSz w:w="11900" w:h="16838" w:orient="portrait"/>
          <w:cols w:equalWidth="0" w:num="2">
            <w:col w:w="6840" w:space="720"/>
            <w:col w:w="3600"/>
          </w:cols>
          <w:pgMar w:left="320" w:top="630" w:right="419" w:bottom="1440" w:gutter="0" w:footer="0" w:header="0"/>
          <w:type w:val="continuous"/>
        </w:sectPr>
      </w:pPr>
    </w:p>
    <w:p>
      <w:pPr>
        <w:ind w:left="20"/>
        <w:spacing w:after="0"/>
        <w:rPr>
          <w:sz w:val="20"/>
          <w:szCs w:val="20"/>
          <w:color w:val="auto"/>
        </w:rPr>
      </w:pPr>
      <w:r>
        <w:rPr>
          <w:rFonts w:ascii="Arial" w:cs="Arial" w:eastAsia="Arial" w:hAnsi="Arial"/>
          <w:sz w:val="14"/>
          <w:szCs w:val="14"/>
          <w:color w:val="6D6D6D"/>
        </w:rPr>
        <w:t>Irving, Texas 75039-2298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6D6D6D"/>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1757045" cy="4114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1757045" cy="411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40" w:space="720"/>
            <w:col w:w="3600"/>
          </w:cols>
          <w:pgMar w:left="320" w:top="630"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20"/>
          <w:szCs w:val="20"/>
          <w:color w:val="auto"/>
        </w:rPr>
        <w:t>January 4, 2021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[Name of Non-Employee Director]</w:t>
      </w:r>
    </w:p>
    <w:p>
      <w:pPr>
        <w:spacing w:after="0" w:line="243" w:lineRule="exact"/>
        <w:rPr>
          <w:sz w:val="20"/>
          <w:szCs w:val="20"/>
          <w:color w:val="auto"/>
        </w:rPr>
      </w:pPr>
    </w:p>
    <w:p>
      <w:pPr>
        <w:ind w:right="120"/>
        <w:spacing w:after="0" w:line="249" w:lineRule="auto"/>
        <w:rPr>
          <w:sz w:val="20"/>
          <w:szCs w:val="20"/>
          <w:color w:val="auto"/>
        </w:rPr>
      </w:pPr>
      <w:r>
        <w:rPr>
          <w:rFonts w:ascii="Arial" w:cs="Arial" w:eastAsia="Arial" w:hAnsi="Arial"/>
          <w:sz w:val="20"/>
          <w:szCs w:val="20"/>
          <w:color w:val="auto"/>
        </w:rPr>
        <w:t>I am pleased to inform you that on January 4, 2021, you were granted 2,500 shares of restricted stock under Exxon Mobil Corporation's 2004 Non-Employee Director Restricted Stock Plan (the "Plan") and in accordance with the Board's standing resolution regarding grants under the Plan. This letter summarizes key terms of your award and is qualified by reference to the Plan. You should refer to the text of the Plan for a detailed description of the terms and conditions of your award. Copies of the Plan have been previously distributed to you and are also available on request to me at any time.</w:t>
      </w:r>
    </w:p>
    <w:p>
      <w:pPr>
        <w:spacing w:after="0" w:line="197"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restricted stock has been registered in your name and will be held in book-entry form by the Corporation's agent during the restricted period. As the owner of record, you have the right to vote the shares and receive cash dividends. However, during the restricted period the shares may not be sold, assigned, transferred, pledged, or otherwise disposed of or encumbered, and your restricted stock account will be subject to stop transfer instructions. When the restricted period expires, shares will be delivered to or for your account free of restrictions.</w:t>
      </w:r>
    </w:p>
    <w:p>
      <w:pPr>
        <w:spacing w:after="0" w:line="197"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color w:val="auto"/>
        </w:rPr>
        <w:t>The restricted period for this award began at the time of grant. The restricted period will expire when you leave the Board after reaching retirement age (currently, age 72) or by reason of death. If you leave the Board before reaching retirement age, your restricted stock will be forfeited unless the Board determines to lift the restrictions at that time. By accepting this award you agree to all its terms and conditions, including the restrictions on transfer and events of forfeiture.</w:t>
      </w:r>
    </w:p>
    <w:p>
      <w:pPr>
        <w:spacing w:after="0" w:line="191" w:lineRule="exact"/>
        <w:rPr>
          <w:sz w:val="20"/>
          <w:szCs w:val="20"/>
          <w:color w:val="auto"/>
        </w:rPr>
      </w:pPr>
    </w:p>
    <w:p>
      <w:pPr>
        <w:jc w:val="both"/>
        <w:ind w:right="140"/>
        <w:spacing w:after="0" w:line="253" w:lineRule="auto"/>
        <w:rPr>
          <w:sz w:val="20"/>
          <w:szCs w:val="20"/>
          <w:color w:val="auto"/>
        </w:rPr>
      </w:pPr>
      <w:r>
        <w:rPr>
          <w:rFonts w:ascii="Arial" w:cs="Arial" w:eastAsia="Arial" w:hAnsi="Arial"/>
          <w:sz w:val="20"/>
          <w:szCs w:val="20"/>
          <w:color w:val="auto"/>
        </w:rPr>
        <w:t>You are entitled to designate a beneficiary for your restricted stock account. Please contact Cindy Kessel Guild at (972) 940-6708 for the necessary form should you wish to do so. Additional information concerning your award, including information on the tax consequences of your award and certain additional information required by the Securities Act of 1933, is also enclosed with this letter.</w:t>
      </w:r>
    </w:p>
    <w:p>
      <w:pPr>
        <w:spacing w:after="0" w:line="191" w:lineRule="exact"/>
        <w:rPr>
          <w:sz w:val="20"/>
          <w:szCs w:val="20"/>
          <w:color w:val="auto"/>
        </w:rPr>
      </w:pPr>
    </w:p>
    <w:p>
      <w:pPr>
        <w:jc w:val="center"/>
        <w:ind w:right="1020"/>
        <w:spacing w:after="0"/>
        <w:rPr>
          <w:sz w:val="20"/>
          <w:szCs w:val="20"/>
          <w:color w:val="auto"/>
        </w:rPr>
      </w:pPr>
      <w:r>
        <w:rPr>
          <w:rFonts w:ascii="Arial" w:cs="Arial" w:eastAsia="Arial" w:hAnsi="Arial"/>
          <w:sz w:val="19"/>
          <w:szCs w:val="19"/>
          <w:color w:val="auto"/>
        </w:rPr>
        <w:t>Should you have any questions concerning the Plan or this award, please feel free to contact me at (972) 940-6716.</w:t>
      </w:r>
    </w:p>
    <w:p>
      <w:pPr>
        <w:spacing w:after="0" w:line="24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Sincerely,</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[signed by Stephen A. Littleton]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Enclosures</w:t>
      </w:r>
    </w:p>
    <w:p>
      <w:pPr>
        <w:sectPr>
          <w:pgSz w:w="11900" w:h="16838" w:orient="portrait"/>
          <w:cols w:equalWidth="0" w:num="1">
            <w:col w:w="11160"/>
          </w:cols>
          <w:pgMar w:left="320" w:top="630" w:right="419" w:bottom="1440"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6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c>
          <w:tcPr>
            <w:tcW w:w="0" w:type="dxa"/>
            <w:vAlign w:val="bottom"/>
          </w:tcPr>
          <w:p>
            <w:pPr>
              <w:spacing w:after="0"/>
              <w:rPr>
                <w:sz w:val="1"/>
                <w:szCs w:val="1"/>
                <w:color w:val="auto"/>
              </w:rPr>
            </w:pPr>
          </w:p>
        </w:tc>
      </w:tr>
      <w:tr>
        <w:trPr>
          <w:trHeight w:val="392"/>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Subsidiaries of the Registrant </w:t>
            </w:r>
            <w:r>
              <w:rPr>
                <w:rFonts w:ascii="Times New Roman" w:cs="Times New Roman" w:eastAsia="Times New Roman" w:hAnsi="Times New Roman"/>
                <w:sz w:val="18"/>
                <w:szCs w:val="18"/>
                <w:b w:val="1"/>
                <w:bCs w:val="1"/>
                <w:i w:val="1"/>
                <w:iCs w:val="1"/>
                <w:color w:val="auto"/>
              </w:rPr>
              <w:t>(1), (2)</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b w:val="1"/>
                <w:bCs w:val="1"/>
                <w:color w:val="auto"/>
              </w:rPr>
              <w:t xml:space="preserve"> – at December 31, 2020</w:t>
            </w:r>
          </w:p>
        </w:tc>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6680" w:type="dxa"/>
            <w:vAlign w:val="bottom"/>
          </w:tcPr>
          <w:p>
            <w:pPr>
              <w:spacing w:after="0"/>
              <w:rPr>
                <w:sz w:val="24"/>
                <w:szCs w:val="24"/>
                <w:color w:val="auto"/>
              </w:rPr>
            </w:pPr>
          </w:p>
        </w:tc>
        <w:tc>
          <w:tcPr>
            <w:tcW w:w="2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Percentage of</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18"/>
                <w:szCs w:val="18"/>
                <w:color w:val="auto"/>
              </w:rPr>
            </w:pPr>
          </w:p>
        </w:tc>
        <w:tc>
          <w:tcPr>
            <w:tcW w:w="25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8"/>
              </w:rPr>
              <w:t>Voting Securities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18"/>
                <w:szCs w:val="18"/>
                <w:color w:val="auto"/>
              </w:rPr>
            </w:pPr>
          </w:p>
        </w:tc>
        <w:tc>
          <w:tcPr>
            <w:tcW w:w="25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Owned Directly</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18"/>
                <w:szCs w:val="18"/>
                <w:color w:val="auto"/>
              </w:rPr>
            </w:pPr>
          </w:p>
        </w:tc>
        <w:tc>
          <w:tcPr>
            <w:tcW w:w="25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or Indirectly by</w:t>
            </w:r>
          </w:p>
        </w:tc>
        <w:tc>
          <w:tcPr>
            <w:tcW w:w="2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State or</w:t>
            </w:r>
          </w:p>
        </w:tc>
        <w:tc>
          <w:tcPr>
            <w:tcW w:w="0" w:type="dxa"/>
            <w:vAlign w:val="bottom"/>
          </w:tcPr>
          <w:p>
            <w:pPr>
              <w:spacing w:after="0"/>
              <w:rPr>
                <w:sz w:val="1"/>
                <w:szCs w:val="1"/>
                <w:color w:val="auto"/>
              </w:rPr>
            </w:pPr>
          </w:p>
        </w:tc>
      </w:tr>
      <w:tr>
        <w:trPr>
          <w:trHeight w:val="234"/>
        </w:trPr>
        <w:tc>
          <w:tcPr>
            <w:tcW w:w="6680" w:type="dxa"/>
            <w:vAlign w:val="bottom"/>
          </w:tcPr>
          <w:p>
            <w:pPr>
              <w:spacing w:after="0"/>
              <w:rPr>
                <w:sz w:val="20"/>
                <w:szCs w:val="20"/>
                <w:color w:val="auto"/>
              </w:rPr>
            </w:pPr>
          </w:p>
        </w:tc>
        <w:tc>
          <w:tcPr>
            <w:tcW w:w="2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Registrant</w:t>
            </w:r>
          </w:p>
        </w:tc>
        <w:tc>
          <w:tcPr>
            <w:tcW w:w="2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Country of Organization</w:t>
            </w:r>
          </w:p>
        </w:tc>
        <w:tc>
          <w:tcPr>
            <w:tcW w:w="0" w:type="dxa"/>
            <w:vAlign w:val="bottom"/>
          </w:tcPr>
          <w:p>
            <w:pPr>
              <w:spacing w:after="0"/>
              <w:rPr>
                <w:sz w:val="1"/>
                <w:szCs w:val="1"/>
                <w:color w:val="auto"/>
              </w:rPr>
            </w:pPr>
          </w:p>
        </w:tc>
      </w:tr>
      <w:tr>
        <w:trPr>
          <w:trHeight w:val="27"/>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Aera Energy LLC </w:t>
            </w:r>
            <w:r>
              <w:rPr>
                <w:rFonts w:ascii="Times New Roman" w:cs="Times New Roman" w:eastAsia="Times New Roman" w:hAnsi="Times New Roman"/>
                <w:sz w:val="18"/>
                <w:szCs w:val="18"/>
                <w:i w:val="1"/>
                <w:iCs w:val="1"/>
                <w:color w:val="auto"/>
              </w:rPr>
              <w:t>(5)</w:t>
            </w:r>
          </w:p>
        </w:tc>
        <w:tc>
          <w:tcPr>
            <w:tcW w:w="20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80" w:type="dxa"/>
            <w:vAlign w:val="bottom"/>
            <w:vMerge w:val="continue"/>
          </w:tcPr>
          <w:p>
            <w:pPr>
              <w:spacing w:after="0"/>
              <w:rPr>
                <w:sz w:val="21"/>
                <w:szCs w:val="2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48.2</w:t>
            </w:r>
          </w:p>
        </w:tc>
        <w:tc>
          <w:tcPr>
            <w:tcW w:w="460" w:type="dxa"/>
            <w:vAlign w:val="bottom"/>
          </w:tcPr>
          <w:p>
            <w:pPr>
              <w:spacing w:after="0"/>
              <w:rPr>
                <w:sz w:val="21"/>
                <w:szCs w:val="21"/>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AKG Marketing Company Limited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87.5</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Al-Jubail Petrochemical Company </w:t>
            </w:r>
            <w:r>
              <w:rPr>
                <w:rFonts w:ascii="Times New Roman" w:cs="Times New Roman" w:eastAsia="Times New Roman" w:hAnsi="Times New Roman"/>
                <w:sz w:val="18"/>
                <w:szCs w:val="18"/>
                <w:i w:val="1"/>
                <w:iCs w:val="1"/>
                <w:color w:val="auto"/>
              </w:rPr>
              <w:t>(4) (5)</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Alberta Products Pipe Line Ltd. </w:t>
            </w:r>
            <w:r>
              <w:rPr>
                <w:rFonts w:ascii="Times New Roman" w:cs="Times New Roman" w:eastAsia="Times New Roman" w:hAnsi="Times New Roman"/>
                <w:sz w:val="18"/>
                <w:szCs w:val="18"/>
                <w:i w:val="1"/>
                <w:iCs w:val="1"/>
                <w:color w:val="auto"/>
              </w:rPr>
              <w:t>(5)</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Ampolex (Cepu) Pte Ltd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Ancon Insurance Company, Inc.</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Vermont</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Barzan Gas Company Limited </w:t>
            </w:r>
            <w:r>
              <w:rPr>
                <w:rFonts w:ascii="Times New Roman" w:cs="Times New Roman" w:eastAsia="Times New Roman" w:hAnsi="Times New Roman"/>
                <w:sz w:val="18"/>
                <w:szCs w:val="18"/>
                <w:i w:val="1"/>
                <w:iCs w:val="1"/>
                <w:color w:val="auto"/>
              </w:rPr>
              <w:t>(5)</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BEB Erdgas und Erdoel GmbH &amp; Co. KG </w:t>
            </w:r>
            <w:r>
              <w:rPr>
                <w:rFonts w:ascii="Times New Roman" w:cs="Times New Roman" w:eastAsia="Times New Roman" w:hAnsi="Times New Roman"/>
                <w:sz w:val="18"/>
                <w:szCs w:val="18"/>
                <w:i w:val="1"/>
                <w:iCs w:val="1"/>
                <w:color w:val="auto"/>
              </w:rPr>
              <w:t>(4) (5)</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Cameroon Oil Transportation Company S.A. </w:t>
            </w:r>
            <w:r>
              <w:rPr>
                <w:rFonts w:ascii="Times New Roman" w:cs="Times New Roman" w:eastAsia="Times New Roman" w:hAnsi="Times New Roman"/>
                <w:sz w:val="18"/>
                <w:szCs w:val="18"/>
                <w:i w:val="1"/>
                <w:iCs w:val="1"/>
                <w:color w:val="auto"/>
              </w:rPr>
              <w:t>(5)</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41.06</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Cameroon</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 Imperial Oil Limited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69.6</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Caspian Pipeline Consortium </w:t>
            </w:r>
            <w:r>
              <w:rPr>
                <w:rFonts w:ascii="Times New Roman" w:cs="Times New Roman" w:eastAsia="Times New Roman" w:hAnsi="Times New Roman"/>
                <w:sz w:val="18"/>
                <w:szCs w:val="18"/>
                <w:i w:val="1"/>
                <w:iCs w:val="1"/>
                <w:color w:val="auto"/>
              </w:rPr>
              <w:t>(5)</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Russia/Kazakhstan</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CORAL FLNG, S.A. </w:t>
            </w:r>
            <w:r>
              <w:rPr>
                <w:rFonts w:ascii="Times New Roman" w:cs="Times New Roman" w:eastAsia="Times New Roman" w:hAnsi="Times New Roman"/>
                <w:sz w:val="18"/>
                <w:szCs w:val="18"/>
                <w:i w:val="1"/>
                <w:iCs w:val="1"/>
                <w:color w:val="auto"/>
              </w:rPr>
              <w:t>(5)</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Mozambique</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Cross Timbers Energy, LLC </w:t>
            </w:r>
            <w:r>
              <w:rPr>
                <w:rFonts w:ascii="Times New Roman" w:cs="Times New Roman" w:eastAsia="Times New Roman" w:hAnsi="Times New Roman"/>
                <w:sz w:val="18"/>
                <w:szCs w:val="18"/>
                <w:i w:val="1"/>
                <w:iCs w:val="1"/>
                <w:color w:val="auto"/>
              </w:rPr>
              <w:t>(4) (5)</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Ellora Energy Inc.</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Australia Resources Pty Ltd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Deutschland GmbH</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Erdgas Beteiligungsgesellschaft mbH</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Exploration and Production Angola (Overseas) Limited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Exploration and Production Chad Inc.</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Exploration and Production Guyana Limited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Exploration and Production Nigeria (Deepwater) Limited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Nigeria</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Exploration and Production Nigeria (Offshore East) Limited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Nigeria</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Exploration and Production Nigeria Limited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Nigeria</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Exploration and Production UK Limited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Exploration Angola (Block 15) Limited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Exploration Angola (Block 17) Limited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Italiana S.r.l.</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Nederland B.V.</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Norge AS</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Petroleum Company, Limited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Raffinage</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82.89</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Societe Anonyme Francaise</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82.89</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(Thailand) Public Company Limited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65.99</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Thailand</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 Azerbaijan Limited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 Chemical Arabia Inc.</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 Neftegas Limited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ExxonMobil (China) Investment Co., Ltd.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ExxonMobil (Taicang) Petroleum Co., Ltd.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ExxonMobil Abu Dhabi Offshore Petroleum Company Limited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84"/>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ExxonMobil Africa and Middle East Management Ltd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765" w:right="339" w:bottom="144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2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Percentage of</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2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Voting Securities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2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Owned Directly</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2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or Indirectly by</w:t>
            </w:r>
          </w:p>
        </w:tc>
        <w:tc>
          <w:tcPr>
            <w:tcW w:w="2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State or</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p>
        </w:tc>
        <w:tc>
          <w:tcPr>
            <w:tcW w:w="2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Registrant</w:t>
            </w:r>
          </w:p>
        </w:tc>
        <w:tc>
          <w:tcPr>
            <w:tcW w:w="2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Country of Organization</w:t>
            </w:r>
          </w:p>
        </w:tc>
        <w:tc>
          <w:tcPr>
            <w:tcW w:w="0" w:type="dxa"/>
            <w:vAlign w:val="bottom"/>
          </w:tcPr>
          <w:p>
            <w:pPr>
              <w:spacing w:after="0"/>
              <w:rPr>
                <w:sz w:val="1"/>
                <w:szCs w:val="1"/>
                <w:color w:val="auto"/>
              </w:rPr>
            </w:pPr>
          </w:p>
        </w:tc>
      </w:tr>
      <w:tr>
        <w:trPr>
          <w:trHeight w:val="27"/>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ExxonMobil Alaska Production Inc.</w:t>
            </w:r>
          </w:p>
        </w:tc>
        <w:tc>
          <w:tcPr>
            <w:tcW w:w="20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20" w:type="dxa"/>
            <w:vAlign w:val="bottom"/>
            <w:vMerge w:val="continue"/>
          </w:tcPr>
          <w:p>
            <w:pPr>
              <w:spacing w:after="0"/>
              <w:rPr>
                <w:sz w:val="21"/>
                <w:szCs w:val="21"/>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1"/>
                <w:szCs w:val="21"/>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Asia Pacific Pte. Ltd.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Australia Pty Ltd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Barzan Limited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Canada Export Trading LLC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Canada Ltd.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Canada Properties</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Canada Resources Company</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Capital Netherlands B.V.</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Central Europe Holding GmbH</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Cepu Limited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Bermuda</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Chemical France</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Chemical Gulf Coast Investments LLC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Chemical Holland B.V.</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China Petroleum &amp; Petrochemical Company Limited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Development Africa B.V.</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Egypt (S.A.E.)</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Egypt</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Exploracao Brasil Ltda</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Exploration and Production Malaysia Inc.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Exploration and Production Romania Limited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Exploration and Production Tanzania Limited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Exploration Argentina Sociedad de Responsabilidad Limitada</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Argentina</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Finance Company Limited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Financial Investment Company Limited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Gas Marketing Europe Limited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Global Services Company</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Holding Company Holland LLC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Hong Kong Limited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Investments (Dubai) LTD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Iraq Limited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Italiana Gas S.r.l.</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Kazakhstan Inc.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Kazakhstan Ventures Inc.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LNG Services B.V.</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Marine Limited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Mexico, S.A. de C.V.</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Oil Corporation</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Permian Highway Pipeline LLC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Petroleum &amp; Chemical BV</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Pipeline Company</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PNG Antelope Limited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Papua New Guinea</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PNG Limited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Papua New Guinea</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Production Deutschland GmbH</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Qatargas (II) Limited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823" w:right="339" w:bottom="1440" w:gutter="0" w:footer="0" w:header="0"/>
        </w:sect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20"/>
          </w:cols>
          <w:pgMar w:left="340" w:top="823" w:right="339" w:bottom="1440"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2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Percentage of</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2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Voting Securities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2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Owned Directly</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2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or Indirectly by</w:t>
            </w:r>
          </w:p>
        </w:tc>
        <w:tc>
          <w:tcPr>
            <w:tcW w:w="2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State or</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p>
        </w:tc>
        <w:tc>
          <w:tcPr>
            <w:tcW w:w="2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Registrant</w:t>
            </w:r>
          </w:p>
        </w:tc>
        <w:tc>
          <w:tcPr>
            <w:tcW w:w="2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Country of Organization</w:t>
            </w:r>
          </w:p>
        </w:tc>
        <w:tc>
          <w:tcPr>
            <w:tcW w:w="0" w:type="dxa"/>
            <w:vAlign w:val="bottom"/>
          </w:tcPr>
          <w:p>
            <w:pPr>
              <w:spacing w:after="0"/>
              <w:rPr>
                <w:sz w:val="1"/>
                <w:szCs w:val="1"/>
                <w:color w:val="auto"/>
              </w:rPr>
            </w:pPr>
          </w:p>
        </w:tc>
      </w:tr>
      <w:tr>
        <w:trPr>
          <w:trHeight w:val="27"/>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ExxonMobil Qatargas Inc.</w:t>
            </w:r>
          </w:p>
        </w:tc>
        <w:tc>
          <w:tcPr>
            <w:tcW w:w="20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20" w:type="dxa"/>
            <w:vAlign w:val="bottom"/>
            <w:vMerge w:val="continue"/>
          </w:tcPr>
          <w:p>
            <w:pPr>
              <w:spacing w:after="0"/>
              <w:rPr>
                <w:sz w:val="21"/>
                <w:szCs w:val="21"/>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1"/>
                <w:szCs w:val="21"/>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Ras Laffan (III) Limited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Rasgas Inc.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Research and Engineering Company</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Sales and Supply LLC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ExxonMobil Upstream Integrated Solutions Company</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Fujian Refining &amp; Petrochemical Co. Ltd. </w:t>
            </w:r>
            <w:r>
              <w:rPr>
                <w:rFonts w:ascii="Times New Roman" w:cs="Times New Roman" w:eastAsia="Times New Roman" w:hAnsi="Times New Roman"/>
                <w:sz w:val="18"/>
                <w:szCs w:val="18"/>
                <w:i w:val="1"/>
                <w:iCs w:val="1"/>
                <w:color w:val="auto"/>
              </w:rPr>
              <w:t>(5)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Golden Pass LNG Terminal Investments LLC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Golden Pass LNG Terminal LLC </w:t>
            </w:r>
            <w:r>
              <w:rPr>
                <w:rFonts w:ascii="Times New Roman" w:cs="Times New Roman" w:eastAsia="Times New Roman" w:hAnsi="Times New Roman"/>
                <w:sz w:val="18"/>
                <w:szCs w:val="18"/>
                <w:i w:val="1"/>
                <w:iCs w:val="1"/>
                <w:color w:val="auto"/>
              </w:rPr>
              <w:t>(5)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Golden Pass Pipeline LLC </w:t>
            </w:r>
            <w:r>
              <w:rPr>
                <w:rFonts w:ascii="Times New Roman" w:cs="Times New Roman" w:eastAsia="Times New Roman" w:hAnsi="Times New Roman"/>
                <w:sz w:val="18"/>
                <w:szCs w:val="18"/>
                <w:i w:val="1"/>
                <w:iCs w:val="1"/>
                <w:color w:val="auto"/>
              </w:rPr>
              <w:t>(5)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Gulf Coast Growth Ventures LLC </w:t>
            </w:r>
            <w:r>
              <w:rPr>
                <w:rFonts w:ascii="Times New Roman" w:cs="Times New Roman" w:eastAsia="Times New Roman" w:hAnsi="Times New Roman"/>
                <w:sz w:val="18"/>
                <w:szCs w:val="18"/>
                <w:i w:val="1"/>
                <w:iCs w:val="1"/>
                <w:color w:val="auto"/>
              </w:rPr>
              <w:t>(4) (5)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Imperial Oil Limited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69.6</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Imperial Oil Resources Limited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69.6</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Imperial Oil Resources N.W.T. Limited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69.6</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Imperial Oil/Petroliere Imperiale</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69.6</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Marine Well Containment Company LLC </w:t>
            </w:r>
            <w:r>
              <w:rPr>
                <w:rFonts w:ascii="Times New Roman" w:cs="Times New Roman" w:eastAsia="Times New Roman" w:hAnsi="Times New Roman"/>
                <w:sz w:val="18"/>
                <w:szCs w:val="18"/>
                <w:i w:val="1"/>
                <w:iCs w:val="1"/>
                <w:color w:val="auto"/>
              </w:rPr>
              <w:t>(5)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Mobil Australia Resources Company Pty Limited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Mobil California Exploration &amp; Producing Asset Company</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Mobil Corporation</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Mobil Equatorial Guinea Inc.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Mobil Oil Australia Pty Ltd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Mobil Oil Exploration &amp; Producing Southeast Inc.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Mobil Oil New Zealand Limited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Zealand</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Mobil Producing Nigeria Unlimited</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Nigeria</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Mobil Yanbu Petrochemical Company Inc.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Mobil Yanbu Refining Company Inc.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Mountain Gathering, LLC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Mozambique Rovuma Venture, S.p.A. </w:t>
            </w:r>
            <w:r>
              <w:rPr>
                <w:rFonts w:ascii="Times New Roman" w:cs="Times New Roman" w:eastAsia="Times New Roman" w:hAnsi="Times New Roman"/>
                <w:sz w:val="18"/>
                <w:szCs w:val="18"/>
                <w:i w:val="1"/>
                <w:iCs w:val="1"/>
                <w:color w:val="auto"/>
              </w:rPr>
              <w:t>(5)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35.714</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Nederlandse Aardolie Maatschappij B.V. </w:t>
            </w:r>
            <w:r>
              <w:rPr>
                <w:rFonts w:ascii="Times New Roman" w:cs="Times New Roman" w:eastAsia="Times New Roman" w:hAnsi="Times New Roman"/>
                <w:sz w:val="18"/>
                <w:szCs w:val="18"/>
                <w:i w:val="1"/>
                <w:iCs w:val="1"/>
                <w:color w:val="auto"/>
              </w:rPr>
              <w:t>(4) (5)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Palmetto Transoceanic LLC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Papua New Guinea Liquefied Natural Gas Global Company LDC </w:t>
            </w:r>
            <w:r>
              <w:rPr>
                <w:rFonts w:ascii="Times New Roman" w:cs="Times New Roman" w:eastAsia="Times New Roman" w:hAnsi="Times New Roman"/>
                <w:sz w:val="18"/>
                <w:szCs w:val="18"/>
                <w:i w:val="1"/>
                <w:iCs w:val="1"/>
                <w:color w:val="auto"/>
              </w:rPr>
              <w:t>(5)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33.2</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Permian Express Partners LLC </w:t>
            </w:r>
            <w:r>
              <w:rPr>
                <w:rFonts w:ascii="Times New Roman" w:cs="Times New Roman" w:eastAsia="Times New Roman" w:hAnsi="Times New Roman"/>
                <w:sz w:val="18"/>
                <w:szCs w:val="18"/>
                <w:i w:val="1"/>
                <w:iCs w:val="1"/>
                <w:color w:val="auto"/>
              </w:rPr>
              <w:t>(5)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Permian Highway Pipeline LLC </w:t>
            </w:r>
            <w:r>
              <w:rPr>
                <w:rFonts w:ascii="Times New Roman" w:cs="Times New Roman" w:eastAsia="Times New Roman" w:hAnsi="Times New Roman"/>
                <w:sz w:val="18"/>
                <w:szCs w:val="18"/>
                <w:i w:val="1"/>
                <w:iCs w:val="1"/>
                <w:color w:val="auto"/>
              </w:rPr>
              <w:t>(5)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Phillips Exploration, LLC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Qatar Liquefied Gas Company Limited </w:t>
            </w:r>
            <w:r>
              <w:rPr>
                <w:rFonts w:ascii="Times New Roman" w:cs="Times New Roman" w:eastAsia="Times New Roman" w:hAnsi="Times New Roman"/>
                <w:sz w:val="18"/>
                <w:szCs w:val="18"/>
                <w:i w:val="1"/>
                <w:iCs w:val="1"/>
                <w:color w:val="auto"/>
              </w:rPr>
              <w:t>(5)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Qatar Liquefied Gas Company Limited (2) </w:t>
            </w:r>
            <w:r>
              <w:rPr>
                <w:rFonts w:ascii="Times New Roman" w:cs="Times New Roman" w:eastAsia="Times New Roman" w:hAnsi="Times New Roman"/>
                <w:sz w:val="18"/>
                <w:szCs w:val="18"/>
                <w:i w:val="1"/>
                <w:iCs w:val="1"/>
                <w:color w:val="auto"/>
              </w:rPr>
              <w:t>(5)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24.15</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Ras Laffan Liquefied Natural Gas Company Limited </w:t>
            </w:r>
            <w:r>
              <w:rPr>
                <w:rFonts w:ascii="Times New Roman" w:cs="Times New Roman" w:eastAsia="Times New Roman" w:hAnsi="Times New Roman"/>
                <w:sz w:val="18"/>
                <w:szCs w:val="18"/>
                <w:i w:val="1"/>
                <w:iCs w:val="1"/>
                <w:color w:val="auto"/>
              </w:rPr>
              <w:t>(5)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24.999</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Ras Laffan Liquefied Natural Gas Company Limited (II) </w:t>
            </w:r>
            <w:r>
              <w:rPr>
                <w:rFonts w:ascii="Times New Roman" w:cs="Times New Roman" w:eastAsia="Times New Roman" w:hAnsi="Times New Roman"/>
                <w:sz w:val="18"/>
                <w:szCs w:val="18"/>
                <w:i w:val="1"/>
                <w:iCs w:val="1"/>
                <w:color w:val="auto"/>
              </w:rPr>
              <w:t>(5)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30.517</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Ras Laffan Liquefied Natural Gas Company Limited (3) </w:t>
            </w:r>
            <w:r>
              <w:rPr>
                <w:rFonts w:ascii="Times New Roman" w:cs="Times New Roman" w:eastAsia="Times New Roman" w:hAnsi="Times New Roman"/>
                <w:sz w:val="18"/>
                <w:szCs w:val="18"/>
                <w:i w:val="1"/>
                <w:iCs w:val="1"/>
                <w:color w:val="auto"/>
              </w:rPr>
              <w:t>(5)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Saudi Aramco Mobil Refinery Company Ltd. </w:t>
            </w:r>
            <w:r>
              <w:rPr>
                <w:rFonts w:ascii="Times New Roman" w:cs="Times New Roman" w:eastAsia="Times New Roman" w:hAnsi="Times New Roman"/>
                <w:sz w:val="18"/>
                <w:szCs w:val="18"/>
                <w:i w:val="1"/>
                <w:iCs w:val="1"/>
                <w:color w:val="auto"/>
              </w:rPr>
              <w:t>(4) (5)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Saudi Yanbu Petrochemical Co. </w:t>
            </w:r>
            <w:r>
              <w:rPr>
                <w:rFonts w:ascii="Times New Roman" w:cs="Times New Roman" w:eastAsia="Times New Roman" w:hAnsi="Times New Roman"/>
                <w:sz w:val="18"/>
                <w:szCs w:val="18"/>
                <w:i w:val="1"/>
                <w:iCs w:val="1"/>
                <w:color w:val="auto"/>
              </w:rPr>
              <w:t>(4) (5)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SeaRiver Maritime, Inc.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SeaRiver Maritime LLC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South Hook LNG Terminal Company Limited </w:t>
            </w:r>
            <w:r>
              <w:rPr>
                <w:rFonts w:ascii="Times New Roman" w:cs="Times New Roman" w:eastAsia="Times New Roman" w:hAnsi="Times New Roman"/>
                <w:sz w:val="18"/>
                <w:szCs w:val="18"/>
                <w:i w:val="1"/>
                <w:iCs w:val="1"/>
                <w:color w:val="auto"/>
              </w:rPr>
              <w:t>(5)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24.15</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823" w:right="339" w:bottom="1440" w:gutter="0" w:footer="0" w:header="0"/>
        </w:sect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20"/>
          </w:cols>
          <w:pgMar w:left="340" w:top="823" w:right="339" w:bottom="1440" w:gutter="0" w:footer="0" w:header="0"/>
          <w:type w:val="continuous"/>
        </w:sectPr>
      </w:pPr>
    </w:p>
    <w:bookmarkStart w:id="132" w:name="page133"/>
    <w:bookmarkEnd w:id="132"/>
    <w:tbl>
      <w:tblPr>
        <w:tblLayout w:type="fixed"/>
        <w:tblInd w:w="2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2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Percentage of</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2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Voting Securities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2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Owned Directly</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18"/>
                <w:szCs w:val="18"/>
                <w:color w:val="auto"/>
              </w:rPr>
            </w:pPr>
          </w:p>
        </w:tc>
        <w:tc>
          <w:tcPr>
            <w:tcW w:w="2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or Indirectly by</w:t>
            </w:r>
          </w:p>
        </w:tc>
        <w:tc>
          <w:tcPr>
            <w:tcW w:w="20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State or</w:t>
            </w:r>
          </w:p>
        </w:tc>
        <w:tc>
          <w:tcPr>
            <w:tcW w:w="0" w:type="dxa"/>
            <w:vAlign w:val="bottom"/>
          </w:tcPr>
          <w:p>
            <w:pPr>
              <w:spacing w:after="0"/>
              <w:rPr>
                <w:sz w:val="1"/>
                <w:szCs w:val="1"/>
                <w:color w:val="auto"/>
              </w:rPr>
            </w:pPr>
          </w:p>
        </w:tc>
      </w:tr>
      <w:tr>
        <w:trPr>
          <w:trHeight w:val="234"/>
        </w:trPr>
        <w:tc>
          <w:tcPr>
            <w:tcW w:w="6720" w:type="dxa"/>
            <w:vAlign w:val="bottom"/>
          </w:tcPr>
          <w:p>
            <w:pPr>
              <w:spacing w:after="0"/>
              <w:rPr>
                <w:sz w:val="20"/>
                <w:szCs w:val="20"/>
                <w:color w:val="auto"/>
              </w:rPr>
            </w:pPr>
          </w:p>
        </w:tc>
        <w:tc>
          <w:tcPr>
            <w:tcW w:w="2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Registrant</w:t>
            </w:r>
          </w:p>
        </w:tc>
        <w:tc>
          <w:tcPr>
            <w:tcW w:w="2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Country of Organization</w:t>
            </w:r>
          </w:p>
        </w:tc>
        <w:tc>
          <w:tcPr>
            <w:tcW w:w="0" w:type="dxa"/>
            <w:vAlign w:val="bottom"/>
          </w:tcPr>
          <w:p>
            <w:pPr>
              <w:spacing w:after="0"/>
              <w:rPr>
                <w:sz w:val="1"/>
                <w:szCs w:val="1"/>
                <w:color w:val="auto"/>
              </w:rPr>
            </w:pPr>
          </w:p>
        </w:tc>
      </w:tr>
      <w:tr>
        <w:trPr>
          <w:trHeight w:val="27"/>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Tengizchevroil, LLP </w:t>
            </w:r>
            <w:r>
              <w:rPr>
                <w:rFonts w:ascii="Times New Roman" w:cs="Times New Roman" w:eastAsia="Times New Roman" w:hAnsi="Times New Roman"/>
                <w:sz w:val="18"/>
                <w:szCs w:val="18"/>
                <w:i w:val="1"/>
                <w:iCs w:val="1"/>
                <w:color w:val="auto"/>
              </w:rPr>
              <w:t>(5)</w:t>
            </w:r>
          </w:p>
        </w:tc>
        <w:tc>
          <w:tcPr>
            <w:tcW w:w="20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20" w:type="dxa"/>
            <w:vAlign w:val="bottom"/>
            <w:vMerge w:val="continue"/>
          </w:tcPr>
          <w:p>
            <w:pPr>
              <w:spacing w:after="0"/>
              <w:rPr>
                <w:sz w:val="21"/>
                <w:szCs w:val="21"/>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380" w:type="dxa"/>
            <w:vAlign w:val="bottom"/>
          </w:tcPr>
          <w:p>
            <w:pPr>
              <w:spacing w:after="0"/>
              <w:rPr>
                <w:sz w:val="21"/>
                <w:szCs w:val="21"/>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Terminale GNL Adriatico S.r.l. </w:t>
            </w:r>
            <w:r>
              <w:rPr>
                <w:rFonts w:ascii="Times New Roman" w:cs="Times New Roman" w:eastAsia="Times New Roman" w:hAnsi="Times New Roman"/>
                <w:sz w:val="18"/>
                <w:szCs w:val="18"/>
                <w:i w:val="1"/>
                <w:iCs w:val="1"/>
                <w:color w:val="auto"/>
              </w:rPr>
              <w:t>(5)</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70.678</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Wink to Webster Pipeline LLC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Wolverine Pipe Line Company</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53.39</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Worex S.N.C.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82.891</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XH, LLC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XTO Delaware Basin, LLC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XTO Energy Canada</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84.8</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84"/>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XTO Energy Inc.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XTO Holdings, LLC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XTO Permian Midstream, LLC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8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XTO Permian Operating, LLC</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120" w:lineRule="exact"/>
        <w:rPr>
          <w:sz w:val="20"/>
          <w:szCs w:val="20"/>
          <w:color w:val="auto"/>
        </w:rPr>
      </w:pPr>
    </w:p>
    <w:p>
      <w:pPr>
        <w:jc w:val="both"/>
        <w:ind w:left="340" w:hanging="332"/>
        <w:spacing w:after="0" w:line="265" w:lineRule="auto"/>
        <w:tabs>
          <w:tab w:leader="none" w:pos="340" w:val="left"/>
        </w:tabs>
        <w:numPr>
          <w:ilvl w:val="0"/>
          <w:numId w:val="4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 the purposes of this list, if the registrant owns directly or indirectly approximately 50 percent of the voting securities of any person and approximately 50 percent of the voting securities of such person is owned directly or indirectly by another interest, or if the registrant includes its share of net income of any other unconsolidated person in consolidated net income, such person is deemed to be a subsidiary.</w:t>
      </w:r>
    </w:p>
    <w:p>
      <w:pPr>
        <w:spacing w:after="0" w:line="11"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4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With respect to certain companies, shares in names of nominees and qualifying shares in names of directors are included in the above percentages.</w:t>
      </w:r>
    </w:p>
    <w:p>
      <w:pPr>
        <w:spacing w:after="0" w:line="59" w:lineRule="exact"/>
        <w:rPr>
          <w:rFonts w:ascii="Times New Roman" w:cs="Times New Roman" w:eastAsia="Times New Roman" w:hAnsi="Times New Roman"/>
          <w:sz w:val="16"/>
          <w:szCs w:val="16"/>
          <w:i w:val="1"/>
          <w:iCs w:val="1"/>
          <w:color w:val="auto"/>
        </w:rPr>
      </w:pPr>
    </w:p>
    <w:p>
      <w:pPr>
        <w:ind w:left="340" w:hanging="332"/>
        <w:spacing w:after="0" w:line="283" w:lineRule="auto"/>
        <w:tabs>
          <w:tab w:leader="none" w:pos="340" w:val="left"/>
        </w:tabs>
        <w:numPr>
          <w:ilvl w:val="0"/>
          <w:numId w:val="4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names of other subsidiaries have been omitted from the above list since considered in the aggregate, they would not constitute a significant subsidiary under Securities and Exchange Commission Regulation S-X, Rule 1-02(w).</w:t>
      </w:r>
    </w:p>
    <w:p>
      <w:pPr>
        <w:spacing w:after="0" w:line="11" w:lineRule="exact"/>
        <w:rPr>
          <w:rFonts w:ascii="Times New Roman" w:cs="Times New Roman" w:eastAsia="Times New Roman" w:hAnsi="Times New Roman"/>
          <w:sz w:val="16"/>
          <w:szCs w:val="16"/>
          <w:i w:val="1"/>
          <w:iCs w:val="1"/>
          <w:color w:val="auto"/>
        </w:rPr>
      </w:pPr>
    </w:p>
    <w:p>
      <w:pPr>
        <w:ind w:left="340" w:hanging="332"/>
        <w:spacing w:after="0" w:line="281" w:lineRule="auto"/>
        <w:tabs>
          <w:tab w:leader="none" w:pos="340" w:val="left"/>
        </w:tabs>
        <w:numPr>
          <w:ilvl w:val="0"/>
          <w:numId w:val="4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registrant owns directly or indirectly approximately 50 percent of the securities of this person and approximately 50 percent of the voting securities of this person is owned directly or indirectly by another single interest.</w:t>
      </w:r>
    </w:p>
    <w:p>
      <w:pPr>
        <w:spacing w:after="0" w:line="1" w:lineRule="exact"/>
        <w:rPr>
          <w:rFonts w:ascii="Times New Roman" w:cs="Times New Roman" w:eastAsia="Times New Roman" w:hAnsi="Times New Roman"/>
          <w:sz w:val="16"/>
          <w:szCs w:val="16"/>
          <w:i w:val="1"/>
          <w:iCs w:val="1"/>
          <w:color w:val="auto"/>
        </w:rPr>
      </w:pPr>
    </w:p>
    <w:p>
      <w:pPr>
        <w:ind w:left="340" w:hanging="332"/>
        <w:spacing w:after="0" w:line="283" w:lineRule="auto"/>
        <w:tabs>
          <w:tab w:leader="none" w:pos="340" w:val="left"/>
        </w:tabs>
        <w:numPr>
          <w:ilvl w:val="0"/>
          <w:numId w:val="49"/>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investment in this unconsolidated person is represented by the registrant's percentage interest in the underlying net assets of such person. The accounting for these unconsolidated persons is referred to as the equity method of accounting.</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23"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Form S-3</w:t>
            </w:r>
          </w:p>
        </w:tc>
        <w:tc>
          <w:tcPr>
            <w:tcW w:w="1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(No. 333-237052)</w:t>
            </w:r>
          </w:p>
        </w:tc>
        <w:tc>
          <w:tcPr>
            <w:tcW w:w="4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Exxon Mobil Corporation Debt Securities;</w:t>
            </w:r>
          </w:p>
        </w:tc>
      </w:tr>
      <w:tr>
        <w:trPr>
          <w:trHeight w:val="55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Form S-8</w:t>
            </w:r>
          </w:p>
        </w:tc>
        <w:tc>
          <w:tcPr>
            <w:tcW w:w="1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(Nos. 333-145188,</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2003 Incentive Program of Exxon Mobil Corporation;</w:t>
            </w:r>
          </w:p>
        </w:tc>
      </w:tr>
      <w:tr>
        <w:trPr>
          <w:trHeight w:val="283"/>
        </w:trPr>
        <w:tc>
          <w:tcPr>
            <w:tcW w:w="1040" w:type="dxa"/>
            <w:vAlign w:val="bottom"/>
          </w:tcPr>
          <w:p>
            <w:pPr>
              <w:spacing w:after="0"/>
              <w:rPr>
                <w:sz w:val="24"/>
                <w:szCs w:val="24"/>
                <w:color w:val="auto"/>
              </w:rPr>
            </w:pPr>
          </w:p>
        </w:tc>
        <w:tc>
          <w:tcPr>
            <w:tcW w:w="19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333-110494,</w:t>
            </w:r>
          </w:p>
        </w:tc>
        <w:tc>
          <w:tcPr>
            <w:tcW w:w="5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83"/>
        </w:trPr>
        <w:tc>
          <w:tcPr>
            <w:tcW w:w="1040" w:type="dxa"/>
            <w:vAlign w:val="bottom"/>
          </w:tcPr>
          <w:p>
            <w:pPr>
              <w:spacing w:after="0"/>
              <w:rPr>
                <w:sz w:val="24"/>
                <w:szCs w:val="24"/>
                <w:color w:val="auto"/>
              </w:rPr>
            </w:pPr>
          </w:p>
        </w:tc>
        <w:tc>
          <w:tcPr>
            <w:tcW w:w="1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and 333-183012)</w:t>
            </w:r>
          </w:p>
        </w:tc>
        <w:tc>
          <w:tcPr>
            <w:tcW w:w="54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66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Form S-8</w:t>
            </w:r>
          </w:p>
        </w:tc>
        <w:tc>
          <w:tcPr>
            <w:tcW w:w="1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(No. 333-166576)</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ExxonMobil Savings Plan;</w:t>
            </w:r>
          </w:p>
        </w:tc>
      </w:tr>
      <w:tr>
        <w:trPr>
          <w:trHeight w:val="55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Form S-8</w:t>
            </w:r>
          </w:p>
        </w:tc>
        <w:tc>
          <w:tcPr>
            <w:tcW w:w="19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(No. 333-117980)</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2004 Non-employee Director Restricted Stock Plan</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620"/>
        <w:spacing w:after="0" w:line="297" w:lineRule="auto"/>
        <w:rPr>
          <w:sz w:val="20"/>
          <w:szCs w:val="20"/>
          <w:color w:val="auto"/>
        </w:rPr>
      </w:pPr>
      <w:r>
        <w:rPr>
          <w:rFonts w:ascii="Times New Roman" w:cs="Times New Roman" w:eastAsia="Times New Roman" w:hAnsi="Times New Roman"/>
          <w:sz w:val="18"/>
          <w:szCs w:val="18"/>
          <w:color w:val="auto"/>
        </w:rPr>
        <w:t>of Exxon Mobil Corporation of our report dated February 24, 2021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2021</w:t>
      </w:r>
    </w:p>
    <w:p>
      <w:pPr>
        <w:sectPr>
          <w:pgSz w:w="11900" w:h="16838" w:orient="portrait"/>
          <w:cols w:equalWidth="0" w:num="1">
            <w:col w:w="11240"/>
          </w:cols>
          <w:pgMar w:left="320" w:top="1008"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Darren W. Woods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Darren W. Woods, certify that:</w:t>
      </w:r>
    </w:p>
    <w:p>
      <w:pPr>
        <w:spacing w:after="0" w:line="225"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Exxon Mobil Corporation;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5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5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060" w:hanging="404"/>
        <w:spacing w:after="0" w:line="282" w:lineRule="auto"/>
        <w:tabs>
          <w:tab w:leader="none" w:pos="105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5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60" w:right="20" w:hanging="404"/>
        <w:spacing w:after="0" w:line="282" w:lineRule="auto"/>
        <w:tabs>
          <w:tab w:leader="none" w:pos="105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060" w:hanging="404"/>
        <w:spacing w:after="0" w:line="282" w:lineRule="auto"/>
        <w:tabs>
          <w:tab w:leader="none" w:pos="105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24, 2021</w:t>
      </w:r>
    </w:p>
    <w:p>
      <w:pPr>
        <w:spacing w:after="0" w:line="144"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/s/ DARREN W.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463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2546350" cy="8890"/>
                    </a:xfrm>
                    <a:prstGeom prst="rect">
                      <a:avLst/>
                    </a:prstGeom>
                    <a:noFill/>
                  </pic:spPr>
                </pic:pic>
              </a:graphicData>
            </a:graphic>
          </wp:anchor>
        </w:drawing>
      </w:r>
    </w:p>
    <w:p>
      <w:pPr>
        <w:spacing w:after="0" w:line="16"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Darren W. Woods</w:t>
      </w:r>
    </w:p>
    <w:p>
      <w:pPr>
        <w:spacing w:after="0" w:line="27"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Andrew P. Swiger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P. Swiger, certify that:</w:t>
      </w:r>
    </w:p>
    <w:p>
      <w:pPr>
        <w:spacing w:after="0" w:line="225"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Exxon Mobil Corporation;</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5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5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60" w:hanging="404"/>
        <w:spacing w:after="0" w:line="282" w:lineRule="auto"/>
        <w:tabs>
          <w:tab w:leader="none" w:pos="105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5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60" w:right="20" w:hanging="404"/>
        <w:spacing w:after="0" w:line="282" w:lineRule="auto"/>
        <w:tabs>
          <w:tab w:leader="none" w:pos="105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060" w:hanging="404"/>
        <w:spacing w:after="0" w:line="282" w:lineRule="auto"/>
        <w:tabs>
          <w:tab w:leader="none" w:pos="105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24, 2021</w:t>
      </w:r>
    </w:p>
    <w:p>
      <w:pPr>
        <w:ind w:left="8240"/>
        <w:spacing w:after="0"/>
        <w:rPr>
          <w:sz w:val="20"/>
          <w:szCs w:val="20"/>
          <w:color w:val="auto"/>
        </w:rPr>
      </w:pPr>
      <w:r>
        <w:rPr>
          <w:rFonts w:ascii="Times New Roman" w:cs="Times New Roman" w:eastAsia="Times New Roman" w:hAnsi="Times New Roman"/>
          <w:sz w:val="18"/>
          <w:szCs w:val="18"/>
          <w:color w:val="auto"/>
        </w:rPr>
        <w:t>/s/ ANDREW P. SWIGER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4445</wp:posOffset>
            </wp:positionV>
            <wp:extent cx="25463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ind w:left="8560"/>
        <w:spacing w:after="0"/>
        <w:rPr>
          <w:sz w:val="20"/>
          <w:szCs w:val="20"/>
          <w:color w:val="auto"/>
        </w:rPr>
      </w:pPr>
      <w:r>
        <w:rPr>
          <w:rFonts w:ascii="Times New Roman" w:cs="Times New Roman" w:eastAsia="Times New Roman" w:hAnsi="Times New Roman"/>
          <w:sz w:val="18"/>
          <w:szCs w:val="18"/>
          <w:color w:val="auto"/>
        </w:rPr>
        <w:t>Andrew P. Swiger</w:t>
      </w:r>
    </w:p>
    <w:p>
      <w:pPr>
        <w:spacing w:after="0" w:line="27"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23"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David S. Rosenthal</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 Rosenthal, certify that:</w:t>
      </w:r>
    </w:p>
    <w:p>
      <w:pPr>
        <w:spacing w:after="0" w:line="225"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Exxon Mobil Corporation;</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5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5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60" w:hanging="404"/>
        <w:spacing w:after="0" w:line="282" w:lineRule="auto"/>
        <w:tabs>
          <w:tab w:leader="none" w:pos="105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5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60" w:right="20" w:hanging="404"/>
        <w:spacing w:after="0" w:line="282" w:lineRule="auto"/>
        <w:tabs>
          <w:tab w:leader="none" w:pos="1057"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060" w:hanging="404"/>
        <w:spacing w:after="0" w:line="282" w:lineRule="auto"/>
        <w:tabs>
          <w:tab w:leader="none" w:pos="105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24, 2021</w:t>
      </w:r>
    </w:p>
    <w:p>
      <w:pPr>
        <w:spacing w:after="0" w:line="144"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DAVID S.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463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16"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David S. Rosenthal</w:t>
      </w:r>
    </w:p>
    <w:p>
      <w:pPr>
        <w:spacing w:after="0" w:line="2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23"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240"/>
          </w:cols>
          <w:pgMar w:left="320" w:top="887"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Darren W. Woods, the chief executive officer of Exxon Mobil Corporation (the “Company”), hereby certifies that, to his knowledge:</w:t>
      </w:r>
    </w:p>
    <w:p>
      <w:pPr>
        <w:spacing w:after="0" w:line="162" w:lineRule="exact"/>
        <w:rPr>
          <w:sz w:val="20"/>
          <w:szCs w:val="20"/>
          <w:color w:val="auto"/>
        </w:rPr>
      </w:pPr>
    </w:p>
    <w:p>
      <w:pPr>
        <w:ind w:left="500" w:hanging="492"/>
        <w:spacing w:after="0" w:line="282" w:lineRule="auto"/>
        <w:tabs>
          <w:tab w:leader="none" w:pos="49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2020, as filed with the Securities and Exchange Commission on the date hereof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24, 2021</w:t>
      </w:r>
    </w:p>
    <w:p>
      <w:pPr>
        <w:spacing w:after="0" w:line="320"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/s/ DARREN W.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688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Darren W. Woods</w:t>
      </w:r>
    </w:p>
    <w:p>
      <w:pPr>
        <w:spacing w:after="0" w:line="27"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p>
      <w:pPr>
        <w:sectPr>
          <w:pgSz w:w="11900" w:h="16838" w:orient="portrait"/>
          <w:cols w:equalWidth="0" w:num="1">
            <w:col w:w="11240"/>
          </w:cols>
          <w:pgMar w:left="320" w:top="900"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Andrew P. Swiger, the principal financial officer of Exxon Mobil Corporation (the “Company”), hereby certifies that, to his knowledge:</w:t>
      </w:r>
    </w:p>
    <w:p>
      <w:pPr>
        <w:spacing w:after="0" w:line="162" w:lineRule="exact"/>
        <w:rPr>
          <w:sz w:val="20"/>
          <w:szCs w:val="20"/>
          <w:color w:val="auto"/>
        </w:rPr>
      </w:pPr>
    </w:p>
    <w:p>
      <w:pPr>
        <w:ind w:left="500" w:hanging="492"/>
        <w:spacing w:after="0" w:line="282" w:lineRule="auto"/>
        <w:tabs>
          <w:tab w:leader="none" w:pos="49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2020, as filed with the Securities and Exchange Commission on the date hereof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24, 2021</w:t>
      </w:r>
    </w:p>
    <w:p>
      <w:pPr>
        <w:spacing w:after="0" w:line="320"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/s/ ANDREW P. SWIGER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3914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6"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Andrew P. Swiger</w:t>
      </w:r>
    </w:p>
    <w:p>
      <w:pPr>
        <w:spacing w:after="0" w:line="27"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23" w:lineRule="exact"/>
        <w:rPr>
          <w:sz w:val="20"/>
          <w:szCs w:val="20"/>
          <w:color w:val="auto"/>
        </w:rPr>
      </w:pPr>
    </w:p>
    <w:p>
      <w:pPr>
        <w:jc w:val="center"/>
        <w:ind w:left="73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David S. Rosenthal, the principal accounting officer of Exxon Mobil Corporation (the “Company”), hereby certifies that, to his knowledge:</w:t>
      </w:r>
    </w:p>
    <w:p>
      <w:pPr>
        <w:spacing w:after="0" w:line="162" w:lineRule="exact"/>
        <w:rPr>
          <w:sz w:val="20"/>
          <w:szCs w:val="20"/>
          <w:color w:val="auto"/>
        </w:rPr>
      </w:pPr>
    </w:p>
    <w:p>
      <w:pPr>
        <w:ind w:left="500" w:hanging="492"/>
        <w:spacing w:after="0" w:line="282" w:lineRule="auto"/>
        <w:tabs>
          <w:tab w:leader="none" w:pos="49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2020, as filed with the Securities and Exchange Commission on the date hereof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24, 2021</w:t>
      </w:r>
    </w:p>
    <w:p>
      <w:pPr>
        <w:spacing w:after="0" w:line="320"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color w:val="auto"/>
        </w:rPr>
        <w:t>/s/ DAVID S.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688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David S. Rosenthal</w:t>
      </w:r>
    </w:p>
    <w:p>
      <w:pPr>
        <w:spacing w:after="0" w:line="2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23"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decimal"/>
      <w:start w:val="3"/>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4"/>
    </w:lvl>
  </w:abstractNum>
  <w:abstractNum w:abstractNumId="7">
    <w:nsid w:val="737B8DDC"/>
    <w:multiLevelType w:val="hybridMultilevel"/>
    <w:lvl w:ilvl="0">
      <w:lvlJc w:val="left"/>
      <w:lvlText w:val="%1."/>
      <w:numFmt w:val="decimal"/>
      <w:start w:val="7"/>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decimal"/>
      <w:start w:val="14"/>
    </w:lvl>
  </w:abstractNum>
  <w:abstractNum w:abstractNumId="46">
    <w:nsid w:val="1BA026FA"/>
    <w:multiLevelType w:val="hybridMultilevel"/>
    <w:lvl w:ilvl="0">
      <w:lvlJc w:val="left"/>
      <w:lvlText w:val="%1"/>
      <w:numFmt w:val="decimal"/>
      <w:start w:val="21"/>
    </w:lvl>
  </w:abstractNum>
  <w:abstractNum w:abstractNumId="47">
    <w:nsid w:val="79A1DEAA"/>
    <w:multiLevelType w:val="hybridMultilevel"/>
    <w:lvl w:ilvl="0">
      <w:lvlJc w:val="left"/>
      <w:lvlText w:val="%1"/>
      <w:numFmt w:val="decimal"/>
      <w:start w:val="23"/>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decimal"/>
      <w:start w:val="1"/>
    </w:lvl>
    <w:lvl w:ilvl="1">
      <w:lvlJc w:val="left"/>
      <w:lvlText w:val="(%2)"/>
      <w:numFmt w:val="lowerLetter"/>
      <w:start w:val="1"/>
    </w:lvl>
  </w:abstractNum>
  <w:abstractNum w:abstractNumId="50">
    <w:nsid w:val="70C6A529"/>
    <w:multiLevelType w:val="hybridMultilevel"/>
    <w:lvl w:ilvl="0">
      <w:lvlJc w:val="left"/>
      <w:lvlText w:val="%1."/>
      <w:numFmt w:val="decimal"/>
      <w:start w:val="1"/>
    </w:lvl>
    <w:lvl w:ilvl="1">
      <w:lvlJc w:val="left"/>
      <w:lvlText w:val="(%2)"/>
      <w:numFmt w:val="lowerLetter"/>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lowerRoman"/>
      <w:start w:val="1"/>
    </w:lvl>
  </w:abstractNum>
  <w:abstractNum w:abstractNumId="53">
    <w:nsid w:val="4F4EF005"/>
    <w:multiLevelType w:val="hybridMultilevel"/>
    <w:lvl w:ilvl="0">
      <w:lvlJc w:val="left"/>
      <w:lvlText w:val="(%1)"/>
      <w:numFmt w:val="lowerRoman"/>
      <w:start w:val="1"/>
    </w:lvl>
  </w:abstractNum>
  <w:abstractNum w:abstractNumId="54">
    <w:nsid w:val="23F9C13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jpe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174" Type="http://schemas.openxmlformats.org/officeDocument/2006/relationships/hyperlink" Target="https://www.sec.gov/Archives/edgar/data/34088/000003408816000065/xomexhibit3i.htm" TargetMode="External"/><Relationship Id="rId175" Type="http://schemas.openxmlformats.org/officeDocument/2006/relationships/hyperlink" Target="https://www.sec.gov/Archives/edgar/data/34088/000003408820000019/xomexhibit3ii.htm" TargetMode="External"/><Relationship Id="rId176" Type="http://schemas.openxmlformats.org/officeDocument/2006/relationships/hyperlink" Target="https://www.sec.gov/Archives/edgar/data/34088/000003408820000016/xomexhibit4vi.htm" TargetMode="External"/><Relationship Id="rId177" Type="http://schemas.openxmlformats.org/officeDocument/2006/relationships/hyperlink" Target="https://www.sec.gov/Archives/edgar/data/34088/000003408818000015/xomexhibit10iiia1.htm" TargetMode="External"/><Relationship Id="rId178" Type="http://schemas.openxmlformats.org/officeDocument/2006/relationships/hyperlink" Target="https://www.sec.gov/Archives/edgar/data/34088/000003408817000017/xomexhibit10iiia2.htm" TargetMode="External"/><Relationship Id="rId179" Type="http://schemas.openxmlformats.org/officeDocument/2006/relationships/hyperlink" Target="https://www.sec.gov/Archives/edgar/data/34088/000003408820000095/xomexhibit9912012020.htm" TargetMode="External"/><Relationship Id="rId180" Type="http://schemas.openxmlformats.org/officeDocument/2006/relationships/hyperlink" Target="https://www.sec.gov/Archives/edgar/data/34088/000003408819000010/xomexhibit10iiib1.htm" TargetMode="External"/><Relationship Id="rId181" Type="http://schemas.openxmlformats.org/officeDocument/2006/relationships/hyperlink" Target="https://www.sec.gov/Archives/edgar/data/34088/000003408820000016/xomexhibit10iiib2.htm" TargetMode="External"/><Relationship Id="rId182" Type="http://schemas.openxmlformats.org/officeDocument/2006/relationships/hyperlink" Target="https://www.sec.gov/Archives/edgar/data/34088/000003408817000041/xomexhibit10iiic1.htm" TargetMode="External"/><Relationship Id="rId183" Type="http://schemas.openxmlformats.org/officeDocument/2006/relationships/hyperlink" Target="https://www.sec.gov/Archives/edgar/data/34088/000003408815000013/xom10iiic2.htm" TargetMode="External"/><Relationship Id="rId184" Type="http://schemas.openxmlformats.org/officeDocument/2006/relationships/hyperlink" Target="https://www.sec.gov/Archives/edgar/data/34088/000003408819000010/xomexhibit10iiic3.htm" TargetMode="External"/><Relationship Id="rId185" Type="http://schemas.openxmlformats.org/officeDocument/2006/relationships/hyperlink" Target="https://www.sec.gov/Archives/edgar/data/34088/000003408817000017/xomexhibit10iiid.htm" TargetMode="External"/><Relationship Id="rId186" Type="http://schemas.openxmlformats.org/officeDocument/2006/relationships/hyperlink" Target="https://www.sec.gov/Archives/edgar/data/34088/000003408819000010/xomexhibit10iiif1.htm" TargetMode="External"/><Relationship Id="rId187" Type="http://schemas.openxmlformats.org/officeDocument/2006/relationships/hyperlink" Target="https://www.sec.gov/Archives/edgar/data/34088/000003408817000017/xomexhibit10iiif2.htm" TargetMode="External"/><Relationship Id="rId188" Type="http://schemas.openxmlformats.org/officeDocument/2006/relationships/hyperlink" Target="https://www.sec.gov/Archives/edgar/data/34088/000003408820000037/xomexhibit10iiif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2021-02-24T16:21:58Z</dcterms:created>
  <dcterms:modified xsi:type="dcterms:W3CDTF">2021-02-24T16:21:58Z</dcterms:modified>
</cp:coreProperties>
</file>