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4, 2023</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Exxon Mobil Corporation</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6" w:lineRule="exact"/>
        <w:rPr>
          <w:sz w:val="24"/>
          <w:szCs w:val="24"/>
          <w:color w:val="auto"/>
        </w:rPr>
      </w:pPr>
    </w:p>
    <w:tbl>
      <w:tblPr>
        <w:tblLayout w:type="fixed"/>
        <w:tblInd w:w="1340" w:type="dxa"/>
        <w:tblCellMar>
          <w:top w:w="0" w:type="dxa"/>
          <w:left w:w="0" w:type="dxa"/>
          <w:bottom w:w="0" w:type="dxa"/>
          <w:right w:w="0" w:type="dxa"/>
        </w:tblCellMar>
      </w:tblPr>
      <w:tr>
        <w:trPr>
          <w:trHeight w:val="280"/>
        </w:trPr>
        <w:tc>
          <w:tcPr>
            <w:tcW w:w="1300" w:type="dxa"/>
            <w:vAlign w:val="bottom"/>
            <w:gridSpan w:val="2"/>
          </w:tcPr>
          <w:p>
            <w:pPr>
              <w:jc w:val="center"/>
              <w:ind w:right="80"/>
              <w:spacing w:after="0"/>
              <w:rPr>
                <w:sz w:val="20"/>
                <w:szCs w:val="20"/>
                <w:color w:val="auto"/>
              </w:rPr>
            </w:pPr>
            <w:r>
              <w:rPr>
                <w:rFonts w:ascii="Arial" w:cs="Arial" w:eastAsia="Arial" w:hAnsi="Arial"/>
                <w:sz w:val="22"/>
                <w:szCs w:val="22"/>
                <w:b w:val="1"/>
                <w:bCs w:val="1"/>
                <w:color w:val="auto"/>
                <w:w w:val="87"/>
              </w:rPr>
              <w:t>New Jersey</w:t>
            </w:r>
          </w:p>
        </w:tc>
        <w:tc>
          <w:tcPr>
            <w:tcW w:w="5920" w:type="dxa"/>
            <w:vAlign w:val="bottom"/>
          </w:tcPr>
          <w:p>
            <w:pPr>
              <w:jc w:val="center"/>
              <w:ind w:right="5"/>
              <w:spacing w:after="0"/>
              <w:rPr>
                <w:sz w:val="20"/>
                <w:szCs w:val="20"/>
                <w:color w:val="auto"/>
              </w:rPr>
            </w:pPr>
            <w:r>
              <w:rPr>
                <w:rFonts w:ascii="Arial" w:cs="Arial" w:eastAsia="Arial" w:hAnsi="Arial"/>
                <w:sz w:val="22"/>
                <w:szCs w:val="22"/>
                <w:b w:val="1"/>
                <w:bCs w:val="1"/>
                <w:color w:val="auto"/>
                <w:w w:val="90"/>
              </w:rPr>
              <w:t>1-2256</w:t>
            </w:r>
          </w:p>
        </w:tc>
        <w:tc>
          <w:tcPr>
            <w:tcW w:w="1340" w:type="dxa"/>
            <w:vAlign w:val="bottom"/>
            <w:gridSpan w:val="2"/>
          </w:tcPr>
          <w:p>
            <w:pPr>
              <w:jc w:val="center"/>
              <w:spacing w:after="0"/>
              <w:rPr>
                <w:sz w:val="20"/>
                <w:szCs w:val="20"/>
                <w:color w:val="auto"/>
              </w:rPr>
            </w:pPr>
            <w:r>
              <w:rPr>
                <w:rFonts w:ascii="Arial" w:cs="Arial" w:eastAsia="Arial" w:hAnsi="Arial"/>
                <w:sz w:val="22"/>
                <w:szCs w:val="22"/>
                <w:b w:val="1"/>
                <w:bCs w:val="1"/>
                <w:color w:val="auto"/>
                <w:w w:val="90"/>
              </w:rPr>
              <w:t>13-5409005</w:t>
            </w:r>
          </w:p>
        </w:tc>
      </w:tr>
      <w:tr>
        <w:trPr>
          <w:trHeight w:val="192"/>
        </w:trPr>
        <w:tc>
          <w:tcPr>
            <w:tcW w:w="1300" w:type="dxa"/>
            <w:vAlign w:val="bottom"/>
            <w:gridSpan w:val="2"/>
          </w:tcPr>
          <w:p>
            <w:pPr>
              <w:jc w:val="center"/>
              <w:ind w:right="80"/>
              <w:spacing w:after="0" w:line="192" w:lineRule="exact"/>
              <w:rPr>
                <w:sz w:val="20"/>
                <w:szCs w:val="20"/>
                <w:color w:val="auto"/>
              </w:rPr>
            </w:pPr>
            <w:r>
              <w:rPr>
                <w:rFonts w:ascii="Arial" w:cs="Arial" w:eastAsia="Arial" w:hAnsi="Arial"/>
                <w:sz w:val="18"/>
                <w:szCs w:val="18"/>
                <w:color w:val="auto"/>
                <w:w w:val="88"/>
              </w:rPr>
              <w:t>(State or other</w:t>
            </w:r>
          </w:p>
        </w:tc>
        <w:tc>
          <w:tcPr>
            <w:tcW w:w="5920" w:type="dxa"/>
            <w:vAlign w:val="bottom"/>
          </w:tcPr>
          <w:p>
            <w:pPr>
              <w:jc w:val="center"/>
              <w:ind w:right="5"/>
              <w:spacing w:after="0" w:line="192" w:lineRule="exact"/>
              <w:rPr>
                <w:sz w:val="20"/>
                <w:szCs w:val="20"/>
                <w:color w:val="auto"/>
              </w:rPr>
            </w:pPr>
            <w:r>
              <w:rPr>
                <w:rFonts w:ascii="Arial" w:cs="Arial" w:eastAsia="Arial" w:hAnsi="Arial"/>
                <w:sz w:val="18"/>
                <w:szCs w:val="18"/>
                <w:color w:val="auto"/>
                <w:w w:val="93"/>
              </w:rPr>
              <w:t>(Commission</w:t>
            </w:r>
          </w:p>
        </w:tc>
        <w:tc>
          <w:tcPr>
            <w:tcW w:w="1340" w:type="dxa"/>
            <w:vAlign w:val="bottom"/>
            <w:gridSpan w:val="2"/>
          </w:tcPr>
          <w:p>
            <w:pPr>
              <w:jc w:val="center"/>
              <w:spacing w:after="0" w:line="192" w:lineRule="exact"/>
              <w:rPr>
                <w:sz w:val="20"/>
                <w:szCs w:val="20"/>
                <w:color w:val="auto"/>
              </w:rPr>
            </w:pPr>
            <w:r>
              <w:rPr>
                <w:rFonts w:ascii="Arial" w:cs="Arial" w:eastAsia="Arial" w:hAnsi="Arial"/>
                <w:sz w:val="18"/>
                <w:szCs w:val="18"/>
                <w:color w:val="auto"/>
                <w:w w:val="93"/>
              </w:rPr>
              <w:t>(IRS Employer</w:t>
            </w:r>
          </w:p>
        </w:tc>
      </w:tr>
      <w:tr>
        <w:trPr>
          <w:trHeight w:val="176"/>
        </w:trPr>
        <w:tc>
          <w:tcPr>
            <w:tcW w:w="13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6"/>
              </w:rPr>
              <w:t>jurisdiction</w:t>
            </w:r>
          </w:p>
        </w:tc>
        <w:tc>
          <w:tcPr>
            <w:tcW w:w="5920" w:type="dxa"/>
            <w:vAlign w:val="bottom"/>
          </w:tcPr>
          <w:p>
            <w:pPr>
              <w:jc w:val="center"/>
              <w:ind w:right="5"/>
              <w:spacing w:after="0" w:line="176" w:lineRule="exact"/>
              <w:rPr>
                <w:sz w:val="20"/>
                <w:szCs w:val="20"/>
                <w:color w:val="auto"/>
              </w:rPr>
            </w:pPr>
            <w:r>
              <w:rPr>
                <w:rFonts w:ascii="Arial" w:cs="Arial" w:eastAsia="Arial" w:hAnsi="Arial"/>
                <w:sz w:val="18"/>
                <w:szCs w:val="18"/>
                <w:color w:val="auto"/>
                <w:w w:val="94"/>
              </w:rPr>
              <w:t>File Number)</w:t>
            </w:r>
          </w:p>
        </w:tc>
        <w:tc>
          <w:tcPr>
            <w:tcW w:w="134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5"/>
              </w:rPr>
              <w:t>Identification No.)</w:t>
            </w:r>
          </w:p>
        </w:tc>
      </w:tr>
      <w:tr>
        <w:trPr>
          <w:trHeight w:val="230"/>
        </w:trPr>
        <w:tc>
          <w:tcPr>
            <w:tcW w:w="13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of incorporation)</w:t>
            </w:r>
          </w:p>
        </w:tc>
        <w:tc>
          <w:tcPr>
            <w:tcW w:w="5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79"/>
        </w:trPr>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20" w:type="dxa"/>
            <w:vAlign w:val="bottom"/>
          </w:tcPr>
          <w:p>
            <w:pPr>
              <w:jc w:val="center"/>
              <w:ind w:left="5"/>
              <w:spacing w:after="0"/>
              <w:rPr>
                <w:sz w:val="20"/>
                <w:szCs w:val="20"/>
                <w:color w:val="auto"/>
              </w:rPr>
            </w:pPr>
            <w:r>
              <w:rPr>
                <w:rFonts w:ascii="Arial" w:cs="Arial" w:eastAsia="Arial" w:hAnsi="Arial"/>
                <w:sz w:val="22"/>
                <w:szCs w:val="22"/>
                <w:b w:val="1"/>
                <w:bCs w:val="1"/>
                <w:color w:val="auto"/>
                <w:w w:val="88"/>
              </w:rPr>
              <w:t>22777 Springwoods Village Parkway, Spring, Texas 77389-1425</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0"/>
        </w:trPr>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 (Zip Code)</w:t>
            </w: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83"/>
        </w:trPr>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20" w:type="dxa"/>
            <w:vAlign w:val="bottom"/>
          </w:tcPr>
          <w:p>
            <w:pPr>
              <w:jc w:val="center"/>
              <w:spacing w:after="0"/>
              <w:rPr>
                <w:sz w:val="20"/>
                <w:szCs w:val="20"/>
                <w:color w:val="auto"/>
              </w:rPr>
            </w:pPr>
            <w:r>
              <w:rPr>
                <w:rFonts w:ascii="Arial" w:cs="Arial" w:eastAsia="Arial" w:hAnsi="Arial"/>
                <w:sz w:val="18"/>
                <w:szCs w:val="18"/>
                <w:color w:val="auto"/>
                <w:w w:val="91"/>
              </w:rPr>
              <w:t xml:space="preserve">Registrant’s telephone number, including area code: </w:t>
            </w:r>
            <w:r>
              <w:rPr>
                <w:rFonts w:ascii="Arial" w:cs="Arial" w:eastAsia="Arial" w:hAnsi="Arial"/>
                <w:sz w:val="21"/>
                <w:szCs w:val="21"/>
                <w:b w:val="1"/>
                <w:bCs w:val="1"/>
                <w:color w:val="auto"/>
                <w:w w:val="91"/>
              </w:rPr>
              <w:t>(972) 940-6000</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41"/>
        </w:trPr>
        <w:tc>
          <w:tcPr>
            <w:tcW w:w="5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r>
        <w:trPr>
          <w:trHeight w:val="224"/>
        </w:trPr>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920" w:type="dxa"/>
            <w:vAlign w:val="bottom"/>
          </w:tcPr>
          <w:p>
            <w:pPr>
              <w:jc w:val="center"/>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327"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80"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80"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52" w:lineRule="exact"/>
        <w:rPr>
          <w:rFonts w:ascii="MS PGothic" w:cs="MS PGothic" w:eastAsia="MS PGothic" w:hAnsi="MS PGothic"/>
          <w:sz w:val="16"/>
          <w:szCs w:val="16"/>
          <w:color w:val="auto"/>
        </w:rPr>
      </w:pPr>
    </w:p>
    <w:p>
      <w:pPr>
        <w:ind w:left="3960"/>
        <w:spacing w:after="0"/>
        <w:rPr>
          <w:rFonts w:ascii="MS PGothic" w:cs="MS PGothic" w:eastAsia="MS PGothic" w:hAnsi="MS PGothic"/>
          <w:sz w:val="16"/>
          <w:szCs w:val="16"/>
          <w:color w:val="auto"/>
        </w:rPr>
      </w:pPr>
      <w:r>
        <w:rPr>
          <w:rFonts w:ascii="Arial" w:cs="Arial" w:eastAsia="Arial" w:hAnsi="Arial"/>
          <w:sz w:val="14"/>
          <w:szCs w:val="14"/>
          <w:color w:val="auto"/>
        </w:rPr>
        <w:t>Securities registered pursuant to Section 12(b) of the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960" w:type="dxa"/>
            <w:vAlign w:val="bottom"/>
          </w:tcPr>
          <w:p>
            <w:pPr>
              <w:jc w:val="center"/>
              <w:ind w:left="175"/>
              <w:spacing w:after="0"/>
              <w:rPr>
                <w:sz w:val="20"/>
                <w:szCs w:val="20"/>
                <w:color w:val="auto"/>
              </w:rPr>
            </w:pPr>
            <w:r>
              <w:rPr>
                <w:rFonts w:ascii="Arial" w:cs="Arial" w:eastAsia="Arial" w:hAnsi="Arial"/>
                <w:sz w:val="14"/>
                <w:szCs w:val="14"/>
                <w:color w:val="auto"/>
                <w:w w:val="91"/>
              </w:rPr>
              <w:t>Name of Each Exchange</w:t>
            </w:r>
          </w:p>
        </w:tc>
      </w:tr>
      <w:tr>
        <w:trPr>
          <w:trHeight w:val="203"/>
        </w:trPr>
        <w:tc>
          <w:tcPr>
            <w:tcW w:w="3860" w:type="dxa"/>
            <w:vAlign w:val="bottom"/>
          </w:tcPr>
          <w:p>
            <w:pPr>
              <w:ind w:left="20"/>
              <w:spacing w:after="0"/>
              <w:rPr>
                <w:sz w:val="20"/>
                <w:szCs w:val="20"/>
                <w:color w:val="auto"/>
              </w:rPr>
            </w:pPr>
            <w:r>
              <w:rPr>
                <w:rFonts w:ascii="Arial" w:cs="Arial" w:eastAsia="Arial" w:hAnsi="Arial"/>
                <w:sz w:val="14"/>
                <w:szCs w:val="14"/>
                <w:color w:val="auto"/>
              </w:rPr>
              <w:t>Title of Each Class</w:t>
            </w:r>
          </w:p>
        </w:tc>
        <w:tc>
          <w:tcPr>
            <w:tcW w:w="3220" w:type="dxa"/>
            <w:vAlign w:val="bottom"/>
          </w:tcPr>
          <w:p>
            <w:pPr>
              <w:jc w:val="center"/>
              <w:spacing w:after="0"/>
              <w:rPr>
                <w:sz w:val="20"/>
                <w:szCs w:val="20"/>
                <w:color w:val="auto"/>
              </w:rPr>
            </w:pPr>
            <w:r>
              <w:rPr>
                <w:rFonts w:ascii="Arial" w:cs="Arial" w:eastAsia="Arial" w:hAnsi="Arial"/>
                <w:sz w:val="14"/>
                <w:szCs w:val="14"/>
                <w:color w:val="auto"/>
                <w:w w:val="95"/>
              </w:rPr>
              <w:t>Trading Symbol</w:t>
            </w:r>
          </w:p>
        </w:tc>
        <w:tc>
          <w:tcPr>
            <w:tcW w:w="3960" w:type="dxa"/>
            <w:vAlign w:val="bottom"/>
          </w:tcPr>
          <w:p>
            <w:pPr>
              <w:jc w:val="center"/>
              <w:ind w:left="175"/>
              <w:spacing w:after="0"/>
              <w:rPr>
                <w:sz w:val="20"/>
                <w:szCs w:val="20"/>
                <w:color w:val="auto"/>
              </w:rPr>
            </w:pPr>
            <w:r>
              <w:rPr>
                <w:rFonts w:ascii="Arial" w:cs="Arial" w:eastAsia="Arial" w:hAnsi="Arial"/>
                <w:sz w:val="14"/>
                <w:szCs w:val="14"/>
                <w:color w:val="auto"/>
                <w:w w:val="93"/>
              </w:rPr>
              <w:t>on Which Registered</w:t>
            </w:r>
          </w:p>
        </w:tc>
      </w:tr>
      <w:tr>
        <w:trPr>
          <w:trHeight w:val="25"/>
        </w:trPr>
        <w:tc>
          <w:tcPr>
            <w:tcW w:w="38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18"/>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Common Stock, without par value</w:t>
            </w:r>
          </w:p>
        </w:tc>
        <w:tc>
          <w:tcPr>
            <w:tcW w:w="3220" w:type="dxa"/>
            <w:vAlign w:val="bottom"/>
          </w:tcPr>
          <w:p>
            <w:pPr>
              <w:jc w:val="center"/>
              <w:spacing w:after="0"/>
              <w:rPr>
                <w:sz w:val="20"/>
                <w:szCs w:val="20"/>
                <w:color w:val="auto"/>
              </w:rPr>
            </w:pPr>
            <w:r>
              <w:rPr>
                <w:rFonts w:ascii="Arial" w:cs="Arial" w:eastAsia="Arial" w:hAnsi="Arial"/>
                <w:sz w:val="18"/>
                <w:szCs w:val="18"/>
                <w:b w:val="1"/>
                <w:bCs w:val="1"/>
                <w:color w:val="auto"/>
              </w:rPr>
              <w:t>XOM</w:t>
            </w:r>
          </w:p>
        </w:tc>
        <w:tc>
          <w:tcPr>
            <w:tcW w:w="3960" w:type="dxa"/>
            <w:vAlign w:val="bottom"/>
          </w:tcPr>
          <w:p>
            <w:pPr>
              <w:jc w:val="center"/>
              <w:ind w:left="195"/>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0.142% Notes due 2024</w:t>
            </w:r>
          </w:p>
        </w:tc>
        <w:tc>
          <w:tcPr>
            <w:tcW w:w="3220" w:type="dxa"/>
            <w:vAlign w:val="bottom"/>
          </w:tcPr>
          <w:p>
            <w:pPr>
              <w:jc w:val="center"/>
              <w:spacing w:after="0"/>
              <w:rPr>
                <w:sz w:val="20"/>
                <w:szCs w:val="20"/>
                <w:color w:val="auto"/>
              </w:rPr>
            </w:pPr>
            <w:r>
              <w:rPr>
                <w:rFonts w:ascii="Arial" w:cs="Arial" w:eastAsia="Arial" w:hAnsi="Arial"/>
                <w:sz w:val="18"/>
                <w:szCs w:val="18"/>
                <w:b w:val="1"/>
                <w:bCs w:val="1"/>
                <w:color w:val="auto"/>
                <w:w w:val="99"/>
              </w:rPr>
              <w:t>XOM24B</w:t>
            </w:r>
          </w:p>
        </w:tc>
        <w:tc>
          <w:tcPr>
            <w:tcW w:w="3960" w:type="dxa"/>
            <w:vAlign w:val="bottom"/>
          </w:tcPr>
          <w:p>
            <w:pPr>
              <w:jc w:val="center"/>
              <w:ind w:left="195"/>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0.524% Notes due 2028</w:t>
            </w:r>
          </w:p>
        </w:tc>
        <w:tc>
          <w:tcPr>
            <w:tcW w:w="3220" w:type="dxa"/>
            <w:vAlign w:val="bottom"/>
          </w:tcPr>
          <w:p>
            <w:pPr>
              <w:jc w:val="center"/>
              <w:spacing w:after="0"/>
              <w:rPr>
                <w:sz w:val="20"/>
                <w:szCs w:val="20"/>
                <w:color w:val="auto"/>
              </w:rPr>
            </w:pPr>
            <w:r>
              <w:rPr>
                <w:rFonts w:ascii="Arial" w:cs="Arial" w:eastAsia="Arial" w:hAnsi="Arial"/>
                <w:sz w:val="18"/>
                <w:szCs w:val="18"/>
                <w:b w:val="1"/>
                <w:bCs w:val="1"/>
                <w:color w:val="auto"/>
              </w:rPr>
              <w:t>XOM28</w:t>
            </w:r>
          </w:p>
        </w:tc>
        <w:tc>
          <w:tcPr>
            <w:tcW w:w="3960" w:type="dxa"/>
            <w:vAlign w:val="bottom"/>
          </w:tcPr>
          <w:p>
            <w:pPr>
              <w:jc w:val="center"/>
              <w:ind w:left="195"/>
              <w:spacing w:after="0"/>
              <w:rPr>
                <w:sz w:val="20"/>
                <w:szCs w:val="20"/>
                <w:color w:val="auto"/>
              </w:rPr>
            </w:pPr>
            <w:r>
              <w:rPr>
                <w:rFonts w:ascii="Arial" w:cs="Arial" w:eastAsia="Arial" w:hAnsi="Arial"/>
                <w:sz w:val="18"/>
                <w:szCs w:val="18"/>
                <w:b w:val="1"/>
                <w:bCs w:val="1"/>
                <w:color w:val="auto"/>
                <w:w w:val="90"/>
              </w:rPr>
              <w:t>New York Stock Exchange</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0.835% Notes due 2032</w:t>
            </w:r>
          </w:p>
        </w:tc>
        <w:tc>
          <w:tcPr>
            <w:tcW w:w="3220" w:type="dxa"/>
            <w:vAlign w:val="bottom"/>
          </w:tcPr>
          <w:p>
            <w:pPr>
              <w:jc w:val="center"/>
              <w:spacing w:after="0"/>
              <w:rPr>
                <w:sz w:val="20"/>
                <w:szCs w:val="20"/>
                <w:color w:val="auto"/>
              </w:rPr>
            </w:pPr>
            <w:r>
              <w:rPr>
                <w:rFonts w:ascii="Arial" w:cs="Arial" w:eastAsia="Arial" w:hAnsi="Arial"/>
                <w:sz w:val="18"/>
                <w:szCs w:val="18"/>
                <w:b w:val="1"/>
                <w:bCs w:val="1"/>
                <w:color w:val="auto"/>
              </w:rPr>
              <w:t>XOM32</w:t>
            </w:r>
          </w:p>
        </w:tc>
        <w:tc>
          <w:tcPr>
            <w:tcW w:w="3960" w:type="dxa"/>
            <w:vAlign w:val="bottom"/>
          </w:tcPr>
          <w:p>
            <w:pPr>
              <w:jc w:val="center"/>
              <w:ind w:left="195"/>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1.408% Notes due 2039</w:t>
            </w:r>
          </w:p>
        </w:tc>
        <w:tc>
          <w:tcPr>
            <w:tcW w:w="3220" w:type="dxa"/>
            <w:vAlign w:val="bottom"/>
          </w:tcPr>
          <w:p>
            <w:pPr>
              <w:jc w:val="center"/>
              <w:spacing w:after="0"/>
              <w:rPr>
                <w:sz w:val="20"/>
                <w:szCs w:val="20"/>
                <w:color w:val="auto"/>
              </w:rPr>
            </w:pPr>
            <w:r>
              <w:rPr>
                <w:rFonts w:ascii="Arial" w:cs="Arial" w:eastAsia="Arial" w:hAnsi="Arial"/>
                <w:sz w:val="18"/>
                <w:szCs w:val="18"/>
                <w:b w:val="1"/>
                <w:bCs w:val="1"/>
                <w:color w:val="auto"/>
                <w:w w:val="99"/>
              </w:rPr>
              <w:t>XOM39A</w:t>
            </w:r>
          </w:p>
        </w:tc>
        <w:tc>
          <w:tcPr>
            <w:tcW w:w="3960" w:type="dxa"/>
            <w:vAlign w:val="bottom"/>
          </w:tcPr>
          <w:p>
            <w:pPr>
              <w:jc w:val="center"/>
              <w:ind w:left="195"/>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301"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3"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2" w:lineRule="exact"/>
        <w:rPr>
          <w:sz w:val="24"/>
          <w:szCs w:val="24"/>
          <w:color w:val="auto"/>
        </w:rPr>
      </w:pPr>
    </w:p>
    <w:p>
      <w:pPr>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7.01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Regulation FD Disclosure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furnished pursuant to Item 7.01.</w:t>
      </w:r>
    </w:p>
    <w:p>
      <w:pPr>
        <w:spacing w:after="0" w:line="200" w:lineRule="exact"/>
        <w:rPr>
          <w:sz w:val="20"/>
          <w:szCs w:val="20"/>
          <w:color w:val="auto"/>
        </w:rPr>
      </w:pPr>
    </w:p>
    <w:p>
      <w:pPr>
        <w:sectPr>
          <w:pgSz w:w="11900" w:h="16838" w:orient="portrait"/>
          <w:cols w:equalWidth="0" w:num="2">
            <w:col w:w="1100" w:space="720"/>
            <w:col w:w="8299"/>
          </w:cols>
          <w:pgMar w:left="340" w:top="12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107315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03" w:right="1440" w:bottom="1440" w:gutter="0" w:footer="0" w:header="0"/>
          <w:type w:val="continuous"/>
        </w:sectPr>
      </w:pPr>
    </w:p>
    <w:bookmarkStart w:id="2" w:name="page3"/>
    <w:bookmarkEnd w:id="2"/>
    <w:p>
      <w:pPr>
        <w:ind w:left="4660"/>
        <w:spacing w:after="0"/>
        <w:rPr>
          <w:sz w:val="20"/>
          <w:szCs w:val="20"/>
          <w:color w:val="auto"/>
        </w:rPr>
      </w:pPr>
      <w:r>
        <w:rPr>
          <w:rFonts w:ascii="Arial" w:cs="Arial" w:eastAsia="Arial" w:hAnsi="Arial"/>
          <w:sz w:val="20"/>
          <w:szCs w:val="20"/>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3"/>
              </w:rPr>
              <w:t>Exhibit No.</w:t>
            </w:r>
          </w:p>
        </w:tc>
        <w:tc>
          <w:tcPr>
            <w:tcW w:w="1980" w:type="dxa"/>
            <w:vAlign w:val="bottom"/>
          </w:tcPr>
          <w:p>
            <w:pPr>
              <w:spacing w:after="0"/>
              <w:rPr>
                <w:sz w:val="19"/>
                <w:szCs w:val="19"/>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Description</w:t>
            </w:r>
          </w:p>
        </w:tc>
        <w:tc>
          <w:tcPr>
            <w:tcW w:w="3980" w:type="dxa"/>
            <w:vAlign w:val="bottom"/>
          </w:tcPr>
          <w:p>
            <w:pPr>
              <w:spacing w:after="0"/>
              <w:rPr>
                <w:sz w:val="19"/>
                <w:szCs w:val="19"/>
                <w:color w:val="auto"/>
              </w:rPr>
            </w:pPr>
          </w:p>
        </w:tc>
      </w:tr>
      <w:tr>
        <w:trPr>
          <w:trHeight w:val="493"/>
        </w:trPr>
        <w:tc>
          <w:tcPr>
            <w:tcW w:w="920" w:type="dxa"/>
            <w:vAlign w:val="bottom"/>
            <w:gridSpan w:val="2"/>
          </w:tcPr>
          <w:p>
            <w:pPr>
              <w:spacing w:after="0"/>
              <w:rPr>
                <w:sz w:val="20"/>
                <w:szCs w:val="20"/>
                <w:color w:val="auto"/>
              </w:rPr>
            </w:pPr>
            <w:r>
              <w:rPr>
                <w:rFonts w:ascii="Arial" w:cs="Arial" w:eastAsia="Arial" w:hAnsi="Arial"/>
                <w:sz w:val="20"/>
                <w:szCs w:val="20"/>
                <w:color w:val="0000FF"/>
              </w:rPr>
              <w:t>99.</w:t>
            </w:r>
            <w:r>
              <w:rPr>
                <w:rFonts w:ascii="Arial" w:cs="Arial" w:eastAsia="Arial" w:hAnsi="Arial"/>
                <w:sz w:val="20"/>
                <w:szCs w:val="20"/>
                <w:u w:val="single" w:color="auto"/>
                <w:color w:val="0000FF"/>
              </w:rPr>
              <w:t>1</w:t>
            </w:r>
          </w:p>
        </w:tc>
        <w:tc>
          <w:tcPr>
            <w:tcW w:w="198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Arial" w:cs="Arial" w:eastAsia="Arial" w:hAnsi="Arial"/>
                <w:sz w:val="20"/>
                <w:szCs w:val="20"/>
                <w:color w:val="auto"/>
                <w:w w:val="97"/>
              </w:rPr>
              <w:t>Exxon Mobil Corporation 3Q23 Earnings Considerations.</w:t>
            </w:r>
          </w:p>
        </w:tc>
      </w:tr>
      <w:tr>
        <w:trPr>
          <w:trHeight w:val="538"/>
        </w:trPr>
        <w:tc>
          <w:tcPr>
            <w:tcW w:w="360" w:type="dxa"/>
            <w:vAlign w:val="bottom"/>
            <w:tcBorders>
              <w:top w:val="single" w:sz="8" w:color="0000FF"/>
            </w:tcBorders>
          </w:tcPr>
          <w:p>
            <w:pPr>
              <w:spacing w:after="0"/>
              <w:rPr>
                <w:sz w:val="20"/>
                <w:szCs w:val="20"/>
                <w:color w:val="auto"/>
              </w:rPr>
            </w:pPr>
            <w:r>
              <w:rPr>
                <w:rFonts w:ascii="Arial" w:cs="Arial" w:eastAsia="Arial" w:hAnsi="Arial"/>
                <w:sz w:val="20"/>
                <w:szCs w:val="20"/>
                <w:color w:val="auto"/>
              </w:rPr>
              <w:t>104</w:t>
            </w: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Arial" w:cs="Arial" w:eastAsia="Arial" w:hAnsi="Arial"/>
                <w:sz w:val="20"/>
                <w:szCs w:val="20"/>
                <w:color w:val="auto"/>
                <w:w w:val="91"/>
              </w:rPr>
              <w:t>Cover Page Interactive Data File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892" w:right="1440" w:bottom="1440" w:gutter="0" w:footer="0" w:header="0"/>
        </w:sectPr>
      </w:pPr>
    </w:p>
    <w:bookmarkStart w:id="3" w:name="page4"/>
    <w:bookmarkEnd w:id="3"/>
    <w:p>
      <w:pPr>
        <w:jc w:val="center"/>
        <w:ind w:right="-379"/>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648"/>
        <w:spacing w:after="0" w:line="274"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EXXON MOBIL CORPORATION</w:t>
      </w:r>
    </w:p>
    <w:p>
      <w:pPr>
        <w:sectPr>
          <w:pgSz w:w="11900" w:h="16838" w:orient="portrait"/>
          <w:cols w:equalWidth="0" w:num="1">
            <w:col w:w="10880"/>
          </w:cols>
          <w:pgMar w:left="320" w:top="892" w:right="6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October 4,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color w:val="auto"/>
        </w:rPr>
        <w:t>/s/ LEN M.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26035</wp:posOffset>
            </wp:positionV>
            <wp:extent cx="30346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5000" w:space="720"/>
            <w:col w:w="1720" w:space="720"/>
            <w:col w:w="2720"/>
          </w:cols>
          <w:pgMar w:left="320" w:top="892" w:right="699" w:bottom="1440" w:gutter="0" w:footer="0" w:header="0"/>
          <w:type w:val="continuous"/>
        </w:sectPr>
      </w:pPr>
    </w:p>
    <w:p>
      <w:pPr>
        <w:jc w:val="center"/>
        <w:ind w:left="6380"/>
        <w:spacing w:after="0"/>
        <w:rPr>
          <w:sz w:val="20"/>
          <w:szCs w:val="20"/>
          <w:color w:val="auto"/>
        </w:rPr>
      </w:pPr>
      <w:r>
        <w:rPr>
          <w:rFonts w:ascii="Arial" w:cs="Arial" w:eastAsia="Arial" w:hAnsi="Arial"/>
          <w:sz w:val="20"/>
          <w:szCs w:val="20"/>
          <w:color w:val="auto"/>
        </w:rPr>
        <w:t>Len M. Fox</w:t>
      </w:r>
    </w:p>
    <w:p>
      <w:pPr>
        <w:spacing w:after="0" w:line="27"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Vice President and Controller</w:t>
      </w:r>
    </w:p>
    <w:p>
      <w:pPr>
        <w:spacing w:after="0" w:line="50"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880"/>
          </w:cols>
          <w:pgMar w:left="320" w:top="892" w:right="699" w:bottom="1440" w:gutter="0" w:footer="0" w:header="0"/>
          <w:type w:val="continuous"/>
        </w:sectPr>
      </w:pPr>
    </w:p>
    <w:bookmarkStart w:id="4" w:name="page5"/>
    <w:bookmarkEnd w:id="4"/>
    <w:p>
      <w:pPr>
        <w:jc w:val="right"/>
        <w:ind w:right="20"/>
        <w:spacing w:after="0"/>
        <w:rPr>
          <w:sz w:val="20"/>
          <w:szCs w:val="20"/>
          <w:color w:val="auto"/>
        </w:rPr>
      </w:pPr>
      <w:r>
        <w:rPr>
          <w:rFonts w:ascii="Arial" w:cs="Arial" w:eastAsia="Arial" w:hAnsi="Arial"/>
          <w:sz w:val="16"/>
          <w:szCs w:val="16"/>
          <w:b w:val="1"/>
          <w:bCs w:val="1"/>
          <w:color w:val="auto"/>
        </w:rPr>
        <w:t>EXHIBIT 99.1</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3Q23 Earnings Considerations</w:t>
      </w:r>
    </w:p>
    <w:p>
      <w:pPr>
        <w:spacing w:after="0" w:line="253" w:lineRule="exact"/>
        <w:rPr>
          <w:sz w:val="20"/>
          <w:szCs w:val="20"/>
          <w:color w:val="auto"/>
        </w:rPr>
      </w:pPr>
    </w:p>
    <w:p>
      <w:pPr>
        <w:ind w:right="160"/>
        <w:spacing w:after="0"/>
        <w:rPr>
          <w:sz w:val="20"/>
          <w:szCs w:val="20"/>
          <w:color w:val="auto"/>
        </w:rPr>
      </w:pPr>
      <w:r>
        <w:rPr>
          <w:rFonts w:ascii="Arial" w:cs="Arial" w:eastAsia="Arial" w:hAnsi="Arial"/>
          <w:sz w:val="20"/>
          <w:szCs w:val="20"/>
          <w:color w:val="auto"/>
        </w:rPr>
        <w:t>To give perspective regarding market and planned factors affecting 3Q 2023 results, we are providing the following summary of items management believes will impact 3Q 2023 results relative to 2Q 2023 results. These factors are generally limited to significant planned activities, market dynamics, and seasonal demand patterns. This is only intended to provide information regarding current estimates of these factors. It is not comprehensive of all changes between 2Q 2023 and 3Q 2023 results and is not an estimate of 3Q 2023 earnings for the Corporation. For example, the table below does not reflect operating performance; ongoing improvement initiatives; impacts from the seasonality of base operating expenses; unscheduled downtime; or foreign exchange fluctuation, among other factors. Further, this list may not account for all adjustments and charges required to fully reflect the changes in industry conditions and are subject to finalization of the Corporation’s financial reporting process for 3Q 2023.</w:t>
      </w: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600" w:type="dxa"/>
            <w:vAlign w:val="bottom"/>
            <w:vMerge w:val="restart"/>
          </w:tcPr>
          <w:p>
            <w:pPr>
              <w:ind w:left="20"/>
              <w:spacing w:after="0"/>
              <w:rPr>
                <w:sz w:val="20"/>
                <w:szCs w:val="20"/>
                <w:color w:val="auto"/>
              </w:rPr>
            </w:pPr>
            <w:r>
              <w:rPr>
                <w:rFonts w:ascii="Arial" w:cs="Arial" w:eastAsia="Arial" w:hAnsi="Arial"/>
                <w:sz w:val="20"/>
                <w:szCs w:val="20"/>
                <w:i w:val="1"/>
                <w:iCs w:val="1"/>
                <w:color w:val="auto"/>
              </w:rPr>
              <w:t>$ billions</w:t>
            </w:r>
          </w:p>
        </w:tc>
        <w:tc>
          <w:tcPr>
            <w:tcW w:w="1640" w:type="dxa"/>
            <w:vAlign w:val="bottom"/>
            <w:vMerge w:val="restart"/>
          </w:tcPr>
          <w:p>
            <w:pPr>
              <w:jc w:val="right"/>
              <w:ind w:right="121"/>
              <w:spacing w:after="0"/>
              <w:rPr>
                <w:sz w:val="20"/>
                <w:szCs w:val="20"/>
                <w:color w:val="auto"/>
              </w:rPr>
            </w:pPr>
            <w:r>
              <w:rPr>
                <w:rFonts w:ascii="Arial" w:cs="Arial" w:eastAsia="Arial" w:hAnsi="Arial"/>
                <w:sz w:val="20"/>
                <w:szCs w:val="20"/>
                <w:b w:val="1"/>
                <w:bCs w:val="1"/>
                <w:color w:val="auto"/>
              </w:rPr>
              <w:t>Upstream</w:t>
            </w: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97"/>
              </w:rPr>
              <w:t>Energy</w:t>
            </w:r>
          </w:p>
        </w:tc>
        <w:tc>
          <w:tcPr>
            <w:tcW w:w="1300" w:type="dxa"/>
            <w:vAlign w:val="bottom"/>
          </w:tcPr>
          <w:p>
            <w:pPr>
              <w:jc w:val="center"/>
              <w:spacing w:after="0"/>
              <w:rPr>
                <w:sz w:val="20"/>
                <w:szCs w:val="20"/>
                <w:color w:val="auto"/>
              </w:rPr>
            </w:pPr>
            <w:r>
              <w:rPr>
                <w:rFonts w:ascii="Arial" w:cs="Arial" w:eastAsia="Arial" w:hAnsi="Arial"/>
                <w:sz w:val="20"/>
                <w:szCs w:val="20"/>
                <w:b w:val="1"/>
                <w:bCs w:val="1"/>
                <w:color w:val="auto"/>
                <w:w w:val="98"/>
              </w:rPr>
              <w:t>Chemical</w:t>
            </w:r>
          </w:p>
        </w:tc>
        <w:tc>
          <w:tcPr>
            <w:tcW w:w="1240" w:type="dxa"/>
            <w:vAlign w:val="bottom"/>
          </w:tcPr>
          <w:p>
            <w:pPr>
              <w:jc w:val="center"/>
              <w:spacing w:after="0"/>
              <w:rPr>
                <w:sz w:val="20"/>
                <w:szCs w:val="20"/>
                <w:color w:val="auto"/>
              </w:rPr>
            </w:pPr>
            <w:r>
              <w:rPr>
                <w:rFonts w:ascii="Arial" w:cs="Arial" w:eastAsia="Arial" w:hAnsi="Arial"/>
                <w:sz w:val="20"/>
                <w:szCs w:val="20"/>
                <w:b w:val="1"/>
                <w:bCs w:val="1"/>
                <w:color w:val="auto"/>
                <w:w w:val="97"/>
              </w:rPr>
              <w:t>Specialty</w:t>
            </w:r>
          </w:p>
        </w:tc>
        <w:tc>
          <w:tcPr>
            <w:tcW w:w="13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7"/>
              </w:rPr>
              <w:t>Corp &amp; Fin</w:t>
            </w:r>
          </w:p>
        </w:tc>
        <w:tc>
          <w:tcPr>
            <w:tcW w:w="8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6"/>
              </w:rPr>
              <w:t>Total</w:t>
            </w:r>
          </w:p>
        </w:tc>
        <w:tc>
          <w:tcPr>
            <w:tcW w:w="0" w:type="dxa"/>
            <w:vAlign w:val="bottom"/>
          </w:tcPr>
          <w:p>
            <w:pPr>
              <w:spacing w:after="0"/>
              <w:rPr>
                <w:sz w:val="1"/>
                <w:szCs w:val="1"/>
                <w:color w:val="auto"/>
              </w:rPr>
            </w:pPr>
          </w:p>
        </w:tc>
      </w:tr>
      <w:tr>
        <w:trPr>
          <w:trHeight w:val="156"/>
        </w:trPr>
        <w:tc>
          <w:tcPr>
            <w:tcW w:w="3600" w:type="dxa"/>
            <w:vAlign w:val="bottom"/>
            <w:vMerge w:val="continue"/>
          </w:tcPr>
          <w:p>
            <w:pPr>
              <w:spacing w:after="0"/>
              <w:rPr>
                <w:sz w:val="13"/>
                <w:szCs w:val="13"/>
                <w:color w:val="auto"/>
              </w:rPr>
            </w:pPr>
          </w:p>
        </w:tc>
        <w:tc>
          <w:tcPr>
            <w:tcW w:w="164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Products</w:t>
            </w:r>
          </w:p>
        </w:tc>
        <w:tc>
          <w:tcPr>
            <w:tcW w:w="13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Products</w:t>
            </w:r>
          </w:p>
        </w:tc>
        <w:tc>
          <w:tcPr>
            <w:tcW w:w="12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Products</w:t>
            </w:r>
          </w:p>
        </w:tc>
        <w:tc>
          <w:tcPr>
            <w:tcW w:w="134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60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1300" w:type="dxa"/>
            <w:vAlign w:val="bottom"/>
            <w:tcBorders>
              <w:bottom w:val="single" w:sz="8" w:color="auto"/>
            </w:tcBorders>
            <w:vMerge w:val="continue"/>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4"/>
        </w:trPr>
        <w:tc>
          <w:tcPr>
            <w:tcW w:w="3600" w:type="dxa"/>
            <w:vAlign w:val="bottom"/>
          </w:tcPr>
          <w:p>
            <w:pPr>
              <w:ind w:left="20"/>
              <w:spacing w:after="0"/>
              <w:rPr>
                <w:sz w:val="20"/>
                <w:szCs w:val="20"/>
                <w:color w:val="auto"/>
              </w:rPr>
            </w:pPr>
            <w:r>
              <w:rPr>
                <w:rFonts w:ascii="Arial" w:cs="Arial" w:eastAsia="Arial" w:hAnsi="Arial"/>
                <w:sz w:val="20"/>
                <w:szCs w:val="20"/>
                <w:b w:val="1"/>
                <w:bCs w:val="1"/>
                <w:color w:val="auto"/>
              </w:rPr>
              <w:t>2Q23 earnings (loss), U.S. GAAP</w:t>
            </w:r>
          </w:p>
        </w:tc>
        <w:tc>
          <w:tcPr>
            <w:tcW w:w="1640" w:type="dxa"/>
            <w:vAlign w:val="bottom"/>
          </w:tcPr>
          <w:p>
            <w:pPr>
              <w:jc w:val="right"/>
              <w:ind w:right="441"/>
              <w:spacing w:after="0"/>
              <w:rPr>
                <w:sz w:val="20"/>
                <w:szCs w:val="20"/>
                <w:color w:val="auto"/>
              </w:rPr>
            </w:pPr>
            <w:r>
              <w:rPr>
                <w:rFonts w:ascii="Arial" w:cs="Arial" w:eastAsia="Arial" w:hAnsi="Arial"/>
                <w:sz w:val="20"/>
                <w:szCs w:val="20"/>
                <w:b w:val="1"/>
                <w:bCs w:val="1"/>
                <w:color w:val="auto"/>
              </w:rPr>
              <w:t>4.6</w:t>
            </w: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rPr>
              <w:t>2.3</w:t>
            </w:r>
          </w:p>
        </w:tc>
        <w:tc>
          <w:tcPr>
            <w:tcW w:w="1300" w:type="dxa"/>
            <w:vAlign w:val="bottom"/>
          </w:tcPr>
          <w:p>
            <w:pPr>
              <w:jc w:val="center"/>
              <w:spacing w:after="0"/>
              <w:rPr>
                <w:sz w:val="20"/>
                <w:szCs w:val="20"/>
                <w:color w:val="auto"/>
              </w:rPr>
            </w:pPr>
            <w:r>
              <w:rPr>
                <w:rFonts w:ascii="Arial" w:cs="Arial" w:eastAsia="Arial" w:hAnsi="Arial"/>
                <w:sz w:val="20"/>
                <w:szCs w:val="20"/>
                <w:b w:val="1"/>
                <w:bCs w:val="1"/>
                <w:color w:val="auto"/>
              </w:rPr>
              <w:t>0.8</w:t>
            </w:r>
          </w:p>
        </w:tc>
        <w:tc>
          <w:tcPr>
            <w:tcW w:w="1240" w:type="dxa"/>
            <w:vAlign w:val="bottom"/>
          </w:tcPr>
          <w:p>
            <w:pPr>
              <w:jc w:val="center"/>
              <w:spacing w:after="0"/>
              <w:rPr>
                <w:sz w:val="20"/>
                <w:szCs w:val="20"/>
                <w:color w:val="auto"/>
              </w:rPr>
            </w:pPr>
            <w:r>
              <w:rPr>
                <w:rFonts w:ascii="Arial" w:cs="Arial" w:eastAsia="Arial" w:hAnsi="Arial"/>
                <w:sz w:val="20"/>
                <w:szCs w:val="20"/>
                <w:b w:val="1"/>
                <w:bCs w:val="1"/>
                <w:color w:val="auto"/>
                <w:w w:val="93"/>
              </w:rPr>
              <w:t>0.7</w:t>
            </w:r>
          </w:p>
        </w:tc>
        <w:tc>
          <w:tcPr>
            <w:tcW w:w="1340" w:type="dxa"/>
            <w:vAlign w:val="bottom"/>
          </w:tcPr>
          <w:p>
            <w:pPr>
              <w:jc w:val="center"/>
              <w:spacing w:after="0"/>
              <w:rPr>
                <w:sz w:val="20"/>
                <w:szCs w:val="20"/>
                <w:color w:val="auto"/>
              </w:rPr>
            </w:pPr>
            <w:r>
              <w:rPr>
                <w:rFonts w:ascii="Arial" w:cs="Arial" w:eastAsia="Arial" w:hAnsi="Arial"/>
                <w:sz w:val="20"/>
                <w:szCs w:val="20"/>
                <w:b w:val="1"/>
                <w:bCs w:val="1"/>
                <w:color w:val="auto"/>
                <w:w w:val="97"/>
              </w:rPr>
              <w:t>(0.5)</w:t>
            </w:r>
          </w:p>
        </w:tc>
        <w:tc>
          <w:tcPr>
            <w:tcW w:w="880" w:type="dxa"/>
            <w:vAlign w:val="bottom"/>
          </w:tcPr>
          <w:p>
            <w:pPr>
              <w:jc w:val="center"/>
              <w:spacing w:after="0"/>
              <w:rPr>
                <w:sz w:val="20"/>
                <w:szCs w:val="20"/>
                <w:color w:val="auto"/>
              </w:rPr>
            </w:pPr>
            <w:r>
              <w:rPr>
                <w:rFonts w:ascii="Arial" w:cs="Arial" w:eastAsia="Arial" w:hAnsi="Arial"/>
                <w:sz w:val="20"/>
                <w:szCs w:val="20"/>
                <w:b w:val="1"/>
                <w:bCs w:val="1"/>
                <w:color w:val="auto"/>
                <w:w w:val="93"/>
              </w:rPr>
              <w:t>7.9</w:t>
            </w:r>
          </w:p>
        </w:tc>
        <w:tc>
          <w:tcPr>
            <w:tcW w:w="0" w:type="dxa"/>
            <w:vAlign w:val="bottom"/>
          </w:tcPr>
          <w:p>
            <w:pPr>
              <w:spacing w:after="0"/>
              <w:rPr>
                <w:sz w:val="1"/>
                <w:szCs w:val="1"/>
                <w:color w:val="auto"/>
              </w:rPr>
            </w:pPr>
          </w:p>
        </w:tc>
      </w:tr>
      <w:tr>
        <w:trPr>
          <w:trHeight w:val="435"/>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2Q23 Identified Items</w:t>
            </w:r>
          </w:p>
        </w:tc>
        <w:tc>
          <w:tcPr>
            <w:tcW w:w="16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Tax-related items</w:t>
            </w:r>
          </w:p>
        </w:tc>
        <w:tc>
          <w:tcPr>
            <w:tcW w:w="1640" w:type="dxa"/>
            <w:vAlign w:val="bottom"/>
          </w:tcPr>
          <w:p>
            <w:pPr>
              <w:jc w:val="right"/>
              <w:ind w:right="361"/>
              <w:spacing w:after="0"/>
              <w:rPr>
                <w:sz w:val="20"/>
                <w:szCs w:val="20"/>
                <w:color w:val="auto"/>
              </w:rPr>
            </w:pPr>
            <w:r>
              <w:rPr>
                <w:rFonts w:ascii="Arial" w:cs="Arial" w:eastAsia="Arial" w:hAnsi="Arial"/>
                <w:sz w:val="20"/>
                <w:szCs w:val="20"/>
                <w:color w:val="auto"/>
              </w:rPr>
              <w:t>(0.0)</w:t>
            </w:r>
          </w:p>
        </w:tc>
        <w:tc>
          <w:tcPr>
            <w:tcW w:w="1260" w:type="dxa"/>
            <w:vAlign w:val="bottom"/>
          </w:tcPr>
          <w:p>
            <w:pPr>
              <w:jc w:val="center"/>
              <w:spacing w:after="0"/>
              <w:rPr>
                <w:sz w:val="20"/>
                <w:szCs w:val="20"/>
                <w:color w:val="auto"/>
              </w:rPr>
            </w:pPr>
            <w:r>
              <w:rPr>
                <w:rFonts w:ascii="Arial" w:cs="Arial" w:eastAsia="Arial" w:hAnsi="Arial"/>
                <w:sz w:val="20"/>
                <w:szCs w:val="20"/>
                <w:color w:val="auto"/>
              </w:rPr>
              <w:t>0.0</w:t>
            </w:r>
          </w:p>
        </w:tc>
        <w:tc>
          <w:tcPr>
            <w:tcW w:w="1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0.0</w:t>
            </w:r>
          </w:p>
        </w:tc>
        <w:tc>
          <w:tcPr>
            <w:tcW w:w="0" w:type="dxa"/>
            <w:vAlign w:val="bottom"/>
          </w:tcPr>
          <w:p>
            <w:pPr>
              <w:spacing w:after="0"/>
              <w:rPr>
                <w:sz w:val="1"/>
                <w:szCs w:val="1"/>
                <w:color w:val="auto"/>
              </w:rPr>
            </w:pPr>
          </w:p>
        </w:tc>
      </w:tr>
      <w:tr>
        <w:trPr>
          <w:trHeight w:val="23"/>
        </w:trPr>
        <w:tc>
          <w:tcPr>
            <w:tcW w:w="360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7"/>
        </w:trPr>
        <w:tc>
          <w:tcPr>
            <w:tcW w:w="3600" w:type="dxa"/>
            <w:vAlign w:val="bottom"/>
          </w:tcPr>
          <w:p>
            <w:pPr>
              <w:ind w:left="20"/>
              <w:spacing w:after="0"/>
              <w:rPr>
                <w:sz w:val="20"/>
                <w:szCs w:val="20"/>
                <w:color w:val="auto"/>
              </w:rPr>
            </w:pPr>
            <w:r>
              <w:rPr>
                <w:rFonts w:ascii="Arial" w:cs="Arial" w:eastAsia="Arial" w:hAnsi="Arial"/>
                <w:sz w:val="20"/>
                <w:szCs w:val="20"/>
                <w:b w:val="1"/>
                <w:bCs w:val="1"/>
                <w:color w:val="auto"/>
              </w:rPr>
              <w:t>2Q23 earnings (loss) excluding</w:t>
            </w:r>
          </w:p>
        </w:tc>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600" w:type="dxa"/>
            <w:vAlign w:val="bottom"/>
          </w:tcPr>
          <w:p>
            <w:pPr>
              <w:ind w:left="20"/>
              <w:spacing w:after="0"/>
              <w:rPr>
                <w:sz w:val="20"/>
                <w:szCs w:val="20"/>
                <w:color w:val="auto"/>
              </w:rPr>
            </w:pPr>
            <w:r>
              <w:rPr>
                <w:rFonts w:ascii="Arial" w:cs="Arial" w:eastAsia="Arial" w:hAnsi="Arial"/>
                <w:sz w:val="20"/>
                <w:szCs w:val="20"/>
                <w:b w:val="1"/>
                <w:bCs w:val="1"/>
                <w:color w:val="auto"/>
              </w:rPr>
              <w:t>Identified Items (non-GAAP)</w:t>
            </w:r>
          </w:p>
        </w:tc>
        <w:tc>
          <w:tcPr>
            <w:tcW w:w="1640" w:type="dxa"/>
            <w:vAlign w:val="bottom"/>
          </w:tcPr>
          <w:p>
            <w:pPr>
              <w:jc w:val="right"/>
              <w:ind w:right="441"/>
              <w:spacing w:after="0"/>
              <w:rPr>
                <w:sz w:val="20"/>
                <w:szCs w:val="20"/>
                <w:color w:val="auto"/>
              </w:rPr>
            </w:pPr>
            <w:r>
              <w:rPr>
                <w:rFonts w:ascii="Arial" w:cs="Arial" w:eastAsia="Arial" w:hAnsi="Arial"/>
                <w:sz w:val="20"/>
                <w:szCs w:val="20"/>
                <w:b w:val="1"/>
                <w:bCs w:val="1"/>
                <w:color w:val="auto"/>
              </w:rPr>
              <w:t>4.6</w:t>
            </w: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rPr>
              <w:t>2.3</w:t>
            </w:r>
          </w:p>
        </w:tc>
        <w:tc>
          <w:tcPr>
            <w:tcW w:w="1300" w:type="dxa"/>
            <w:vAlign w:val="bottom"/>
          </w:tcPr>
          <w:p>
            <w:pPr>
              <w:jc w:val="center"/>
              <w:spacing w:after="0"/>
              <w:rPr>
                <w:sz w:val="20"/>
                <w:szCs w:val="20"/>
                <w:color w:val="auto"/>
              </w:rPr>
            </w:pPr>
            <w:r>
              <w:rPr>
                <w:rFonts w:ascii="Arial" w:cs="Arial" w:eastAsia="Arial" w:hAnsi="Arial"/>
                <w:sz w:val="20"/>
                <w:szCs w:val="20"/>
                <w:b w:val="1"/>
                <w:bCs w:val="1"/>
                <w:color w:val="auto"/>
              </w:rPr>
              <w:t>0.8</w:t>
            </w:r>
          </w:p>
        </w:tc>
        <w:tc>
          <w:tcPr>
            <w:tcW w:w="1240" w:type="dxa"/>
            <w:vAlign w:val="bottom"/>
          </w:tcPr>
          <w:p>
            <w:pPr>
              <w:jc w:val="center"/>
              <w:spacing w:after="0"/>
              <w:rPr>
                <w:sz w:val="20"/>
                <w:szCs w:val="20"/>
                <w:color w:val="auto"/>
              </w:rPr>
            </w:pPr>
            <w:r>
              <w:rPr>
                <w:rFonts w:ascii="Arial" w:cs="Arial" w:eastAsia="Arial" w:hAnsi="Arial"/>
                <w:sz w:val="20"/>
                <w:szCs w:val="20"/>
                <w:b w:val="1"/>
                <w:bCs w:val="1"/>
                <w:color w:val="auto"/>
                <w:w w:val="93"/>
              </w:rPr>
              <w:t>0.7</w:t>
            </w:r>
          </w:p>
        </w:tc>
        <w:tc>
          <w:tcPr>
            <w:tcW w:w="1340" w:type="dxa"/>
            <w:vAlign w:val="bottom"/>
          </w:tcPr>
          <w:p>
            <w:pPr>
              <w:jc w:val="center"/>
              <w:spacing w:after="0"/>
              <w:rPr>
                <w:sz w:val="20"/>
                <w:szCs w:val="20"/>
                <w:color w:val="auto"/>
              </w:rPr>
            </w:pPr>
            <w:r>
              <w:rPr>
                <w:rFonts w:ascii="Arial" w:cs="Arial" w:eastAsia="Arial" w:hAnsi="Arial"/>
                <w:sz w:val="20"/>
                <w:szCs w:val="20"/>
                <w:b w:val="1"/>
                <w:bCs w:val="1"/>
                <w:color w:val="auto"/>
                <w:w w:val="97"/>
              </w:rPr>
              <w:t>(0.5)</w:t>
            </w:r>
          </w:p>
        </w:tc>
        <w:tc>
          <w:tcPr>
            <w:tcW w:w="880" w:type="dxa"/>
            <w:vAlign w:val="bottom"/>
          </w:tcPr>
          <w:p>
            <w:pPr>
              <w:jc w:val="center"/>
              <w:spacing w:after="0"/>
              <w:rPr>
                <w:sz w:val="20"/>
                <w:szCs w:val="20"/>
                <w:color w:val="auto"/>
              </w:rPr>
            </w:pPr>
            <w:r>
              <w:rPr>
                <w:rFonts w:ascii="Arial" w:cs="Arial" w:eastAsia="Arial" w:hAnsi="Arial"/>
                <w:sz w:val="20"/>
                <w:szCs w:val="20"/>
                <w:b w:val="1"/>
                <w:bCs w:val="1"/>
                <w:color w:val="auto"/>
                <w:w w:val="93"/>
              </w:rPr>
              <w:t>7.9</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Due to rounding, numbers presented above may not add up precisely to the totals indicated.</w:t>
      </w:r>
    </w:p>
    <w:p>
      <w:pPr>
        <w:spacing w:after="0" w:line="28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Estimated effects of market factors impacting 3Q23 results</w:t>
      </w:r>
    </w:p>
    <w:p>
      <w:pPr>
        <w:spacing w:after="0" w:line="4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38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20"/>
                <w:szCs w:val="20"/>
                <w:color w:val="auto"/>
              </w:rPr>
              <w:t>Change in liquids prices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0.9</w:t>
            </w:r>
          </w:p>
        </w:tc>
        <w:tc>
          <w:tcPr>
            <w:tcW w:w="12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- 1.3</w:t>
            </w:r>
          </w:p>
        </w:tc>
        <w:tc>
          <w:tcPr>
            <w:tcW w:w="720" w:type="dxa"/>
            <w:vAlign w:val="bottom"/>
            <w:tcBorders>
              <w:top w:val="single" w:sz="8" w:color="auto"/>
            </w:tcBorders>
          </w:tcPr>
          <w:p>
            <w:pPr>
              <w:spacing w:after="0"/>
              <w:rPr>
                <w:sz w:val="22"/>
                <w:szCs w:val="22"/>
                <w:color w:val="auto"/>
              </w:rPr>
            </w:pPr>
          </w:p>
        </w:tc>
        <w:tc>
          <w:tcPr>
            <w:tcW w:w="384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86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86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Change in gas prices</w:t>
            </w:r>
          </w:p>
        </w:tc>
        <w:tc>
          <w:tcPr>
            <w:tcW w:w="660" w:type="dxa"/>
            <w:vAlign w:val="bottom"/>
          </w:tcPr>
          <w:p>
            <w:pPr>
              <w:jc w:val="right"/>
              <w:spacing w:after="0"/>
              <w:rPr>
                <w:sz w:val="20"/>
                <w:szCs w:val="20"/>
                <w:color w:val="auto"/>
              </w:rPr>
            </w:pPr>
            <w:r>
              <w:rPr>
                <w:rFonts w:ascii="Arial" w:cs="Arial" w:eastAsia="Arial" w:hAnsi="Arial"/>
                <w:sz w:val="20"/>
                <w:szCs w:val="20"/>
                <w:color w:val="auto"/>
              </w:rPr>
              <w:t>0.2</w:t>
            </w:r>
          </w:p>
        </w:tc>
        <w:tc>
          <w:tcPr>
            <w:tcW w:w="1280" w:type="dxa"/>
            <w:vAlign w:val="bottom"/>
          </w:tcPr>
          <w:p>
            <w:pPr>
              <w:ind w:left="20"/>
              <w:spacing w:after="0"/>
              <w:rPr>
                <w:sz w:val="20"/>
                <w:szCs w:val="20"/>
                <w:color w:val="auto"/>
              </w:rPr>
            </w:pPr>
            <w:r>
              <w:rPr>
                <w:rFonts w:ascii="Arial" w:cs="Arial" w:eastAsia="Arial" w:hAnsi="Arial"/>
                <w:sz w:val="20"/>
                <w:szCs w:val="20"/>
                <w:color w:val="auto"/>
              </w:rPr>
              <w:t>- 0.6</w:t>
            </w:r>
          </w:p>
        </w:tc>
        <w:tc>
          <w:tcPr>
            <w:tcW w:w="720" w:type="dxa"/>
            <w:vAlign w:val="bottom"/>
          </w:tcPr>
          <w:p>
            <w:pPr>
              <w:spacing w:after="0"/>
              <w:rPr>
                <w:sz w:val="22"/>
                <w:szCs w:val="22"/>
                <w:color w:val="auto"/>
              </w:rPr>
            </w:pPr>
          </w:p>
        </w:tc>
        <w:tc>
          <w:tcPr>
            <w:tcW w:w="3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86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86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Change in industry margins</w:t>
            </w:r>
          </w:p>
        </w:tc>
        <w:tc>
          <w:tcPr>
            <w:tcW w:w="6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0.9</w:t>
            </w:r>
          </w:p>
        </w:tc>
        <w:tc>
          <w:tcPr>
            <w:tcW w:w="720" w:type="dxa"/>
            <w:vAlign w:val="bottom"/>
          </w:tcPr>
          <w:p>
            <w:pPr>
              <w:ind w:left="40"/>
              <w:spacing w:after="0"/>
              <w:rPr>
                <w:sz w:val="20"/>
                <w:szCs w:val="20"/>
                <w:color w:val="auto"/>
              </w:rPr>
            </w:pPr>
            <w:r>
              <w:rPr>
                <w:rFonts w:ascii="Arial" w:cs="Arial" w:eastAsia="Arial" w:hAnsi="Arial"/>
                <w:sz w:val="20"/>
                <w:szCs w:val="20"/>
                <w:color w:val="auto"/>
              </w:rPr>
              <w:t>- 1.1</w:t>
            </w:r>
          </w:p>
        </w:tc>
        <w:tc>
          <w:tcPr>
            <w:tcW w:w="3840" w:type="dxa"/>
            <w:vAlign w:val="bottom"/>
            <w:tcBorders>
              <w:right w:val="single" w:sz="8" w:color="auto"/>
            </w:tcBorders>
          </w:tcPr>
          <w:p>
            <w:pPr>
              <w:jc w:val="right"/>
              <w:ind w:right="1401"/>
              <w:spacing w:after="0"/>
              <w:rPr>
                <w:sz w:val="20"/>
                <w:szCs w:val="20"/>
                <w:color w:val="auto"/>
              </w:rPr>
            </w:pPr>
            <w:r>
              <w:rPr>
                <w:rFonts w:ascii="Arial" w:cs="Arial" w:eastAsia="Arial" w:hAnsi="Arial"/>
                <w:sz w:val="20"/>
                <w:szCs w:val="20"/>
                <w:color w:val="auto"/>
              </w:rPr>
              <w:t>(0.6) - (0.4)    (0.2) - 0.0</w:t>
            </w:r>
          </w:p>
        </w:tc>
        <w:tc>
          <w:tcPr>
            <w:tcW w:w="0" w:type="dxa"/>
            <w:vAlign w:val="bottom"/>
          </w:tcPr>
          <w:p>
            <w:pPr>
              <w:spacing w:after="0"/>
              <w:rPr>
                <w:sz w:val="1"/>
                <w:szCs w:val="1"/>
                <w:color w:val="auto"/>
              </w:rPr>
            </w:pPr>
          </w:p>
        </w:tc>
      </w:tr>
      <w:tr>
        <w:trPr>
          <w:trHeight w:val="23"/>
        </w:trPr>
        <w:tc>
          <w:tcPr>
            <w:tcW w:w="386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86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Change in unsettled derivatives (mark-to-</w:t>
            </w:r>
          </w:p>
        </w:tc>
        <w:tc>
          <w:tcPr>
            <w:tcW w:w="660" w:type="dxa"/>
            <w:vAlign w:val="bottom"/>
            <w:vMerge w:val="restart"/>
          </w:tcPr>
          <w:p>
            <w:pPr>
              <w:jc w:val="right"/>
              <w:spacing w:after="0"/>
              <w:rPr>
                <w:sz w:val="20"/>
                <w:szCs w:val="20"/>
                <w:color w:val="auto"/>
              </w:rPr>
            </w:pPr>
            <w:r>
              <w:rPr>
                <w:rFonts w:ascii="Arial" w:cs="Arial" w:eastAsia="Arial" w:hAnsi="Arial"/>
                <w:sz w:val="20"/>
                <w:szCs w:val="20"/>
                <w:color w:val="auto"/>
              </w:rPr>
              <w:t>(0.5)</w:t>
            </w:r>
          </w:p>
        </w:tc>
        <w:tc>
          <w:tcPr>
            <w:tcW w:w="1280" w:type="dxa"/>
            <w:vAlign w:val="bottom"/>
            <w:vMerge w:val="restart"/>
          </w:tcPr>
          <w:p>
            <w:pPr>
              <w:ind w:left="20"/>
              <w:spacing w:after="0"/>
              <w:rPr>
                <w:sz w:val="20"/>
                <w:szCs w:val="20"/>
                <w:color w:val="auto"/>
              </w:rPr>
            </w:pPr>
            <w:r>
              <w:rPr>
                <w:rFonts w:ascii="Arial" w:cs="Arial" w:eastAsia="Arial" w:hAnsi="Arial"/>
                <w:sz w:val="20"/>
                <w:szCs w:val="20"/>
                <w:color w:val="auto"/>
              </w:rPr>
              <w:t>- (0.1)   (0.6)</w:t>
            </w:r>
          </w:p>
        </w:tc>
        <w:tc>
          <w:tcPr>
            <w:tcW w:w="720" w:type="dxa"/>
            <w:vAlign w:val="bottom"/>
            <w:vMerge w:val="restart"/>
          </w:tcPr>
          <w:p>
            <w:pPr>
              <w:ind w:left="40"/>
              <w:spacing w:after="0"/>
              <w:rPr>
                <w:sz w:val="20"/>
                <w:szCs w:val="20"/>
                <w:color w:val="auto"/>
              </w:rPr>
            </w:pPr>
            <w:r>
              <w:rPr>
                <w:rFonts w:ascii="Arial" w:cs="Arial" w:eastAsia="Arial" w:hAnsi="Arial"/>
                <w:sz w:val="20"/>
                <w:szCs w:val="20"/>
                <w:color w:val="auto"/>
              </w:rPr>
              <w:t>- (0.2)</w:t>
            </w:r>
          </w:p>
        </w:tc>
        <w:tc>
          <w:tcPr>
            <w:tcW w:w="3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3860" w:type="dxa"/>
            <w:vAlign w:val="bottom"/>
            <w:tcBorders>
              <w:left w:val="single" w:sz="8" w:color="auto"/>
            </w:tcBorders>
            <w:vMerge w:val="restart"/>
          </w:tcPr>
          <w:p>
            <w:pPr>
              <w:ind w:left="40"/>
              <w:spacing w:after="0"/>
              <w:rPr>
                <w:sz w:val="20"/>
                <w:szCs w:val="20"/>
                <w:color w:val="auto"/>
              </w:rPr>
            </w:pPr>
            <w:r>
              <w:rPr>
                <w:rFonts w:ascii="Arial" w:cs="Arial" w:eastAsia="Arial" w:hAnsi="Arial"/>
                <w:sz w:val="20"/>
                <w:szCs w:val="20"/>
                <w:color w:val="auto"/>
              </w:rPr>
              <w:t>market)</w:t>
            </w:r>
          </w:p>
        </w:tc>
        <w:tc>
          <w:tcPr>
            <w:tcW w:w="66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3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860" w:type="dxa"/>
            <w:vAlign w:val="bottom"/>
            <w:tcBorders>
              <w:left w:val="single" w:sz="8" w:color="auto"/>
            </w:tcBorders>
            <w:vMerge w:val="continue"/>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86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Estimated effects of planned and seasonal factors, and other items impacting 3Q23 results</w:t>
      </w:r>
    </w:p>
    <w:p>
      <w:pPr>
        <w:spacing w:after="0" w:line="4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384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20"/>
                <w:szCs w:val="20"/>
                <w:color w:val="auto"/>
              </w:rPr>
              <w:t>Change in scheduled maintenance</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- 0.3</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0.0</w:t>
            </w:r>
          </w:p>
        </w:tc>
        <w:tc>
          <w:tcPr>
            <w:tcW w:w="74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- 0.2</w:t>
            </w:r>
          </w:p>
        </w:tc>
        <w:tc>
          <w:tcPr>
            <w:tcW w:w="126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rPr>
              <w:t>(0.1) - 0.1</w:t>
            </w:r>
          </w:p>
        </w:tc>
        <w:tc>
          <w:tcPr>
            <w:tcW w:w="2560" w:type="dxa"/>
            <w:vAlign w:val="bottom"/>
            <w:tcBorders>
              <w:top w:val="single" w:sz="8" w:color="auto"/>
              <w:right w:val="single" w:sz="8" w:color="auto"/>
            </w:tcBorders>
          </w:tcPr>
          <w:p>
            <w:pPr>
              <w:jc w:val="right"/>
              <w:ind w:right="1401"/>
              <w:spacing w:after="0"/>
              <w:rPr>
                <w:sz w:val="20"/>
                <w:szCs w:val="20"/>
                <w:color w:val="auto"/>
              </w:rPr>
            </w:pPr>
            <w:r>
              <w:rPr>
                <w:rFonts w:ascii="Arial" w:cs="Arial" w:eastAsia="Arial" w:hAnsi="Arial"/>
                <w:sz w:val="20"/>
                <w:szCs w:val="20"/>
                <w:color w:val="auto"/>
              </w:rPr>
              <w:t>(0.1) - 0.1</w:t>
            </w:r>
          </w:p>
        </w:tc>
        <w:tc>
          <w:tcPr>
            <w:tcW w:w="0" w:type="dxa"/>
            <w:vAlign w:val="bottom"/>
          </w:tcPr>
          <w:p>
            <w:pPr>
              <w:spacing w:after="0"/>
              <w:rPr>
                <w:sz w:val="1"/>
                <w:szCs w:val="1"/>
                <w:color w:val="auto"/>
              </w:rPr>
            </w:pPr>
          </w:p>
        </w:tc>
      </w:tr>
      <w:tr>
        <w:trPr>
          <w:trHeight w:val="23"/>
        </w:trPr>
        <w:tc>
          <w:tcPr>
            <w:tcW w:w="384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92"/>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Identified Items</w:t>
            </w:r>
          </w:p>
        </w:tc>
        <w:tc>
          <w:tcPr>
            <w:tcW w:w="6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84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Additional European taxes on the energy</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(0.1)</w:t>
            </w:r>
          </w:p>
        </w:tc>
        <w:tc>
          <w:tcPr>
            <w:tcW w:w="700" w:type="dxa"/>
            <w:vAlign w:val="bottom"/>
            <w:vMerge w:val="restart"/>
          </w:tcPr>
          <w:p>
            <w:pPr>
              <w:ind w:left="20"/>
              <w:spacing w:after="0"/>
              <w:rPr>
                <w:sz w:val="20"/>
                <w:szCs w:val="20"/>
                <w:color w:val="auto"/>
              </w:rPr>
            </w:pPr>
            <w:r>
              <w:rPr>
                <w:rFonts w:ascii="Arial" w:cs="Arial" w:eastAsia="Arial" w:hAnsi="Arial"/>
                <w:sz w:val="20"/>
                <w:szCs w:val="20"/>
                <w:color w:val="auto"/>
              </w:rPr>
              <w:t>- (0.0)</w:t>
            </w:r>
          </w:p>
        </w:tc>
        <w:tc>
          <w:tcPr>
            <w:tcW w:w="580" w:type="dxa"/>
            <w:vAlign w:val="bottom"/>
            <w:vMerge w:val="restart"/>
          </w:tcPr>
          <w:p>
            <w:pPr>
              <w:jc w:val="right"/>
              <w:spacing w:after="0"/>
              <w:rPr>
                <w:sz w:val="20"/>
                <w:szCs w:val="20"/>
                <w:color w:val="auto"/>
              </w:rPr>
            </w:pPr>
            <w:r>
              <w:rPr>
                <w:rFonts w:ascii="Arial" w:cs="Arial" w:eastAsia="Arial" w:hAnsi="Arial"/>
                <w:sz w:val="20"/>
                <w:szCs w:val="20"/>
                <w:color w:val="auto"/>
              </w:rPr>
              <w:t>(0.1)</w:t>
            </w:r>
          </w:p>
        </w:tc>
        <w:tc>
          <w:tcPr>
            <w:tcW w:w="740" w:type="dxa"/>
            <w:vAlign w:val="bottom"/>
            <w:vMerge w:val="restart"/>
          </w:tcPr>
          <w:p>
            <w:pPr>
              <w:ind w:left="40"/>
              <w:spacing w:after="0"/>
              <w:rPr>
                <w:sz w:val="20"/>
                <w:szCs w:val="20"/>
                <w:color w:val="auto"/>
              </w:rPr>
            </w:pPr>
            <w:r>
              <w:rPr>
                <w:rFonts w:ascii="Arial" w:cs="Arial" w:eastAsia="Arial" w:hAnsi="Arial"/>
                <w:sz w:val="20"/>
                <w:szCs w:val="20"/>
                <w:color w:val="auto"/>
              </w:rPr>
              <w:t>- (0.0)</w:t>
            </w:r>
          </w:p>
        </w:tc>
        <w:tc>
          <w:tcPr>
            <w:tcW w:w="1260" w:type="dxa"/>
            <w:vAlign w:val="bottom"/>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3840" w:type="dxa"/>
            <w:vAlign w:val="bottom"/>
            <w:tcBorders>
              <w:left w:val="single" w:sz="8" w:color="auto"/>
            </w:tcBorders>
            <w:vMerge w:val="restart"/>
          </w:tcPr>
          <w:p>
            <w:pPr>
              <w:ind w:left="40"/>
              <w:spacing w:after="0"/>
              <w:rPr>
                <w:sz w:val="20"/>
                <w:szCs w:val="20"/>
                <w:color w:val="auto"/>
              </w:rPr>
            </w:pPr>
            <w:r>
              <w:rPr>
                <w:rFonts w:ascii="Arial" w:cs="Arial" w:eastAsia="Arial" w:hAnsi="Arial"/>
                <w:sz w:val="20"/>
                <w:szCs w:val="20"/>
                <w:color w:val="auto"/>
              </w:rPr>
              <w:t>sector</w:t>
            </w:r>
          </w:p>
        </w:tc>
        <w:tc>
          <w:tcPr>
            <w:tcW w:w="6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25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840" w:type="dxa"/>
            <w:vAlign w:val="bottom"/>
            <w:tcBorders>
              <w:left w:val="single" w:sz="8" w:color="auto"/>
            </w:tcBorders>
            <w:vMerge w:val="continue"/>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84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96"/>
        </w:trPr>
        <w:tc>
          <w:tcPr>
            <w:tcW w:w="3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jc w:val="right"/>
              <w:ind w:right="24"/>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958" w:right="319" w:bottom="1440" w:gutter="0" w:footer="0" w:header="0"/>
        </w:sectPr>
      </w:pPr>
    </w:p>
    <w:bookmarkStart w:id="5" w:name="page6"/>
    <w:bookmarkEnd w:id="5"/>
    <w:p>
      <w:pPr>
        <w:ind w:right="60"/>
        <w:spacing w:after="0" w:line="238" w:lineRule="auto"/>
        <w:rPr>
          <w:sz w:val="20"/>
          <w:szCs w:val="20"/>
          <w:color w:val="auto"/>
        </w:rPr>
      </w:pPr>
      <w:r>
        <w:rPr>
          <w:rFonts w:ascii="Arial" w:cs="Arial" w:eastAsia="Arial" w:hAnsi="Arial"/>
          <w:sz w:val="20"/>
          <w:szCs w:val="20"/>
          <w:color w:val="auto"/>
        </w:rPr>
        <w:t>Outlooks, estimates, projections, and other statements of future financial impacts of certain factors as provided in this publication are forward-looking statements within the meaning of the Private Securities Litigation Reform Act. Actual future impacts of these certain factors for 3Q 2023 may vary from our estimates for a number of reasons, including additional unidentified factors related to: sales volume and sales mix numbers; supply and demand imbalances including as a result of direct or indirect restrictions on production; regional pricing differentials and refining and chemical margins; seasonal impacts on product demand and operating expenses; resolution of trading and derivative positions for the quarter; global and regional hostilities, nationalizations, war, terrorism, or civil unrest and its impact on markets and our assets around the world; price impacts and the broader government responses to inflationary pressures; changes in interest and exchange rates; supply chain disruptions; planned cash and operating expense reductions; total capital expenditures and mix; maintenance costs and incidents; production shut-ins and mix; financing costs; the resolution of any contingencies and uncertain tax positions; environmental expenditures; impact of fiscal, contractual, and commercial terms applicable to the quarter; the outcome of commercial negotiations related to the quarter; the timing and regulatory approval of any acquisitions or divestments; regional differences for product demand; changes in consumer behavior including the impact of inflation and/or recession; actions by governments or independent administrative bureaucracies to increase our costs, decrease our ability to produce or replenish reserves, or prevent the expansion of our low carbon solutions businesses; changes in asset valuation or estimates of fair value as of a certain date; updates or corrections of any estimate used herein; and other market conditions in the oil, natural gas, petroleum, and petrochemical industries. Furthermore, additional factors may exist that will be relevant to 3Q 2023 results that are not currently known or fully understood, including our participation in joint ventures or developments operated by third parties and other factors cited in Item 1A. Risk Factors of our most recent Annual and Quarterly Reports available on the Investors page of our website at www.exxonmobil.com. All forward-looking statements and the assumptions in this filing speak only as of the date hereof. We do not assume or undertake any obligation to update these forward-looking statements or assumptions as of any future date. Any future update or expansion of the forward-looking statements in this filing will be provided only through a public disclosure indicating that fact.</w:t>
      </w:r>
    </w:p>
    <w:p>
      <w:pPr>
        <w:spacing w:after="0" w:line="236"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Earnings (loss) excluding Identified Items (non-GAAP) is defined as earnings (loss) excluding individually significant non-operational events with, typically, an absolute corporate total earnings impact of at least $250 million in a given quarter. The earnings (loss) impact of an Identified Item for an individual segment may be less than $250 million when the item impacts several periods or several segments. Earnings (loss) excluding Identified Items does include non-operational earnings events or impacts that are generally below the $250 million threshold utilized for identified items. When the effect of these events is material in aggregate, it is indicated in analysis of period results as part of quarterly earnings press release and teleconference materials. Management uses these figures to improve comparability of the underlying business across multiple periods by isolating and removing significant non-operational events from business results. The Corporation believes this view provides investors increased transparency into business results and trends and provides investors with a view of the business as seen through the eyes of management. Earnings (loss) excluding Identified Items is not meant to be viewed in isolation or as a substitute for net income (loss) attributable to ExxonMobil as prepared in accordance with U.S. GAAP.</w:t>
      </w:r>
    </w:p>
    <w:p>
      <w:pPr>
        <w:spacing w:after="0" w:line="213"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In accordance with Regulation FD, we are hereby providing notice the Company currently intends to furnish its 3Q 2023 financial results both (1) by posting them on our website at www.exxonmobil.com and (2) in a filing on Form 8-K in the Securities and Exchange Commission EDGAR system, each at approximately 5:30 a.m. CT Friday, October 27, 2023. In the event the EDGAR system experiences technical difficulties or the Company is unable to successfully complete its 8-K filing at the intended time, investors and the public should look for this information at that time on our website. In case of a failed filing, the Company intends to furnish the information on EDGAR as soon as possible after 5:30 a.m. CT Friday, October 27, 2023.</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240"/>
      </w:cols>
      <w:pgMar w:left="320" w:top="7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2023-10-04T15:45:05Z</dcterms:created>
  <dcterms:modified xsi:type="dcterms:W3CDTF">2023-10-04T15:45:05Z</dcterms:modified>
</cp:coreProperties>
</file>