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3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October 1, 2020</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Exxon Mobil Corporation</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2940" w:type="dxa"/>
            <w:vAlign w:val="bottom"/>
            <w:gridSpan w:val="2"/>
          </w:tcPr>
          <w:p>
            <w:pPr>
              <w:jc w:val="center"/>
              <w:ind w:left="730"/>
              <w:spacing w:after="0"/>
              <w:rPr>
                <w:sz w:val="20"/>
                <w:szCs w:val="20"/>
                <w:color w:val="auto"/>
              </w:rPr>
            </w:pPr>
            <w:r>
              <w:rPr>
                <w:rFonts w:ascii="Times New Roman" w:cs="Times New Roman" w:eastAsia="Times New Roman" w:hAnsi="Times New Roman"/>
                <w:sz w:val="22"/>
                <w:szCs w:val="22"/>
                <w:b w:val="1"/>
                <w:bCs w:val="1"/>
                <w:color w:val="auto"/>
                <w:w w:val="97"/>
              </w:rPr>
              <w:t>New Jersey</w:t>
            </w:r>
          </w:p>
        </w:tc>
        <w:tc>
          <w:tcPr>
            <w:tcW w:w="5480" w:type="dxa"/>
            <w:vAlign w:val="bottom"/>
          </w:tcPr>
          <w:p>
            <w:pPr>
              <w:jc w:val="center"/>
              <w:ind w:right="150"/>
              <w:spacing w:after="0"/>
              <w:rPr>
                <w:sz w:val="20"/>
                <w:szCs w:val="20"/>
                <w:color w:val="auto"/>
              </w:rPr>
            </w:pPr>
            <w:r>
              <w:rPr>
                <w:rFonts w:ascii="Times New Roman" w:cs="Times New Roman" w:eastAsia="Times New Roman" w:hAnsi="Times New Roman"/>
                <w:sz w:val="22"/>
                <w:szCs w:val="22"/>
                <w:b w:val="1"/>
                <w:bCs w:val="1"/>
                <w:color w:val="auto"/>
                <w:w w:val="96"/>
              </w:rPr>
              <w:t>1-2256</w:t>
            </w:r>
          </w:p>
        </w:tc>
        <w:tc>
          <w:tcPr>
            <w:tcW w:w="2820" w:type="dxa"/>
            <w:vAlign w:val="bottom"/>
            <w:gridSpan w:val="2"/>
          </w:tcPr>
          <w:p>
            <w:pPr>
              <w:ind w:left="360"/>
              <w:spacing w:after="0"/>
              <w:rPr>
                <w:sz w:val="20"/>
                <w:szCs w:val="20"/>
                <w:color w:val="auto"/>
              </w:rPr>
            </w:pPr>
            <w:r>
              <w:rPr>
                <w:rFonts w:ascii="Times New Roman" w:cs="Times New Roman" w:eastAsia="Times New Roman" w:hAnsi="Times New Roman"/>
                <w:sz w:val="22"/>
                <w:szCs w:val="22"/>
                <w:b w:val="1"/>
                <w:bCs w:val="1"/>
                <w:color w:val="auto"/>
              </w:rPr>
              <w:t>13-5409005</w:t>
            </w:r>
          </w:p>
        </w:tc>
        <w:tc>
          <w:tcPr>
            <w:tcW w:w="0" w:type="dxa"/>
            <w:vAlign w:val="bottom"/>
          </w:tcPr>
          <w:p>
            <w:pPr>
              <w:spacing w:after="0"/>
              <w:rPr>
                <w:sz w:val="1"/>
                <w:szCs w:val="1"/>
                <w:color w:val="auto"/>
              </w:rPr>
            </w:pPr>
          </w:p>
        </w:tc>
      </w:tr>
      <w:tr>
        <w:trPr>
          <w:trHeight w:val="215"/>
        </w:trPr>
        <w:tc>
          <w:tcPr>
            <w:tcW w:w="2940" w:type="dxa"/>
            <w:vAlign w:val="bottom"/>
            <w:gridSpan w:val="2"/>
          </w:tcPr>
          <w:p>
            <w:pPr>
              <w:jc w:val="center"/>
              <w:ind w:left="730"/>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54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(Commission</w:t>
            </w:r>
          </w:p>
        </w:tc>
        <w:tc>
          <w:tcPr>
            <w:tcW w:w="2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234"/>
        </w:trPr>
        <w:tc>
          <w:tcPr>
            <w:tcW w:w="294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4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File Number)</w:t>
            </w:r>
          </w:p>
        </w:tc>
        <w:tc>
          <w:tcPr>
            <w:tcW w:w="2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Identification No.)</w:t>
            </w:r>
          </w:p>
        </w:tc>
        <w:tc>
          <w:tcPr>
            <w:tcW w:w="0" w:type="dxa"/>
            <w:vAlign w:val="bottom"/>
          </w:tcPr>
          <w:p>
            <w:pPr>
              <w:spacing w:after="0"/>
              <w:rPr>
                <w:sz w:val="1"/>
                <w:szCs w:val="1"/>
                <w:color w:val="auto"/>
              </w:rPr>
            </w:pPr>
          </w:p>
        </w:tc>
      </w:tr>
      <w:tr>
        <w:trPr>
          <w:trHeight w:val="654"/>
        </w:trPr>
        <w:tc>
          <w:tcPr>
            <w:tcW w:w="1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480" w:type="dxa"/>
            <w:vAlign w:val="bottom"/>
          </w:tcPr>
          <w:p>
            <w:pPr>
              <w:jc w:val="center"/>
              <w:ind w:right="10"/>
              <w:spacing w:after="0"/>
              <w:rPr>
                <w:sz w:val="20"/>
                <w:szCs w:val="20"/>
                <w:color w:val="auto"/>
              </w:rPr>
            </w:pPr>
            <w:r>
              <w:rPr>
                <w:rFonts w:ascii="Times New Roman" w:cs="Times New Roman" w:eastAsia="Times New Roman" w:hAnsi="Times New Roman"/>
                <w:sz w:val="22"/>
                <w:szCs w:val="22"/>
                <w:b w:val="1"/>
                <w:bCs w:val="1"/>
                <w:color w:val="auto"/>
                <w:w w:val="97"/>
              </w:rPr>
              <w:t>5959 Las Colinas Boulevard, Irving, Texas 75039-2298</w:t>
            </w:r>
          </w:p>
        </w:tc>
        <w:tc>
          <w:tcPr>
            <w:tcW w:w="1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4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(Address of principal executive offices) (Zip Code)</w:t>
            </w:r>
          </w:p>
        </w:tc>
        <w:tc>
          <w:tcPr>
            <w:tcW w:w="1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7"/>
        </w:trPr>
        <w:tc>
          <w:tcPr>
            <w:tcW w:w="1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4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21"/>
                <w:szCs w:val="21"/>
                <w:b w:val="1"/>
                <w:bCs w:val="1"/>
                <w:color w:val="auto"/>
              </w:rPr>
              <w:t>(972) 940-6000</w:t>
            </w:r>
          </w:p>
        </w:tc>
        <w:tc>
          <w:tcPr>
            <w:tcW w:w="1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170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7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4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11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0"/>
        </w:trPr>
        <w:tc>
          <w:tcPr>
            <w:tcW w:w="1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480" w:type="dxa"/>
            <w:vAlign w:val="bottom"/>
          </w:tcPr>
          <w:p>
            <w:pPr>
              <w:jc w:val="center"/>
              <w:ind w:right="9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8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color w:val="auto"/>
              </w:rPr>
              <w:t>Name of Each Exchange</w:t>
            </w:r>
          </w:p>
        </w:tc>
        <w:tc>
          <w:tcPr>
            <w:tcW w:w="0" w:type="dxa"/>
            <w:vAlign w:val="bottom"/>
          </w:tcPr>
          <w:p>
            <w:pPr>
              <w:spacing w:after="0"/>
              <w:rPr>
                <w:sz w:val="1"/>
                <w:szCs w:val="1"/>
                <w:color w:val="auto"/>
              </w:rPr>
            </w:pPr>
          </w:p>
        </w:tc>
      </w:tr>
      <w:tr>
        <w:trPr>
          <w:trHeight w:val="110"/>
        </w:trPr>
        <w:tc>
          <w:tcPr>
            <w:tcW w:w="2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Title of Each Class</w:t>
            </w:r>
          </w:p>
        </w:tc>
        <w:tc>
          <w:tcPr>
            <w:tcW w:w="5480" w:type="dxa"/>
            <w:vAlign w:val="bottom"/>
            <w:vMerge w:val="restart"/>
          </w:tcPr>
          <w:p>
            <w:pPr>
              <w:jc w:val="center"/>
              <w:ind w:right="90"/>
              <w:spacing w:after="0"/>
              <w:rPr>
                <w:sz w:val="20"/>
                <w:szCs w:val="20"/>
                <w:color w:val="auto"/>
              </w:rPr>
            </w:pPr>
            <w:r>
              <w:rPr>
                <w:rFonts w:ascii="Times New Roman" w:cs="Times New Roman" w:eastAsia="Times New Roman" w:hAnsi="Times New Roman"/>
                <w:sz w:val="14"/>
                <w:szCs w:val="14"/>
                <w:color w:val="auto"/>
              </w:rPr>
              <w:t>Trading Symbol</w:t>
            </w:r>
          </w:p>
        </w:tc>
        <w:tc>
          <w:tcPr>
            <w:tcW w:w="28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940" w:type="dxa"/>
            <w:vAlign w:val="bottom"/>
            <w:tcBorders>
              <w:bottom w:val="single" w:sz="8" w:color="auto"/>
            </w:tcBorders>
            <w:gridSpan w:val="2"/>
            <w:vMerge w:val="continue"/>
          </w:tcPr>
          <w:p>
            <w:pPr>
              <w:spacing w:after="0"/>
              <w:rPr>
                <w:sz w:val="14"/>
                <w:szCs w:val="14"/>
                <w:color w:val="auto"/>
              </w:rPr>
            </w:pPr>
          </w:p>
        </w:tc>
        <w:tc>
          <w:tcPr>
            <w:tcW w:w="5480" w:type="dxa"/>
            <w:vAlign w:val="bottom"/>
            <w:tcBorders>
              <w:bottom w:val="single" w:sz="8" w:color="auto"/>
            </w:tcBorders>
            <w:vMerge w:val="continue"/>
          </w:tcPr>
          <w:p>
            <w:pPr>
              <w:spacing w:after="0"/>
              <w:rPr>
                <w:sz w:val="14"/>
                <w:szCs w:val="14"/>
                <w:color w:val="auto"/>
              </w:rPr>
            </w:pPr>
          </w:p>
        </w:tc>
        <w:tc>
          <w:tcPr>
            <w:tcW w:w="2820" w:type="dxa"/>
            <w:vAlign w:val="bottom"/>
            <w:tcBorders>
              <w:bottom w:val="single" w:sz="8" w:color="auto"/>
            </w:tcBorders>
            <w:gridSpan w:val="2"/>
          </w:tcPr>
          <w:p>
            <w:pPr>
              <w:ind w:left="660"/>
              <w:spacing w:after="0"/>
              <w:rPr>
                <w:sz w:val="20"/>
                <w:szCs w:val="20"/>
                <w:color w:val="auto"/>
              </w:rPr>
            </w:pPr>
            <w:r>
              <w:rPr>
                <w:rFonts w:ascii="Times New Roman" w:cs="Times New Roman" w:eastAsia="Times New Roman" w:hAnsi="Times New Roman"/>
                <w:sz w:val="14"/>
                <w:szCs w:val="14"/>
                <w:color w:val="auto"/>
              </w:rPr>
              <w:t>on Which Registered</w:t>
            </w:r>
          </w:p>
        </w:tc>
        <w:tc>
          <w:tcPr>
            <w:tcW w:w="0" w:type="dxa"/>
            <w:vAlign w:val="bottom"/>
          </w:tcPr>
          <w:p>
            <w:pPr>
              <w:spacing w:after="0"/>
              <w:rPr>
                <w:sz w:val="1"/>
                <w:szCs w:val="1"/>
                <w:color w:val="auto"/>
              </w:rPr>
            </w:pPr>
          </w:p>
        </w:tc>
      </w:tr>
      <w:tr>
        <w:trPr>
          <w:trHeight w:val="190"/>
        </w:trPr>
        <w:tc>
          <w:tcPr>
            <w:tcW w:w="2940" w:type="dxa"/>
            <w:vAlign w:val="bottom"/>
            <w:gridSpan w:val="2"/>
          </w:tcPr>
          <w:p>
            <w:pPr>
              <w:ind w:left="20"/>
              <w:spacing w:after="0" w:line="190" w:lineRule="exact"/>
              <w:rPr>
                <w:sz w:val="20"/>
                <w:szCs w:val="20"/>
                <w:color w:val="auto"/>
              </w:rPr>
            </w:pPr>
            <w:r>
              <w:rPr>
                <w:rFonts w:ascii="Times New Roman" w:cs="Times New Roman" w:eastAsia="Times New Roman" w:hAnsi="Times New Roman"/>
                <w:sz w:val="18"/>
                <w:szCs w:val="18"/>
                <w:color w:val="auto"/>
              </w:rPr>
              <w:t>Common Stock, without par value</w:t>
            </w:r>
          </w:p>
        </w:tc>
        <w:tc>
          <w:tcPr>
            <w:tcW w:w="5480" w:type="dxa"/>
            <w:vAlign w:val="bottom"/>
          </w:tcPr>
          <w:p>
            <w:pPr>
              <w:jc w:val="center"/>
              <w:ind w:right="90"/>
              <w:spacing w:after="0" w:line="190" w:lineRule="exact"/>
              <w:rPr>
                <w:sz w:val="20"/>
                <w:szCs w:val="20"/>
                <w:color w:val="auto"/>
              </w:rPr>
            </w:pPr>
            <w:r>
              <w:rPr>
                <w:rFonts w:ascii="Times New Roman" w:cs="Times New Roman" w:eastAsia="Times New Roman" w:hAnsi="Times New Roman"/>
                <w:sz w:val="18"/>
                <w:szCs w:val="18"/>
                <w:color w:val="auto"/>
                <w:w w:val="99"/>
              </w:rPr>
              <w:t>XOM</w:t>
            </w:r>
          </w:p>
        </w:tc>
        <w:tc>
          <w:tcPr>
            <w:tcW w:w="2820" w:type="dxa"/>
            <w:vAlign w:val="bottom"/>
            <w:gridSpan w:val="2"/>
          </w:tcPr>
          <w:p>
            <w:pPr>
              <w:ind w:left="340"/>
              <w:spacing w:after="0" w:line="190" w:lineRule="exact"/>
              <w:rPr>
                <w:sz w:val="20"/>
                <w:szCs w:val="20"/>
                <w:color w:val="auto"/>
              </w:rPr>
            </w:pPr>
            <w:r>
              <w:rPr>
                <w:rFonts w:ascii="Times New Roman" w:cs="Times New Roman" w:eastAsia="Times New Roman" w:hAnsi="Times New Roman"/>
                <w:sz w:val="18"/>
                <w:szCs w:val="18"/>
                <w:color w:val="auto"/>
              </w:rPr>
              <w:t>New York Stock Exchange</w:t>
            </w:r>
          </w:p>
        </w:tc>
        <w:tc>
          <w:tcPr>
            <w:tcW w:w="0" w:type="dxa"/>
            <w:vAlign w:val="bottom"/>
          </w:tcPr>
          <w:p>
            <w:pPr>
              <w:spacing w:after="0"/>
              <w:rPr>
                <w:sz w:val="1"/>
                <w:szCs w:val="1"/>
                <w:color w:val="auto"/>
              </w:rPr>
            </w:pPr>
          </w:p>
        </w:tc>
      </w:tr>
      <w:tr>
        <w:trPr>
          <w:trHeight w:val="215"/>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0.142% Notes due 2024</w:t>
            </w:r>
          </w:p>
        </w:tc>
        <w:tc>
          <w:tcPr>
            <w:tcW w:w="54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XOM24B</w:t>
            </w:r>
          </w:p>
        </w:tc>
        <w:tc>
          <w:tcPr>
            <w:tcW w:w="2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New York Stock Exchange</w:t>
            </w:r>
          </w:p>
        </w:tc>
        <w:tc>
          <w:tcPr>
            <w:tcW w:w="0" w:type="dxa"/>
            <w:vAlign w:val="bottom"/>
          </w:tcPr>
          <w:p>
            <w:pPr>
              <w:spacing w:after="0"/>
              <w:rPr>
                <w:sz w:val="1"/>
                <w:szCs w:val="1"/>
                <w:color w:val="auto"/>
              </w:rPr>
            </w:pPr>
          </w:p>
        </w:tc>
      </w:tr>
      <w:tr>
        <w:trPr>
          <w:trHeight w:val="215"/>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0.524% Notes due 2028</w:t>
            </w:r>
          </w:p>
        </w:tc>
        <w:tc>
          <w:tcPr>
            <w:tcW w:w="54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XOM28</w:t>
            </w:r>
          </w:p>
        </w:tc>
        <w:tc>
          <w:tcPr>
            <w:tcW w:w="2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New York Stock Exchange</w:t>
            </w:r>
          </w:p>
        </w:tc>
        <w:tc>
          <w:tcPr>
            <w:tcW w:w="0" w:type="dxa"/>
            <w:vAlign w:val="bottom"/>
          </w:tcPr>
          <w:p>
            <w:pPr>
              <w:spacing w:after="0"/>
              <w:rPr>
                <w:sz w:val="1"/>
                <w:szCs w:val="1"/>
                <w:color w:val="auto"/>
              </w:rPr>
            </w:pPr>
          </w:p>
        </w:tc>
      </w:tr>
      <w:tr>
        <w:trPr>
          <w:trHeight w:val="215"/>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0.835% Notes due 2032</w:t>
            </w:r>
          </w:p>
        </w:tc>
        <w:tc>
          <w:tcPr>
            <w:tcW w:w="54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XOM32</w:t>
            </w:r>
          </w:p>
        </w:tc>
        <w:tc>
          <w:tcPr>
            <w:tcW w:w="2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New York Stock Exchange</w:t>
            </w:r>
          </w:p>
        </w:tc>
        <w:tc>
          <w:tcPr>
            <w:tcW w:w="0" w:type="dxa"/>
            <w:vAlign w:val="bottom"/>
          </w:tcPr>
          <w:p>
            <w:pPr>
              <w:spacing w:after="0"/>
              <w:rPr>
                <w:sz w:val="1"/>
                <w:szCs w:val="1"/>
                <w:color w:val="auto"/>
              </w:rPr>
            </w:pPr>
          </w:p>
        </w:tc>
      </w:tr>
      <w:tr>
        <w:trPr>
          <w:trHeight w:val="234"/>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1.408% Notes due 2039</w:t>
            </w:r>
          </w:p>
        </w:tc>
        <w:tc>
          <w:tcPr>
            <w:tcW w:w="54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XOM39A</w:t>
            </w:r>
          </w:p>
        </w:tc>
        <w:tc>
          <w:tcPr>
            <w:tcW w:w="2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New York Stock Exchange</w:t>
            </w:r>
          </w:p>
        </w:tc>
        <w:tc>
          <w:tcPr>
            <w:tcW w:w="0" w:type="dxa"/>
            <w:vAlign w:val="bottom"/>
          </w:tcPr>
          <w:p>
            <w:pPr>
              <w:spacing w:after="0"/>
              <w:rPr>
                <w:sz w:val="1"/>
                <w:szCs w:val="1"/>
                <w:color w:val="auto"/>
              </w:rPr>
            </w:pPr>
          </w:p>
        </w:tc>
      </w:tr>
    </w:tbl>
    <w:p>
      <w:pPr>
        <w:spacing w:after="0" w:line="18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26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83" w:lineRule="exact"/>
        <w:rPr>
          <w:rFonts w:ascii="MS PGothic" w:cs="MS PGothic" w:eastAsia="MS PGothic" w:hAnsi="MS PGothic"/>
          <w:sz w:val="20"/>
          <w:szCs w:val="20"/>
          <w:color w:val="auto"/>
        </w:rPr>
      </w:pPr>
    </w:p>
    <w:p>
      <w:pPr>
        <w:ind w:left="220" w:hanging="212"/>
        <w:spacing w:after="0"/>
        <w:tabs>
          <w:tab w:leader="none" w:pos="22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83" w:lineRule="exact"/>
        <w:rPr>
          <w:rFonts w:ascii="MS PGothic" w:cs="MS PGothic" w:eastAsia="MS PGothic" w:hAnsi="MS PGothic"/>
          <w:sz w:val="20"/>
          <w:szCs w:val="20"/>
          <w:color w:val="auto"/>
        </w:rPr>
      </w:pPr>
    </w:p>
    <w:p>
      <w:pPr>
        <w:ind w:left="220" w:hanging="212"/>
        <w:spacing w:after="0"/>
        <w:tabs>
          <w:tab w:leader="none" w:pos="22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83" w:lineRule="exact"/>
        <w:rPr>
          <w:rFonts w:ascii="MS PGothic" w:cs="MS PGothic" w:eastAsia="MS PGothic" w:hAnsi="MS PGothic"/>
          <w:sz w:val="20"/>
          <w:szCs w:val="20"/>
          <w:color w:val="auto"/>
        </w:rPr>
      </w:pPr>
    </w:p>
    <w:p>
      <w:pPr>
        <w:ind w:left="220" w:hanging="212"/>
        <w:spacing w:after="0"/>
        <w:tabs>
          <w:tab w:leader="none" w:pos="22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97" w:lineRule="exact"/>
        <w:rPr>
          <w:sz w:val="24"/>
          <w:szCs w:val="24"/>
          <w:color w:val="auto"/>
        </w:rPr>
      </w:pPr>
    </w:p>
    <w:p>
      <w:pPr>
        <w:ind w:right="200"/>
        <w:spacing w:after="0" w:line="26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340"/>
        <w:spacing w:after="0" w:line="219"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9"/>
          <w:szCs w:val="19"/>
          <w:color w:val="auto"/>
        </w:rPr>
        <w:t>☐</w:t>
      </w:r>
    </w:p>
    <w:p>
      <w:pPr>
        <w:spacing w:after="0" w:line="217" w:lineRule="exact"/>
        <w:rPr>
          <w:sz w:val="24"/>
          <w:szCs w:val="24"/>
          <w:color w:val="auto"/>
        </w:rPr>
      </w:pPr>
    </w:p>
    <w:p>
      <w:pPr>
        <w:ind w:right="620"/>
        <w:spacing w:after="0" w:line="242"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95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9"/>
          <w:szCs w:val="19"/>
          <w:color w:val="auto"/>
        </w:rPr>
        <w:t>Item 7.01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Regulation FD Disclosure.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information is furnished pursuant to Item 7.01.</w:t>
      </w:r>
    </w:p>
    <w:p>
      <w:pPr>
        <w:spacing w:after="0" w:line="200" w:lineRule="exact"/>
        <w:rPr>
          <w:sz w:val="20"/>
          <w:szCs w:val="20"/>
          <w:color w:val="auto"/>
        </w:rPr>
      </w:pPr>
    </w:p>
    <w:p>
      <w:pPr>
        <w:sectPr>
          <w:pgSz w:w="11900" w:h="16838" w:orient="portrait"/>
          <w:cols w:equalWidth="0" w:num="2">
            <w:col w:w="980" w:space="720"/>
            <w:col w:w="8339"/>
          </w:cols>
          <w:pgMar w:left="420" w:top="62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124460</wp:posOffset>
            </wp:positionV>
            <wp:extent cx="713295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039"/>
          </w:cols>
          <w:pgMar w:left="420" w:top="628" w:right="144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58"/>
        </w:trPr>
        <w:tc>
          <w:tcPr>
            <w:tcW w:w="9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96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INDEX TO EXHIBITS</w:t>
            </w:r>
          </w:p>
        </w:tc>
      </w:tr>
      <w:tr>
        <w:trPr>
          <w:trHeight w:val="868"/>
        </w:trPr>
        <w:tc>
          <w:tcPr>
            <w:tcW w:w="1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No.</w:t>
            </w:r>
          </w:p>
        </w:tc>
        <w:tc>
          <w:tcPr>
            <w:tcW w:w="5820" w:type="dxa"/>
            <w:vAlign w:val="bottom"/>
            <w:gridSpan w:val="3"/>
          </w:tcPr>
          <w:p>
            <w:pPr>
              <w:ind w:left="940"/>
              <w:spacing w:after="0"/>
              <w:rPr>
                <w:sz w:val="20"/>
                <w:szCs w:val="20"/>
                <w:color w:val="auto"/>
              </w:rPr>
            </w:pPr>
            <w:r>
              <w:rPr>
                <w:rFonts w:ascii="Times New Roman" w:cs="Times New Roman" w:eastAsia="Times New Roman" w:hAnsi="Times New Roman"/>
                <w:sz w:val="20"/>
                <w:szCs w:val="20"/>
                <w:color w:val="auto"/>
              </w:rPr>
              <w:t>Description</w:t>
            </w:r>
          </w:p>
        </w:tc>
      </w:tr>
      <w:tr>
        <w:trPr>
          <w:trHeight w:val="20"/>
        </w:trPr>
        <w:tc>
          <w:tcPr>
            <w:tcW w:w="9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r>
      <w:tr>
        <w:trPr>
          <w:trHeight w:val="484"/>
        </w:trPr>
        <w:tc>
          <w:tcPr>
            <w:tcW w:w="920" w:type="dxa"/>
            <w:vAlign w:val="bottom"/>
          </w:tcPr>
          <w:p>
            <w:pPr>
              <w:spacing w:after="0"/>
              <w:rPr>
                <w:rFonts w:ascii="Times New Roman" w:cs="Times New Roman" w:eastAsia="Times New Roman" w:hAnsi="Times New Roman"/>
                <w:sz w:val="20"/>
                <w:szCs w:val="20"/>
                <w:u w:val="single" w:color="auto"/>
                <w:color w:val="0000FF"/>
              </w:rPr>
            </w:pPr>
            <w:hyperlink w:anchor="page6">
              <w:r>
                <w:rPr>
                  <w:rFonts w:ascii="Times New Roman" w:cs="Times New Roman" w:eastAsia="Times New Roman" w:hAnsi="Times New Roman"/>
                  <w:sz w:val="20"/>
                  <w:szCs w:val="20"/>
                  <w:u w:val="single" w:color="auto"/>
                  <w:color w:val="0000FF"/>
                </w:rPr>
                <w:t>99.1</w:t>
              </w:r>
            </w:hyperlink>
          </w:p>
        </w:tc>
        <w:tc>
          <w:tcPr>
            <w:tcW w:w="960" w:type="dxa"/>
            <w:vAlign w:val="bottom"/>
          </w:tcPr>
          <w:p>
            <w:pPr>
              <w:spacing w:after="0"/>
              <w:rPr>
                <w:sz w:val="24"/>
                <w:szCs w:val="24"/>
                <w:color w:val="auto"/>
              </w:rPr>
            </w:pPr>
          </w:p>
        </w:tc>
        <w:tc>
          <w:tcPr>
            <w:tcW w:w="5820" w:type="dxa"/>
            <w:vAlign w:val="bottom"/>
            <w:gridSpan w:val="3"/>
          </w:tcPr>
          <w:p>
            <w:pPr>
              <w:ind w:left="940"/>
              <w:spacing w:after="0"/>
              <w:rPr>
                <w:sz w:val="20"/>
                <w:szCs w:val="20"/>
                <w:color w:val="auto"/>
              </w:rPr>
            </w:pPr>
            <w:r>
              <w:rPr>
                <w:rFonts w:ascii="Times New Roman" w:cs="Times New Roman" w:eastAsia="Times New Roman" w:hAnsi="Times New Roman"/>
                <w:sz w:val="20"/>
                <w:szCs w:val="20"/>
                <w:color w:val="auto"/>
              </w:rPr>
              <w:t>Exxon Mobil Corporation 3Q20 Earnings Considerations.</w:t>
            </w:r>
          </w:p>
        </w:tc>
      </w:tr>
      <w:tr>
        <w:trPr>
          <w:trHeight w:val="457"/>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960" w:type="dxa"/>
            <w:vAlign w:val="bottom"/>
          </w:tcPr>
          <w:p>
            <w:pPr>
              <w:spacing w:after="0"/>
              <w:rPr>
                <w:sz w:val="24"/>
                <w:szCs w:val="24"/>
                <w:color w:val="auto"/>
              </w:rPr>
            </w:pPr>
          </w:p>
        </w:tc>
        <w:tc>
          <w:tcPr>
            <w:tcW w:w="5820" w:type="dxa"/>
            <w:vAlign w:val="bottom"/>
            <w:gridSpan w:val="3"/>
          </w:tcPr>
          <w:p>
            <w:pPr>
              <w:ind w:left="940"/>
              <w:spacing w:after="0"/>
              <w:rPr>
                <w:sz w:val="20"/>
                <w:szCs w:val="20"/>
                <w:color w:val="auto"/>
              </w:rPr>
            </w:pPr>
            <w:r>
              <w:rPr>
                <w:rFonts w:ascii="Times New Roman" w:cs="Times New Roman" w:eastAsia="Times New Roman" w:hAnsi="Times New Roman"/>
                <w:sz w:val="20"/>
                <w:szCs w:val="20"/>
                <w:color w:val="auto"/>
                <w:w w:val="98"/>
              </w:rPr>
              <w:t>Cover Page Interactive Data File (formatted as Inline XBRL).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133350</wp:posOffset>
            </wp:positionV>
            <wp:extent cx="71329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039"/>
          </w:cols>
          <w:pgMar w:left="420" w:top="857" w:right="1440" w:bottom="1440" w:gutter="0" w:footer="0" w:header="0"/>
        </w:sectPr>
      </w:pPr>
    </w:p>
    <w:bookmarkStart w:id="3" w:name="page4"/>
    <w:bookmarkEnd w:id="3"/>
    <w:p>
      <w:pPr>
        <w:jc w:val="center"/>
        <w:ind w:right="-199"/>
        <w:spacing w:after="0"/>
        <w:rPr>
          <w:sz w:val="20"/>
          <w:szCs w:val="20"/>
          <w:color w:val="auto"/>
        </w:rPr>
      </w:pPr>
      <w:r>
        <w:rPr>
          <w:rFonts w:ascii="Times New Roman" w:cs="Times New Roman" w:eastAsia="Times New Roman" w:hAnsi="Times New Roman"/>
          <w:sz w:val="20"/>
          <w:szCs w:val="20"/>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firstLine="323"/>
        <w:spacing w:after="0" w:line="267"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20"/>
          <w:szCs w:val="20"/>
          <w:color w:val="auto"/>
        </w:rPr>
        <w:t>EXXON MOBIL CORPORATION</w:t>
      </w:r>
    </w:p>
    <w:p>
      <w:pPr>
        <w:sectPr>
          <w:pgSz w:w="11900" w:h="16838" w:orient="portrait"/>
          <w:cols w:equalWidth="0" w:num="1">
            <w:col w:w="11060"/>
          </w:cols>
          <w:pgMar w:left="320" w:top="857" w:right="519" w:bottom="1440" w:gutter="0" w:footer="0" w:header="0"/>
        </w:sect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 October 1,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DAVID S. ROSENTHAL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-779780</wp:posOffset>
            </wp:positionH>
            <wp:positionV relativeFrom="paragraph">
              <wp:posOffset>20955</wp:posOffset>
            </wp:positionV>
            <wp:extent cx="30664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66415" cy="8255"/>
                    </a:xfrm>
                    <a:prstGeom prst="rect">
                      <a:avLst/>
                    </a:prstGeom>
                    <a:noFill/>
                  </pic:spPr>
                </pic:pic>
              </a:graphicData>
            </a:graphic>
          </wp:anchor>
        </w:drawing>
      </w:r>
    </w:p>
    <w:p>
      <w:pPr>
        <w:spacing w:after="0" w:line="39" w:lineRule="exact"/>
        <w:rPr>
          <w:sz w:val="20"/>
          <w:szCs w:val="20"/>
          <w:color w:val="auto"/>
        </w:rPr>
      </w:pPr>
    </w:p>
    <w:p>
      <w:pPr>
        <w:sectPr>
          <w:pgSz w:w="11900" w:h="16838" w:orient="portrait"/>
          <w:cols w:equalWidth="0" w:num="3">
            <w:col w:w="5140" w:space="720"/>
            <w:col w:w="1060" w:space="720"/>
            <w:col w:w="3420"/>
          </w:cols>
          <w:pgMar w:left="320" w:top="857" w:right="519" w:bottom="1440" w:gutter="0" w:footer="0" w:header="0"/>
          <w:type w:val="continuous"/>
        </w:sectPr>
      </w:pPr>
    </w:p>
    <w:p>
      <w:pPr>
        <w:jc w:val="center"/>
        <w:ind w:left="6280"/>
        <w:spacing w:after="0"/>
        <w:rPr>
          <w:sz w:val="20"/>
          <w:szCs w:val="20"/>
          <w:color w:val="auto"/>
        </w:rPr>
      </w:pPr>
      <w:r>
        <w:rPr>
          <w:rFonts w:ascii="Times New Roman" w:cs="Times New Roman" w:eastAsia="Times New Roman" w:hAnsi="Times New Roman"/>
          <w:sz w:val="20"/>
          <w:szCs w:val="20"/>
          <w:color w:val="auto"/>
        </w:rPr>
        <w:t>David S. Rosenthal</w:t>
      </w:r>
    </w:p>
    <w:p>
      <w:pPr>
        <w:spacing w:after="0" w:line="4"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20"/>
          <w:szCs w:val="20"/>
          <w:color w:val="auto"/>
        </w:rPr>
        <w:t>Vice President and Controller</w:t>
      </w:r>
    </w:p>
    <w:p>
      <w:pPr>
        <w:jc w:val="center"/>
        <w:ind w:left="6280"/>
        <w:spacing w:after="0"/>
        <w:rPr>
          <w:sz w:val="20"/>
          <w:szCs w:val="20"/>
          <w:color w:val="auto"/>
        </w:rPr>
      </w:pPr>
      <w:r>
        <w:rPr>
          <w:rFonts w:ascii="Times New Roman" w:cs="Times New Roman" w:eastAsia="Times New Roman" w:hAnsi="Times New Roman"/>
          <w:sz w:val="19"/>
          <w:szCs w:val="19"/>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9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060"/>
          </w:cols>
          <w:pgMar w:left="320" w:top="857" w:right="519" w:bottom="1440" w:gutter="0" w:footer="0" w:header="0"/>
          <w:type w:val="continuous"/>
        </w:sectPr>
      </w:pPr>
    </w:p>
    <w:bookmarkStart w:id="4" w:name="page5"/>
    <w:bookmarkEnd w:id="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ind w:left="10200"/>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3Q20 Earnings Considerations</w:t>
      </w:r>
    </w:p>
    <w:p>
      <w:pPr>
        <w:spacing w:after="0" w:line="189" w:lineRule="exact"/>
        <w:rPr>
          <w:sz w:val="20"/>
          <w:szCs w:val="20"/>
          <w:color w:val="auto"/>
        </w:rPr>
      </w:pPr>
    </w:p>
    <w:p>
      <w:pPr>
        <w:jc w:val="both"/>
        <w:ind w:right="100"/>
        <w:spacing w:after="0" w:line="235" w:lineRule="auto"/>
        <w:rPr>
          <w:sz w:val="20"/>
          <w:szCs w:val="20"/>
          <w:color w:val="auto"/>
        </w:rPr>
      </w:pPr>
      <w:r>
        <w:rPr>
          <w:rFonts w:ascii="Arial" w:cs="Arial" w:eastAsia="Arial" w:hAnsi="Arial"/>
          <w:sz w:val="20"/>
          <w:szCs w:val="20"/>
          <w:color w:val="auto"/>
        </w:rPr>
        <w:t>To give perspective regarding market and planned factors affecting 3Q 2020 results, we are providing the following summary of factors management believes will impact 3Q 2020 results relative to 2Q 2020 results. These factors are generally limited to market dynamics, seasonal patterns, and planned activities. This list is not meant to be a comprehensive list of all changes between 2Q 2020 results and 3Q 2020 results or to provide an estimate of 3Q 2020 results for the Corporation. Further, this list may not account for all adjustments and charges required to fully reflect the changes in industry conditions.</w:t>
      </w:r>
    </w:p>
    <w:p>
      <w:pPr>
        <w:spacing w:after="0" w:line="229"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18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20"/>
                <w:szCs w:val="20"/>
                <w:b w:val="1"/>
                <w:bCs w:val="1"/>
                <w:color w:val="auto"/>
                <w:w w:val="98"/>
              </w:rPr>
              <w:t>Corp</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1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3260" w:type="dxa"/>
            <w:vAlign w:val="bottom"/>
            <w:gridSpan w:val="4"/>
            <w:vMerge w:val="restart"/>
          </w:tcPr>
          <w:p>
            <w:pPr>
              <w:ind w:left="80"/>
              <w:spacing w:after="0"/>
              <w:rPr>
                <w:sz w:val="20"/>
                <w:szCs w:val="20"/>
                <w:color w:val="auto"/>
              </w:rPr>
            </w:pPr>
            <w:r>
              <w:rPr>
                <w:rFonts w:ascii="Arial" w:cs="Arial" w:eastAsia="Arial" w:hAnsi="Arial"/>
                <w:sz w:val="20"/>
                <w:szCs w:val="20"/>
                <w:b w:val="1"/>
                <w:bCs w:val="1"/>
                <w:color w:val="auto"/>
              </w:rPr>
              <w:t>Upstream Downstream Chemical</w:t>
            </w:r>
          </w:p>
        </w:tc>
        <w:tc>
          <w:tcPr>
            <w:tcW w:w="600" w:type="dxa"/>
            <w:vAlign w:val="bottom"/>
          </w:tcPr>
          <w:p>
            <w:pPr>
              <w:jc w:val="center"/>
              <w:spacing w:after="0" w:line="215" w:lineRule="exact"/>
              <w:rPr>
                <w:sz w:val="20"/>
                <w:szCs w:val="20"/>
                <w:color w:val="auto"/>
              </w:rPr>
            </w:pPr>
            <w:r>
              <w:rPr>
                <w:rFonts w:ascii="Arial" w:cs="Arial" w:eastAsia="Arial" w:hAnsi="Arial"/>
                <w:sz w:val="20"/>
                <w:szCs w:val="20"/>
                <w:b w:val="1"/>
                <w:bCs w:val="1"/>
                <w:color w:val="auto"/>
                <w:w w:val="96"/>
              </w:rPr>
              <w:t>&amp;</w:t>
            </w:r>
          </w:p>
        </w:tc>
        <w:tc>
          <w:tcPr>
            <w:tcW w:w="460" w:type="dxa"/>
            <w:vAlign w:val="bottom"/>
            <w:vMerge w:val="restart"/>
          </w:tcPr>
          <w:p>
            <w:pPr>
              <w:jc w:val="right"/>
              <w:spacing w:after="0"/>
              <w:rPr>
                <w:sz w:val="20"/>
                <w:szCs w:val="20"/>
                <w:color w:val="auto"/>
              </w:rPr>
            </w:pPr>
            <w:r>
              <w:rPr>
                <w:rFonts w:ascii="Arial" w:cs="Arial" w:eastAsia="Arial" w:hAnsi="Arial"/>
                <w:sz w:val="20"/>
                <w:szCs w:val="20"/>
                <w:b w:val="1"/>
                <w:bCs w:val="1"/>
                <w:color w:val="auto"/>
                <w:w w:val="87"/>
              </w:rPr>
              <w:t>Total</w:t>
            </w:r>
          </w:p>
        </w:tc>
        <w:tc>
          <w:tcPr>
            <w:tcW w:w="0" w:type="dxa"/>
            <w:vAlign w:val="bottom"/>
          </w:tcPr>
          <w:p>
            <w:pPr>
              <w:spacing w:after="0"/>
              <w:rPr>
                <w:sz w:val="1"/>
                <w:szCs w:val="1"/>
                <w:color w:val="auto"/>
              </w:rPr>
            </w:pPr>
          </w:p>
        </w:tc>
      </w:tr>
      <w:tr>
        <w:trPr>
          <w:trHeight w:val="247"/>
        </w:trPr>
        <w:tc>
          <w:tcPr>
            <w:tcW w:w="7040" w:type="dxa"/>
            <w:vAlign w:val="bottom"/>
            <w:gridSpan w:val="2"/>
          </w:tcPr>
          <w:p>
            <w:pPr>
              <w:spacing w:after="0"/>
              <w:rPr>
                <w:sz w:val="20"/>
                <w:szCs w:val="20"/>
                <w:color w:val="auto"/>
              </w:rPr>
            </w:pPr>
            <w:r>
              <w:rPr>
                <w:rFonts w:ascii="Arial" w:cs="Arial" w:eastAsia="Arial" w:hAnsi="Arial"/>
                <w:sz w:val="20"/>
                <w:szCs w:val="20"/>
                <w:i w:val="1"/>
                <w:iCs w:val="1"/>
                <w:color w:val="auto"/>
              </w:rPr>
              <w:t>$ billions</w:t>
            </w:r>
          </w:p>
        </w:tc>
        <w:tc>
          <w:tcPr>
            <w:tcW w:w="3260" w:type="dxa"/>
            <w:vAlign w:val="bottom"/>
            <w:gridSpan w:val="4"/>
            <w:vMerge w:val="continue"/>
          </w:tcPr>
          <w:p>
            <w:pPr>
              <w:spacing w:after="0"/>
              <w:rPr>
                <w:sz w:val="21"/>
                <w:szCs w:val="21"/>
                <w:color w:val="auto"/>
              </w:rPr>
            </w:pPr>
          </w:p>
        </w:tc>
        <w:tc>
          <w:tcPr>
            <w:tcW w:w="600" w:type="dxa"/>
            <w:vAlign w:val="bottom"/>
          </w:tcPr>
          <w:p>
            <w:pPr>
              <w:jc w:val="center"/>
              <w:spacing w:after="0"/>
              <w:rPr>
                <w:sz w:val="20"/>
                <w:szCs w:val="20"/>
                <w:color w:val="auto"/>
              </w:rPr>
            </w:pPr>
            <w:r>
              <w:rPr>
                <w:rFonts w:ascii="Arial" w:cs="Arial" w:eastAsia="Arial" w:hAnsi="Arial"/>
                <w:sz w:val="20"/>
                <w:szCs w:val="20"/>
                <w:b w:val="1"/>
                <w:bCs w:val="1"/>
                <w:color w:val="auto"/>
                <w:w w:val="99"/>
              </w:rPr>
              <w:t>Fin</w:t>
            </w:r>
          </w:p>
        </w:tc>
        <w:tc>
          <w:tcPr>
            <w:tcW w:w="4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7040" w:type="dxa"/>
            <w:vAlign w:val="bottom"/>
            <w:tcBorders>
              <w:top w:val="single" w:sz="8" w:color="auto"/>
            </w:tcBorders>
            <w:gridSpan w:val="2"/>
          </w:tcPr>
          <w:p>
            <w:pPr>
              <w:spacing w:after="0"/>
              <w:rPr>
                <w:sz w:val="20"/>
                <w:szCs w:val="20"/>
                <w:color w:val="auto"/>
              </w:rPr>
            </w:pPr>
            <w:r>
              <w:rPr>
                <w:rFonts w:ascii="Arial" w:cs="Arial" w:eastAsia="Arial" w:hAnsi="Arial"/>
                <w:sz w:val="20"/>
                <w:szCs w:val="20"/>
                <w:b w:val="1"/>
                <w:bCs w:val="1"/>
                <w:color w:val="auto"/>
              </w:rPr>
              <w:t>2Q20 earnings / (loss), U.S. GAAP</w:t>
            </w: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20"/>
                <w:szCs w:val="20"/>
                <w:b w:val="1"/>
                <w:bCs w:val="1"/>
                <w:color w:val="auto"/>
              </w:rPr>
              <w:t>(1.7)</w:t>
            </w:r>
          </w:p>
        </w:tc>
        <w:tc>
          <w:tcPr>
            <w:tcW w:w="1160" w:type="dxa"/>
            <w:vAlign w:val="bottom"/>
            <w:tcBorders>
              <w:top w:val="single" w:sz="8" w:color="auto"/>
            </w:tcBorders>
            <w:gridSpan w:val="2"/>
          </w:tcPr>
          <w:p>
            <w:pPr>
              <w:jc w:val="right"/>
              <w:ind w:right="341"/>
              <w:spacing w:after="0"/>
              <w:rPr>
                <w:sz w:val="20"/>
                <w:szCs w:val="20"/>
                <w:color w:val="auto"/>
              </w:rPr>
            </w:pPr>
            <w:r>
              <w:rPr>
                <w:rFonts w:ascii="Arial" w:cs="Arial" w:eastAsia="Arial" w:hAnsi="Arial"/>
                <w:sz w:val="20"/>
                <w:szCs w:val="20"/>
                <w:b w:val="1"/>
                <w:bCs w:val="1"/>
                <w:color w:val="auto"/>
              </w:rPr>
              <w:t>1.0</w:t>
            </w: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20"/>
                <w:szCs w:val="20"/>
                <w:b w:val="1"/>
                <w:bCs w:val="1"/>
                <w:color w:val="auto"/>
                <w:w w:val="93"/>
              </w:rPr>
              <w:t>0.5</w:t>
            </w:r>
          </w:p>
        </w:tc>
        <w:tc>
          <w:tcPr>
            <w:tcW w:w="600" w:type="dxa"/>
            <w:vAlign w:val="bottom"/>
            <w:tcBorders>
              <w:top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(0.9)</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20"/>
                <w:szCs w:val="20"/>
                <w:b w:val="1"/>
                <w:bCs w:val="1"/>
                <w:color w:val="auto"/>
                <w:w w:val="92"/>
              </w:rPr>
              <w:t>(1.1)</w:t>
            </w:r>
          </w:p>
        </w:tc>
        <w:tc>
          <w:tcPr>
            <w:tcW w:w="0" w:type="dxa"/>
            <w:vAlign w:val="bottom"/>
          </w:tcPr>
          <w:p>
            <w:pPr>
              <w:spacing w:after="0"/>
              <w:rPr>
                <w:sz w:val="1"/>
                <w:szCs w:val="1"/>
                <w:color w:val="auto"/>
              </w:rPr>
            </w:pPr>
          </w:p>
        </w:tc>
      </w:tr>
      <w:tr>
        <w:trPr>
          <w:trHeight w:val="461"/>
        </w:trPr>
        <w:tc>
          <w:tcPr>
            <w:tcW w:w="7040" w:type="dxa"/>
            <w:vAlign w:val="bottom"/>
            <w:tcBorders>
              <w:bottom w:val="single" w:sz="8" w:color="auto"/>
            </w:tcBorders>
            <w:gridSpan w:val="2"/>
          </w:tcPr>
          <w:p>
            <w:pPr>
              <w:spacing w:after="0"/>
              <w:rPr>
                <w:sz w:val="20"/>
                <w:szCs w:val="20"/>
                <w:color w:val="auto"/>
              </w:rPr>
            </w:pPr>
            <w:r>
              <w:rPr>
                <w:rFonts w:ascii="Arial" w:cs="Arial" w:eastAsia="Arial" w:hAnsi="Arial"/>
                <w:sz w:val="20"/>
                <w:szCs w:val="20"/>
                <w:b w:val="1"/>
                <w:bCs w:val="1"/>
                <w:color w:val="auto"/>
              </w:rPr>
              <w:t>2Q20 identified items</w:t>
            </w:r>
          </w:p>
        </w:tc>
        <w:tc>
          <w:tcPr>
            <w:tcW w:w="1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7040" w:type="dxa"/>
            <w:vAlign w:val="bottom"/>
            <w:tcBorders>
              <w:bottom w:val="single" w:sz="8" w:color="auto"/>
            </w:tcBorders>
            <w:gridSpan w:val="2"/>
          </w:tcPr>
          <w:p>
            <w:pPr>
              <w:ind w:left="20"/>
              <w:spacing w:after="0"/>
              <w:rPr>
                <w:sz w:val="20"/>
                <w:szCs w:val="20"/>
                <w:color w:val="auto"/>
              </w:rPr>
            </w:pPr>
            <w:r>
              <w:rPr>
                <w:rFonts w:ascii="Arial" w:cs="Arial" w:eastAsia="Arial" w:hAnsi="Arial"/>
                <w:sz w:val="20"/>
                <w:szCs w:val="20"/>
                <w:color w:val="auto"/>
              </w:rPr>
              <w:t>2Q20 non-cash inventory valuation (lower of cost or market) impacts</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3"/>
              </w:rPr>
              <w:t>0.2</w:t>
            </w:r>
          </w:p>
        </w:tc>
        <w:tc>
          <w:tcPr>
            <w:tcW w:w="1160" w:type="dxa"/>
            <w:vAlign w:val="bottom"/>
            <w:tcBorders>
              <w:bottom w:val="single" w:sz="8" w:color="auto"/>
            </w:tcBorders>
            <w:gridSpan w:val="2"/>
          </w:tcPr>
          <w:p>
            <w:pPr>
              <w:jc w:val="right"/>
              <w:ind w:right="341"/>
              <w:spacing w:after="0"/>
              <w:rPr>
                <w:sz w:val="20"/>
                <w:szCs w:val="20"/>
                <w:color w:val="auto"/>
              </w:rPr>
            </w:pPr>
            <w:r>
              <w:rPr>
                <w:rFonts w:ascii="Arial" w:cs="Arial" w:eastAsia="Arial" w:hAnsi="Arial"/>
                <w:sz w:val="20"/>
                <w:szCs w:val="20"/>
                <w:color w:val="auto"/>
              </w:rPr>
              <w:t>1.6</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3"/>
              </w:rPr>
              <w:t>0.1</w:t>
            </w:r>
          </w:p>
        </w:tc>
        <w:tc>
          <w:tcPr>
            <w:tcW w:w="600" w:type="dxa"/>
            <w:vAlign w:val="bottom"/>
            <w:tcBorders>
              <w:bottom w:val="single" w:sz="8" w:color="auto"/>
            </w:tcBorders>
          </w:tcPr>
          <w:p>
            <w:pPr>
              <w:spacing w:after="0"/>
              <w:rPr>
                <w:sz w:val="21"/>
                <w:szCs w:val="21"/>
                <w:color w:val="auto"/>
              </w:rPr>
            </w:pPr>
          </w:p>
        </w:tc>
        <w:tc>
          <w:tcPr>
            <w:tcW w:w="46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20"/>
                <w:szCs w:val="20"/>
                <w:color w:val="auto"/>
              </w:rPr>
              <w:t>1.9</w:t>
            </w:r>
          </w:p>
        </w:tc>
        <w:tc>
          <w:tcPr>
            <w:tcW w:w="0" w:type="dxa"/>
            <w:vAlign w:val="bottom"/>
          </w:tcPr>
          <w:p>
            <w:pPr>
              <w:spacing w:after="0"/>
              <w:rPr>
                <w:sz w:val="1"/>
                <w:szCs w:val="1"/>
                <w:color w:val="auto"/>
              </w:rPr>
            </w:pPr>
          </w:p>
        </w:tc>
      </w:tr>
      <w:tr>
        <w:trPr>
          <w:trHeight w:val="509"/>
        </w:trPr>
        <w:tc>
          <w:tcPr>
            <w:tcW w:w="7040" w:type="dxa"/>
            <w:vAlign w:val="bottom"/>
            <w:gridSpan w:val="2"/>
          </w:tcPr>
          <w:p>
            <w:pPr>
              <w:spacing w:after="0"/>
              <w:rPr>
                <w:sz w:val="20"/>
                <w:szCs w:val="20"/>
                <w:color w:val="auto"/>
              </w:rPr>
            </w:pPr>
            <w:r>
              <w:rPr>
                <w:rFonts w:ascii="Arial" w:cs="Arial" w:eastAsia="Arial" w:hAnsi="Arial"/>
                <w:sz w:val="20"/>
                <w:szCs w:val="20"/>
                <w:b w:val="1"/>
                <w:bCs w:val="1"/>
                <w:color w:val="auto"/>
              </w:rPr>
              <w:t>2Q20 earnings / (loss) excluding identified items</w:t>
            </w:r>
          </w:p>
        </w:tc>
        <w:tc>
          <w:tcPr>
            <w:tcW w:w="1100" w:type="dxa"/>
            <w:vAlign w:val="bottom"/>
          </w:tcPr>
          <w:p>
            <w:pPr>
              <w:jc w:val="center"/>
              <w:spacing w:after="0"/>
              <w:rPr>
                <w:sz w:val="20"/>
                <w:szCs w:val="20"/>
                <w:color w:val="auto"/>
              </w:rPr>
            </w:pPr>
            <w:r>
              <w:rPr>
                <w:rFonts w:ascii="Arial" w:cs="Arial" w:eastAsia="Arial" w:hAnsi="Arial"/>
                <w:sz w:val="20"/>
                <w:szCs w:val="20"/>
                <w:b w:val="1"/>
                <w:bCs w:val="1"/>
                <w:color w:val="auto"/>
              </w:rPr>
              <w:t>(1.9)</w:t>
            </w:r>
          </w:p>
        </w:tc>
        <w:tc>
          <w:tcPr>
            <w:tcW w:w="1160" w:type="dxa"/>
            <w:vAlign w:val="bottom"/>
            <w:gridSpan w:val="2"/>
          </w:tcPr>
          <w:p>
            <w:pPr>
              <w:jc w:val="right"/>
              <w:ind w:right="281"/>
              <w:spacing w:after="0"/>
              <w:rPr>
                <w:sz w:val="20"/>
                <w:szCs w:val="20"/>
                <w:color w:val="auto"/>
              </w:rPr>
            </w:pPr>
            <w:r>
              <w:rPr>
                <w:rFonts w:ascii="Arial" w:cs="Arial" w:eastAsia="Arial" w:hAnsi="Arial"/>
                <w:sz w:val="20"/>
                <w:szCs w:val="20"/>
                <w:b w:val="1"/>
                <w:bCs w:val="1"/>
                <w:color w:val="auto"/>
              </w:rPr>
              <w:t>(0.6)</w:t>
            </w:r>
          </w:p>
        </w:tc>
        <w:tc>
          <w:tcPr>
            <w:tcW w:w="1000" w:type="dxa"/>
            <w:vAlign w:val="bottom"/>
          </w:tcPr>
          <w:p>
            <w:pPr>
              <w:jc w:val="center"/>
              <w:spacing w:after="0"/>
              <w:rPr>
                <w:sz w:val="20"/>
                <w:szCs w:val="20"/>
                <w:color w:val="auto"/>
              </w:rPr>
            </w:pPr>
            <w:r>
              <w:rPr>
                <w:rFonts w:ascii="Arial" w:cs="Arial" w:eastAsia="Arial" w:hAnsi="Arial"/>
                <w:sz w:val="20"/>
                <w:szCs w:val="20"/>
                <w:b w:val="1"/>
                <w:bCs w:val="1"/>
                <w:color w:val="auto"/>
                <w:w w:val="93"/>
              </w:rPr>
              <w:t>0.4</w:t>
            </w:r>
          </w:p>
        </w:tc>
        <w:tc>
          <w:tcPr>
            <w:tcW w:w="600" w:type="dxa"/>
            <w:vAlign w:val="bottom"/>
          </w:tcPr>
          <w:p>
            <w:pPr>
              <w:jc w:val="center"/>
              <w:spacing w:after="0"/>
              <w:rPr>
                <w:sz w:val="20"/>
                <w:szCs w:val="20"/>
                <w:color w:val="auto"/>
              </w:rPr>
            </w:pPr>
            <w:r>
              <w:rPr>
                <w:rFonts w:ascii="Arial" w:cs="Arial" w:eastAsia="Arial" w:hAnsi="Arial"/>
                <w:sz w:val="20"/>
                <w:szCs w:val="20"/>
                <w:b w:val="1"/>
                <w:bCs w:val="1"/>
                <w:color w:val="auto"/>
                <w:w w:val="97"/>
              </w:rPr>
              <w:t>(0.9)</w:t>
            </w:r>
          </w:p>
        </w:tc>
        <w:tc>
          <w:tcPr>
            <w:tcW w:w="460" w:type="dxa"/>
            <w:vAlign w:val="bottom"/>
          </w:tcPr>
          <w:p>
            <w:pPr>
              <w:jc w:val="right"/>
              <w:spacing w:after="0"/>
              <w:rPr>
                <w:sz w:val="20"/>
                <w:szCs w:val="20"/>
                <w:color w:val="auto"/>
              </w:rPr>
            </w:pPr>
            <w:r>
              <w:rPr>
                <w:rFonts w:ascii="Arial" w:cs="Arial" w:eastAsia="Arial" w:hAnsi="Arial"/>
                <w:sz w:val="20"/>
                <w:szCs w:val="20"/>
                <w:b w:val="1"/>
                <w:bCs w:val="1"/>
                <w:color w:val="auto"/>
                <w:w w:val="92"/>
              </w:rPr>
              <w:t>(3.0)</w:t>
            </w:r>
          </w:p>
        </w:tc>
        <w:tc>
          <w:tcPr>
            <w:tcW w:w="0" w:type="dxa"/>
            <w:vAlign w:val="bottom"/>
          </w:tcPr>
          <w:p>
            <w:pPr>
              <w:spacing w:after="0"/>
              <w:rPr>
                <w:sz w:val="1"/>
                <w:szCs w:val="1"/>
                <w:color w:val="auto"/>
              </w:rPr>
            </w:pPr>
          </w:p>
        </w:tc>
      </w:tr>
      <w:tr>
        <w:trPr>
          <w:trHeight w:val="506"/>
        </w:trPr>
        <w:tc>
          <w:tcPr>
            <w:tcW w:w="7040" w:type="dxa"/>
            <w:vAlign w:val="bottom"/>
            <w:tcBorders>
              <w:bottom w:val="single" w:sz="8" w:color="auto"/>
            </w:tcBorders>
            <w:gridSpan w:val="2"/>
          </w:tcPr>
          <w:p>
            <w:pPr>
              <w:spacing w:after="0"/>
              <w:rPr>
                <w:sz w:val="20"/>
                <w:szCs w:val="20"/>
                <w:color w:val="auto"/>
              </w:rPr>
            </w:pPr>
            <w:r>
              <w:rPr>
                <w:rFonts w:ascii="Arial" w:cs="Arial" w:eastAsia="Arial" w:hAnsi="Arial"/>
                <w:sz w:val="20"/>
                <w:szCs w:val="20"/>
                <w:b w:val="1"/>
                <w:bCs w:val="1"/>
                <w:color w:val="auto"/>
              </w:rPr>
              <w:t>Estimated effects of market factors impacting 3Q20 results</w:t>
            </w:r>
          </w:p>
        </w:tc>
        <w:tc>
          <w:tcPr>
            <w:tcW w:w="1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7040" w:type="dxa"/>
            <w:vAlign w:val="bottom"/>
            <w:tcBorders>
              <w:left w:val="single" w:sz="8" w:color="auto"/>
              <w:bottom w:val="single" w:sz="8" w:color="auto"/>
            </w:tcBorders>
            <w:gridSpan w:val="2"/>
          </w:tcPr>
          <w:p>
            <w:pPr>
              <w:ind w:left="20"/>
              <w:spacing w:after="0"/>
              <w:rPr>
                <w:sz w:val="20"/>
                <w:szCs w:val="20"/>
                <w:color w:val="auto"/>
              </w:rPr>
            </w:pPr>
            <w:r>
              <w:rPr>
                <w:rFonts w:ascii="Arial" w:cs="Arial" w:eastAsia="Arial" w:hAnsi="Arial"/>
                <w:sz w:val="20"/>
                <w:szCs w:val="20"/>
                <w:color w:val="auto"/>
              </w:rPr>
              <w:t>Change in liquids prices</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8"/>
              </w:rPr>
              <w:t>1.4 - 1.8</w:t>
            </w:r>
          </w:p>
        </w:tc>
        <w:tc>
          <w:tcPr>
            <w:tcW w:w="5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600" w:type="dxa"/>
            <w:vAlign w:val="bottom"/>
            <w:tcBorders>
              <w:bottom w:val="single" w:sz="8" w:color="auto"/>
              <w:right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7040" w:type="dxa"/>
            <w:vAlign w:val="bottom"/>
            <w:tcBorders>
              <w:left w:val="single" w:sz="8" w:color="auto"/>
              <w:bottom w:val="single" w:sz="8" w:color="auto"/>
            </w:tcBorders>
            <w:gridSpan w:val="2"/>
          </w:tcPr>
          <w:p>
            <w:pPr>
              <w:ind w:left="20"/>
              <w:spacing w:after="0"/>
              <w:rPr>
                <w:sz w:val="20"/>
                <w:szCs w:val="20"/>
                <w:color w:val="auto"/>
              </w:rPr>
            </w:pPr>
            <w:r>
              <w:rPr>
                <w:rFonts w:ascii="Arial" w:cs="Arial" w:eastAsia="Arial" w:hAnsi="Arial"/>
                <w:sz w:val="20"/>
                <w:szCs w:val="20"/>
                <w:color w:val="auto"/>
              </w:rPr>
              <w:t>Change in gas prices</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7"/>
              </w:rPr>
              <w:t>(0.5) - (0.1)</w:t>
            </w:r>
          </w:p>
        </w:tc>
        <w:tc>
          <w:tcPr>
            <w:tcW w:w="5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600" w:type="dxa"/>
            <w:vAlign w:val="bottom"/>
            <w:tcBorders>
              <w:bottom w:val="single" w:sz="8" w:color="auto"/>
              <w:right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7040" w:type="dxa"/>
            <w:vAlign w:val="bottom"/>
            <w:tcBorders>
              <w:left w:val="single" w:sz="8" w:color="auto"/>
              <w:bottom w:val="single" w:sz="8" w:color="auto"/>
            </w:tcBorders>
            <w:gridSpan w:val="2"/>
          </w:tcPr>
          <w:p>
            <w:pPr>
              <w:ind w:left="20"/>
              <w:spacing w:after="0"/>
              <w:rPr>
                <w:sz w:val="20"/>
                <w:szCs w:val="20"/>
                <w:color w:val="auto"/>
              </w:rPr>
            </w:pPr>
            <w:r>
              <w:rPr>
                <w:rFonts w:ascii="Arial" w:cs="Arial" w:eastAsia="Arial" w:hAnsi="Arial"/>
                <w:sz w:val="20"/>
                <w:szCs w:val="20"/>
                <w:color w:val="auto"/>
              </w:rPr>
              <w:t>Change in North American crude logistics differentials</w:t>
            </w:r>
          </w:p>
        </w:tc>
        <w:tc>
          <w:tcPr>
            <w:tcW w:w="1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(0.2)</w:t>
            </w: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 (0.0)</w:t>
            </w:r>
          </w:p>
        </w:tc>
        <w:tc>
          <w:tcPr>
            <w:tcW w:w="1000" w:type="dxa"/>
            <w:vAlign w:val="bottom"/>
            <w:tcBorders>
              <w:bottom w:val="single" w:sz="8" w:color="auto"/>
            </w:tcBorders>
          </w:tcPr>
          <w:p>
            <w:pPr>
              <w:spacing w:after="0"/>
              <w:rPr>
                <w:sz w:val="21"/>
                <w:szCs w:val="21"/>
                <w:color w:val="auto"/>
              </w:rPr>
            </w:pPr>
          </w:p>
        </w:tc>
        <w:tc>
          <w:tcPr>
            <w:tcW w:w="600" w:type="dxa"/>
            <w:vAlign w:val="bottom"/>
            <w:tcBorders>
              <w:bottom w:val="single" w:sz="8" w:color="auto"/>
              <w:right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7040" w:type="dxa"/>
            <w:vAlign w:val="bottom"/>
            <w:tcBorders>
              <w:left w:val="single" w:sz="8" w:color="auto"/>
              <w:bottom w:val="single" w:sz="8" w:color="auto"/>
            </w:tcBorders>
            <w:gridSpan w:val="2"/>
          </w:tcPr>
          <w:p>
            <w:pPr>
              <w:ind w:left="20"/>
              <w:spacing w:after="0"/>
              <w:rPr>
                <w:sz w:val="20"/>
                <w:szCs w:val="20"/>
                <w:color w:val="auto"/>
              </w:rPr>
            </w:pPr>
            <w:r>
              <w:rPr>
                <w:rFonts w:ascii="Arial" w:cs="Arial" w:eastAsia="Arial" w:hAnsi="Arial"/>
                <w:sz w:val="20"/>
                <w:szCs w:val="20"/>
                <w:color w:val="auto"/>
              </w:rPr>
              <w:t>Change in Downstream refining margins</w:t>
            </w:r>
          </w:p>
        </w:tc>
        <w:tc>
          <w:tcPr>
            <w:tcW w:w="1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(0.6)</w:t>
            </w: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 (0.2)</w:t>
            </w:r>
          </w:p>
        </w:tc>
        <w:tc>
          <w:tcPr>
            <w:tcW w:w="1000" w:type="dxa"/>
            <w:vAlign w:val="bottom"/>
            <w:tcBorders>
              <w:bottom w:val="single" w:sz="8" w:color="auto"/>
            </w:tcBorders>
          </w:tcPr>
          <w:p>
            <w:pPr>
              <w:spacing w:after="0"/>
              <w:rPr>
                <w:sz w:val="21"/>
                <w:szCs w:val="21"/>
                <w:color w:val="auto"/>
              </w:rPr>
            </w:pPr>
          </w:p>
        </w:tc>
        <w:tc>
          <w:tcPr>
            <w:tcW w:w="600" w:type="dxa"/>
            <w:vAlign w:val="bottom"/>
            <w:tcBorders>
              <w:bottom w:val="single" w:sz="8" w:color="auto"/>
              <w:right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7040" w:type="dxa"/>
            <w:vAlign w:val="bottom"/>
            <w:tcBorders>
              <w:left w:val="single" w:sz="8" w:color="auto"/>
              <w:bottom w:val="single" w:sz="8" w:color="auto"/>
            </w:tcBorders>
            <w:gridSpan w:val="2"/>
          </w:tcPr>
          <w:p>
            <w:pPr>
              <w:ind w:left="20"/>
              <w:spacing w:after="0"/>
              <w:rPr>
                <w:sz w:val="20"/>
                <w:szCs w:val="20"/>
                <w:color w:val="auto"/>
              </w:rPr>
            </w:pPr>
            <w:r>
              <w:rPr>
                <w:rFonts w:ascii="Arial" w:cs="Arial" w:eastAsia="Arial" w:hAnsi="Arial"/>
                <w:sz w:val="20"/>
                <w:szCs w:val="20"/>
                <w:color w:val="auto"/>
              </w:rPr>
              <w:t>Change in Chemical margins</w:t>
            </w:r>
          </w:p>
        </w:tc>
        <w:tc>
          <w:tcPr>
            <w:tcW w:w="1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9"/>
              </w:rPr>
              <w:t>(0.1) - 0.1</w:t>
            </w:r>
          </w:p>
        </w:tc>
        <w:tc>
          <w:tcPr>
            <w:tcW w:w="600" w:type="dxa"/>
            <w:vAlign w:val="bottom"/>
            <w:tcBorders>
              <w:bottom w:val="single" w:sz="8" w:color="auto"/>
              <w:right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7040" w:type="dxa"/>
            <w:vAlign w:val="bottom"/>
            <w:tcBorders>
              <w:left w:val="single" w:sz="8" w:color="auto"/>
              <w:bottom w:val="single" w:sz="8" w:color="auto"/>
            </w:tcBorders>
            <w:gridSpan w:val="2"/>
          </w:tcPr>
          <w:p>
            <w:pPr>
              <w:ind w:left="20"/>
              <w:spacing w:after="0"/>
              <w:rPr>
                <w:sz w:val="20"/>
                <w:szCs w:val="20"/>
                <w:color w:val="auto"/>
              </w:rPr>
            </w:pPr>
            <w:r>
              <w:rPr>
                <w:rFonts w:ascii="Arial" w:cs="Arial" w:eastAsia="Arial" w:hAnsi="Arial"/>
                <w:sz w:val="20"/>
                <w:szCs w:val="20"/>
                <w:color w:val="auto"/>
              </w:rPr>
              <w:t>Change in mark-to-market derivative impacts</w:t>
            </w:r>
          </w:p>
        </w:tc>
        <w:tc>
          <w:tcPr>
            <w:tcW w:w="1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0.0</w:t>
            </w: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- 0.4</w:t>
            </w:r>
          </w:p>
        </w:tc>
        <w:tc>
          <w:tcPr>
            <w:tcW w:w="1000" w:type="dxa"/>
            <w:vAlign w:val="bottom"/>
            <w:tcBorders>
              <w:bottom w:val="single" w:sz="8" w:color="auto"/>
            </w:tcBorders>
          </w:tcPr>
          <w:p>
            <w:pPr>
              <w:spacing w:after="0"/>
              <w:rPr>
                <w:sz w:val="21"/>
                <w:szCs w:val="21"/>
                <w:color w:val="auto"/>
              </w:rPr>
            </w:pPr>
          </w:p>
        </w:tc>
        <w:tc>
          <w:tcPr>
            <w:tcW w:w="600" w:type="dxa"/>
            <w:vAlign w:val="bottom"/>
            <w:tcBorders>
              <w:bottom w:val="single" w:sz="8" w:color="auto"/>
              <w:right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18"/>
        </w:trPr>
        <w:tc>
          <w:tcPr>
            <w:tcW w:w="7040" w:type="dxa"/>
            <w:vAlign w:val="bottom"/>
            <w:tcBorders>
              <w:bottom w:val="single" w:sz="8" w:color="auto"/>
            </w:tcBorders>
            <w:gridSpan w:val="2"/>
          </w:tcPr>
          <w:p>
            <w:pPr>
              <w:spacing w:after="0"/>
              <w:rPr>
                <w:sz w:val="20"/>
                <w:szCs w:val="20"/>
                <w:color w:val="auto"/>
              </w:rPr>
            </w:pPr>
            <w:r>
              <w:rPr>
                <w:rFonts w:ascii="Arial" w:cs="Arial" w:eastAsia="Arial" w:hAnsi="Arial"/>
                <w:sz w:val="20"/>
                <w:szCs w:val="20"/>
                <w:b w:val="1"/>
                <w:bCs w:val="1"/>
                <w:color w:val="auto"/>
                <w:w w:val="99"/>
              </w:rPr>
              <w:t>Estimated effects of seasonal and planned factors impacting 3Q20 results</w:t>
            </w:r>
          </w:p>
        </w:tc>
        <w:tc>
          <w:tcPr>
            <w:tcW w:w="1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7040" w:type="dxa"/>
            <w:vAlign w:val="bottom"/>
            <w:tcBorders>
              <w:bottom w:val="single" w:sz="8" w:color="auto"/>
            </w:tcBorders>
            <w:gridSpan w:val="2"/>
          </w:tcPr>
          <w:p>
            <w:pPr>
              <w:ind w:left="20"/>
              <w:spacing w:after="0"/>
              <w:rPr>
                <w:sz w:val="20"/>
                <w:szCs w:val="20"/>
                <w:color w:val="auto"/>
              </w:rPr>
            </w:pPr>
            <w:r>
              <w:rPr>
                <w:rFonts w:ascii="Arial" w:cs="Arial" w:eastAsia="Arial" w:hAnsi="Arial"/>
                <w:sz w:val="20"/>
                <w:szCs w:val="20"/>
                <w:color w:val="auto"/>
              </w:rPr>
              <w:t>Change in scheduled maintenance</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9"/>
              </w:rPr>
              <w:t>(0.1) - 0.1</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0.0</w:t>
            </w: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- 0.2</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9"/>
              </w:rPr>
              <w:t>(0.1) - 0.1</w:t>
            </w:r>
          </w:p>
        </w:tc>
        <w:tc>
          <w:tcPr>
            <w:tcW w:w="600" w:type="dxa"/>
            <w:vAlign w:val="bottom"/>
            <w:tcBorders>
              <w:bottom w:val="single" w:sz="8" w:color="auto"/>
              <w:right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7"/>
        </w:trPr>
        <w:tc>
          <w:tcPr>
            <w:tcW w:w="7040" w:type="dxa"/>
            <w:vAlign w:val="bottom"/>
            <w:gridSpan w:val="2"/>
          </w:tcPr>
          <w:p>
            <w:pPr>
              <w:spacing w:after="0"/>
              <w:rPr>
                <w:sz w:val="20"/>
                <w:szCs w:val="20"/>
                <w:color w:val="auto"/>
              </w:rPr>
            </w:pPr>
            <w:r>
              <w:rPr>
                <w:rFonts w:ascii="Arial" w:cs="Arial" w:eastAsia="Arial" w:hAnsi="Arial"/>
                <w:sz w:val="20"/>
                <w:szCs w:val="20"/>
                <w:b w:val="1"/>
                <w:bCs w:val="1"/>
                <w:color w:val="auto"/>
              </w:rPr>
              <w:t>Additional information:</w:t>
            </w: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180" w:type="dxa"/>
            <w:vAlign w:val="bottom"/>
            <w:tcBorders>
              <w:top w:val="single" w:sz="8" w:color="auto"/>
              <w:bottom w:val="single" w:sz="8" w:color="auto"/>
            </w:tcBorders>
          </w:tcPr>
          <w:p>
            <w:pPr>
              <w:spacing w:after="0"/>
              <w:rPr>
                <w:sz w:val="5"/>
                <w:szCs w:val="5"/>
                <w:color w:val="auto"/>
              </w:rPr>
            </w:pPr>
          </w:p>
        </w:tc>
        <w:tc>
          <w:tcPr>
            <w:tcW w:w="48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7040" w:type="dxa"/>
            <w:vAlign w:val="bottom"/>
            <w:tcBorders>
              <w:left w:val="single" w:sz="8" w:color="auto"/>
              <w:bottom w:val="single" w:sz="8" w:color="auto"/>
            </w:tcBorders>
            <w:gridSpan w:val="2"/>
          </w:tcPr>
          <w:p>
            <w:pPr>
              <w:ind w:left="20"/>
              <w:spacing w:after="0" w:line="275" w:lineRule="exact"/>
              <w:rPr>
                <w:sz w:val="20"/>
                <w:szCs w:val="20"/>
                <w:color w:val="auto"/>
              </w:rPr>
            </w:pPr>
            <w:r>
              <w:rPr>
                <w:rFonts w:ascii="Arial" w:cs="Arial" w:eastAsia="Arial" w:hAnsi="Arial"/>
                <w:sz w:val="18"/>
                <w:szCs w:val="18"/>
                <w:color w:val="auto"/>
              </w:rPr>
              <w:t>Estimated 3Q20 non-cash inventory valuation (lower of cost or market) impacts</w:t>
            </w:r>
            <w:r>
              <w:rPr>
                <w:rFonts w:ascii="Arial" w:cs="Arial" w:eastAsia="Arial" w:hAnsi="Arial"/>
                <w:sz w:val="31"/>
                <w:szCs w:val="31"/>
                <w:color w:val="auto"/>
                <w:vertAlign w:val="superscript"/>
              </w:rPr>
              <w:t>1</w:t>
            </w:r>
          </w:p>
        </w:tc>
        <w:tc>
          <w:tcPr>
            <w:tcW w:w="110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9"/>
              </w:rPr>
              <w:t>(0.1) - 0.1</w:t>
            </w:r>
          </w:p>
        </w:tc>
        <w:tc>
          <w:tcPr>
            <w:tcW w:w="600" w:type="dxa"/>
            <w:vAlign w:val="bottom"/>
            <w:tcBorders>
              <w:bottom w:val="single" w:sz="8" w:color="auto"/>
              <w:right w:val="single" w:sz="8" w:color="auto"/>
            </w:tcBorders>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7040" w:type="dxa"/>
            <w:vAlign w:val="bottom"/>
            <w:tcBorders>
              <w:left w:val="single" w:sz="8" w:color="auto"/>
              <w:bottom w:val="single" w:sz="8" w:color="auto"/>
            </w:tcBorders>
            <w:gridSpan w:val="2"/>
          </w:tcPr>
          <w:p>
            <w:pPr>
              <w:ind w:left="20"/>
              <w:spacing w:after="0" w:line="262" w:lineRule="exact"/>
              <w:rPr>
                <w:sz w:val="20"/>
                <w:szCs w:val="20"/>
                <w:color w:val="auto"/>
              </w:rPr>
            </w:pPr>
            <w:r>
              <w:rPr>
                <w:rFonts w:ascii="Arial" w:cs="Arial" w:eastAsia="Arial" w:hAnsi="Arial"/>
                <w:sz w:val="19"/>
                <w:szCs w:val="19"/>
                <w:color w:val="auto"/>
              </w:rPr>
              <w:t>Estimated change in sales volumes</w:t>
            </w:r>
            <w:r>
              <w:rPr>
                <w:rFonts w:ascii="Arial" w:cs="Arial" w:eastAsia="Arial" w:hAnsi="Arial"/>
                <w:sz w:val="30"/>
                <w:szCs w:val="30"/>
                <w:color w:val="auto"/>
                <w:vertAlign w:val="superscript"/>
              </w:rPr>
              <w:t>2</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8"/>
              </w:rPr>
              <w:t>0.0 - 0.2</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0.2</w:t>
            </w: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- 0.4</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8"/>
              </w:rPr>
              <w:t>0.1 - 0.3</w:t>
            </w:r>
          </w:p>
        </w:tc>
        <w:tc>
          <w:tcPr>
            <w:tcW w:w="600" w:type="dxa"/>
            <w:vAlign w:val="bottom"/>
            <w:tcBorders>
              <w:bottom w:val="single" w:sz="8" w:color="auto"/>
              <w:right w:val="single" w:sz="8" w:color="auto"/>
            </w:tcBorders>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35"/>
          <w:szCs w:val="35"/>
          <w:color w:val="auto"/>
          <w:vertAlign w:val="superscript"/>
        </w:rPr>
        <w:t>1</w:t>
      </w:r>
      <w:r>
        <w:rPr>
          <w:rFonts w:ascii="Arial" w:cs="Arial" w:eastAsia="Arial" w:hAnsi="Arial"/>
          <w:sz w:val="18"/>
          <w:szCs w:val="18"/>
          <w:color w:val="auto"/>
        </w:rPr>
        <w:t xml:space="preserve"> Based on price data as of September 28, 2020</w:t>
      </w:r>
    </w:p>
    <w:p>
      <w:pPr>
        <w:spacing w:after="0" w:line="59" w:lineRule="exact"/>
        <w:rPr>
          <w:sz w:val="20"/>
          <w:szCs w:val="20"/>
          <w:color w:val="auto"/>
        </w:rPr>
      </w:pPr>
    </w:p>
    <w:p>
      <w:pPr>
        <w:ind w:right="740" w:firstLine="8"/>
        <w:spacing w:after="0" w:line="181" w:lineRule="auto"/>
        <w:tabs>
          <w:tab w:leader="none" w:pos="149" w:val="left"/>
        </w:tabs>
        <w:numPr>
          <w:ilvl w:val="0"/>
          <w:numId w:val="2"/>
        </w:numPr>
        <w:rPr>
          <w:rFonts w:ascii="Arial" w:cs="Arial" w:eastAsia="Arial" w:hAnsi="Arial"/>
          <w:sz w:val="34"/>
          <w:szCs w:val="34"/>
          <w:color w:val="auto"/>
          <w:vertAlign w:val="superscript"/>
        </w:rPr>
      </w:pPr>
      <w:r>
        <w:rPr>
          <w:rFonts w:ascii="Arial" w:cs="Arial" w:eastAsia="Arial" w:hAnsi="Arial"/>
          <w:sz w:val="17"/>
          <w:szCs w:val="17"/>
          <w:color w:val="auto"/>
        </w:rPr>
        <w:t>Estimated impact included on an exception basis due to its significant and unusual nature. Includes all effects from changes in sales volumes, including any impacts from the reversal of COVID-19 demand destruction during the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218440</wp:posOffset>
            </wp:positionV>
            <wp:extent cx="715391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910" cy="20955"/>
                    </a:xfrm>
                    <a:prstGeom prst="rect">
                      <a:avLst/>
                    </a:prstGeom>
                    <a:noFill/>
                  </pic:spPr>
                </pic:pic>
              </a:graphicData>
            </a:graphic>
          </wp:anchor>
        </w:drawing>
      </w:r>
    </w:p>
    <w:p>
      <w:pPr>
        <w:sectPr>
          <w:pgSz w:w="11900" w:h="16838" w:orient="portrait"/>
          <w:cols w:equalWidth="0" w:num="1">
            <w:col w:w="11340"/>
          </w:cols>
          <w:pgMar w:left="320" w:top="339" w:right="239" w:bottom="1440" w:gutter="0" w:footer="0" w:header="0"/>
        </w:sectPr>
      </w:pPr>
    </w:p>
    <w:bookmarkStart w:id="6" w:name="page7"/>
    <w:bookmarkEnd w:id="6"/>
    <w:p>
      <w:pPr>
        <w:ind w:right="60"/>
        <w:spacing w:after="0" w:line="232" w:lineRule="auto"/>
        <w:rPr>
          <w:sz w:val="20"/>
          <w:szCs w:val="20"/>
          <w:color w:val="auto"/>
        </w:rPr>
      </w:pPr>
      <w:r>
        <w:rPr>
          <w:rFonts w:ascii="Arial" w:cs="Arial" w:eastAsia="Arial" w:hAnsi="Arial"/>
          <w:sz w:val="20"/>
          <w:szCs w:val="20"/>
          <w:color w:val="auto"/>
        </w:rPr>
        <w:t>This information is only intended to provide additional information regarding current estimates of certain limited market and planned factors management believes will likely affect results for 3Q 2020 relative to 2Q 2020 to assist investors, analysts and others in formulating their own estimates. It is not intended to be a comprehensive presentation of all factors that will affect the Corporation’s sequential results or to provide an estimate of the Corporation’s 3Q 2020 results. Actual results and the impact of factors identified here may vary depending on the impact of other factors not identified here and are subject to finalization of the Corporation’s financial reporting process for 3Q 2020. Further, this list may not account for all adjustments and charges required to fully reflect the changes in industry conditions.</w:t>
      </w:r>
    </w:p>
    <w:p>
      <w:pPr>
        <w:spacing w:after="0" w:line="166"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Outlooks, estimates, projections and other statements of future financial impacts of certain factors as provided in this publication are forward-looking statements within the meaning of the Private Securities Litigation Reform Act. Actual future impacts of these certain factors for 3Q 2020 may vary from our estimates for a number of reasons, including additional unidentified factors related to: sales volume and sales mix numbers; supply and demand imbalances, price impacts and the broader government responses to first or subsequent waves of COVID-19; planned cash and operating expense reductions; total capital expenditures and mix; maintenance costs and incidents; production shut-ins and mix; financing costs; the resolution of any contingencies and uncertain tax positions; environmental expenditures; impact of fiscal, contractual, and commercial terms applicable to the quarter; the outcome of commercial negotiations related to the quarter; the timing and regulatory approval of any acquisitions or divestments; resolution of trading and derivative positions for the quarter; the pace of economic recovery and regional differences for product demand; regional pricing differentials; changes in consumer behavior; civil unrest; changes in regulatory policies and any associated liabilities; changes in asset valuation or estimates of underlying value as of a certain date; updates or corrections of any estimate used herein; and other market conditions in the oil, natural gas, petroleum, and petrochemical industries. Furthermore, additional factors may exist that will be relevant to 3Q 2020 results that are not currently known or fully understood, including our participation in joint ventures or developments operated by third parties and other factors cited in Item 1A. Risk Factors of our most recent Annual and Quarterly Reports available on the Investors page of our website at www.exxonmobil.com. All forward-looking statements and the assumptions in this publication speak only as of the date hereof. We do not assume or undertake any obligation to update these forward-looking statements or assumptions as of any future date. Any future update or expansion of the forward-looking statements in this publication will be provided only through a public disclosure indicating that fact.</w:t>
      </w:r>
    </w:p>
    <w:p>
      <w:pPr>
        <w:spacing w:after="0" w:line="172" w:lineRule="exact"/>
        <w:rPr>
          <w:sz w:val="20"/>
          <w:szCs w:val="20"/>
          <w:color w:val="auto"/>
        </w:rPr>
      </w:pPr>
    </w:p>
    <w:p>
      <w:pPr>
        <w:ind w:right="140"/>
        <w:spacing w:after="0" w:line="235" w:lineRule="auto"/>
        <w:rPr>
          <w:sz w:val="20"/>
          <w:szCs w:val="20"/>
          <w:color w:val="auto"/>
        </w:rPr>
      </w:pPr>
      <w:r>
        <w:rPr>
          <w:rFonts w:ascii="Arial" w:cs="Arial" w:eastAsia="Arial" w:hAnsi="Arial"/>
          <w:sz w:val="20"/>
          <w:szCs w:val="20"/>
          <w:color w:val="auto"/>
        </w:rPr>
        <w:t>Earnings / (loss) excluding identified items are earnings / (loss) excluding individually significant non-operational events with an absolute corporate total earnings impact of at least $ 250 million in a given quarter. The earnings impact of an identified item for an individual segment may be less than $250 million when the item impacts several segments. We believe it is useful for investors to consider these figures in comparing the underlying performance of our business across periods when one or both periods include identified items.</w:t>
      </w:r>
    </w:p>
    <w:p>
      <w:pPr>
        <w:spacing w:after="0" w:line="165" w:lineRule="exact"/>
        <w:rPr>
          <w:sz w:val="20"/>
          <w:szCs w:val="20"/>
          <w:color w:val="auto"/>
        </w:rPr>
      </w:pPr>
    </w:p>
    <w:p>
      <w:pPr>
        <w:ind w:right="60"/>
        <w:spacing w:after="0" w:line="230" w:lineRule="auto"/>
        <w:rPr>
          <w:sz w:val="20"/>
          <w:szCs w:val="20"/>
          <w:color w:val="auto"/>
        </w:rPr>
      </w:pPr>
      <w:r>
        <w:rPr>
          <w:rFonts w:ascii="Arial" w:cs="Arial" w:eastAsia="Arial" w:hAnsi="Arial"/>
          <w:sz w:val="20"/>
          <w:szCs w:val="20"/>
          <w:color w:val="auto"/>
        </w:rPr>
        <w:t>In accordance with Regulation FD, we are hereby providing notice that the company currently intends to furnish its third quarter 2020 financial results both (1) by posting them on our website at www.exxonmobil.com and (2) in a filing on Form 8-K in the Securities and Exchange Commission EDGAR system, each by 6:30 a.m. CT Friday, October 30, 2020. In the event that the EDGAR system experiences technical difficulties or the company is unable to successfully complete its 8-K filing at the intended time, investors and the public should look for this information at that time on our website. In case of a failed filing, the company intends to furnish the information on EDGAR as soon as possible after 6:30 a.m. CT Friday, October 30, 2020.</w:t>
      </w: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104775</wp:posOffset>
            </wp:positionV>
            <wp:extent cx="7153910"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910" cy="20955"/>
                    </a:xfrm>
                    <a:prstGeom prst="rect">
                      <a:avLst/>
                    </a:prstGeom>
                    <a:noFill/>
                  </pic:spPr>
                </pic:pic>
              </a:graphicData>
            </a:graphic>
          </wp:anchor>
        </w:drawing>
      </w:r>
    </w:p>
    <w:sectPr>
      <w:pgSz w:w="11900" w:h="16838" w:orient="portrait"/>
      <w:cols w:equalWidth="0" w:num="1">
        <w:col w:w="11200"/>
      </w:cols>
      <w:pgMar w:left="320" w:top="16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2"/>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2020-10-01T06:03:53Z</dcterms:created>
  <dcterms:modified xsi:type="dcterms:W3CDTF">2020-10-01T06:03:53Z</dcterms:modified>
</cp:coreProperties>
</file>