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pPr>
      <w:r>
        <w:rPr>
          <w:rFonts w:ascii="Times New Roman;sans-serif" w:hAnsi="Times New Roman;sans-serif"/>
          <w:b/>
          <w:color w:val="000000"/>
          <w:sz w:val="20"/>
        </w:rPr>
        <w:t>Washington, D.C. 20549</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8-K</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April 3,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Exxon Mobil Corporation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4335" w:type="dxa"/>
        <w:jc w:val="center"/>
        <w:tblInd w:w="0" w:type="dxa"/>
        <w:tblLayout w:type="fixed"/>
        <w:tblCellMar>
          <w:top w:w="28" w:type="dxa"/>
          <w:left w:w="28" w:type="dxa"/>
          <w:bottom w:w="28" w:type="dxa"/>
          <w:right w:w="28" w:type="dxa"/>
        </w:tblCellMar>
      </w:tblPr>
      <w:tblGrid>
        <w:gridCol w:w="542"/>
        <w:gridCol w:w="478"/>
        <w:gridCol w:w="479"/>
        <w:gridCol w:w="394"/>
        <w:gridCol w:w="394"/>
        <w:gridCol w:w="398"/>
        <w:gridCol w:w="483"/>
        <w:gridCol w:w="483"/>
        <w:gridCol w:w="68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New Jersey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1-2256</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13-5409005</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w:t>
              <w:br/>
              <w:t>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4"/>
        </w:rPr>
        <w:t>22777 Springwoods Village Parkway,</w:t>
      </w:r>
      <w:r>
        <w:rPr>
          <w:color w:val="000000"/>
        </w:rPr>
        <w:t xml:space="preserve"> </w:t>
      </w:r>
      <w:r>
        <w:rPr>
          <w:rFonts w:ascii="Times New Roman;sans-serif" w:hAnsi="Times New Roman;sans-serif"/>
          <w:b/>
          <w:color w:val="000000"/>
          <w:sz w:val="24"/>
        </w:rPr>
        <w:t>Spring,</w:t>
      </w:r>
      <w:r>
        <w:rPr>
          <w:color w:val="000000"/>
        </w:rPr>
        <w:t xml:space="preserve"> </w:t>
      </w:r>
      <w:r>
        <w:rPr>
          <w:rFonts w:ascii="Times New Roman;sans-serif" w:hAnsi="Times New Roman;sans-serif"/>
          <w:b/>
          <w:color w:val="000000"/>
          <w:sz w:val="24"/>
        </w:rPr>
        <w:t>Texas</w:t>
      </w:r>
      <w:r>
        <w:rPr>
          <w:color w:val="000000"/>
        </w:rPr>
        <w:t xml:space="preserve"> </w:t>
      </w:r>
      <w:r>
        <w:rPr>
          <w:rFonts w:ascii="Times New Roman;sans-serif" w:hAnsi="Times New Roman;sans-serif"/>
          <w:b/>
          <w:color w:val="000000"/>
          <w:sz w:val="24"/>
        </w:rPr>
        <w:t>77389-1425</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4"/>
        </w:rPr>
        <w:t>(972)</w:t>
      </w:r>
      <w:r>
        <w:rPr>
          <w:color w:val="000000"/>
        </w:rPr>
        <w:t xml:space="preserve"> </w:t>
      </w:r>
      <w:r>
        <w:rPr>
          <w:rFonts w:ascii="Times New Roman;sans-serif" w:hAnsi="Times New Roman;sans-serif"/>
          <w:b/>
          <w:color w:val="000000"/>
          <w:sz w:val="24"/>
        </w:rPr>
        <w:t>940-6000</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612" w:type="dxa"/>
        <w:jc w:val="left"/>
        <w:tblInd w:w="0" w:type="dxa"/>
        <w:tblLayout w:type="fixed"/>
        <w:tblCellMar>
          <w:top w:w="28" w:type="dxa"/>
          <w:left w:w="28" w:type="dxa"/>
          <w:bottom w:w="28" w:type="dxa"/>
          <w:right w:w="28" w:type="dxa"/>
        </w:tblCellMar>
      </w:tblPr>
      <w:tblGrid>
        <w:gridCol w:w="1075"/>
        <w:gridCol w:w="948"/>
        <w:gridCol w:w="961"/>
        <w:gridCol w:w="414"/>
        <w:gridCol w:w="414"/>
        <w:gridCol w:w="416"/>
        <w:gridCol w:w="697"/>
        <w:gridCol w:w="697"/>
        <w:gridCol w:w="990"/>
      </w:tblGrid>
      <w:tr>
        <w:trPr/>
        <w:tc>
          <w:tcPr>
            <w:tcW w:w="10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on Which Registered</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Common Stock, without par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XOM</w:t>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0.524% Notes due 2028</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XOM28</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0.835% Notes due 2032</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XOM32</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1.408% Notes due 2039</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XOM39A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18"/>
        </w:rPr>
        <w:t>Emerging growth company</w:t>
      </w:r>
      <w:r>
        <w:rPr>
          <w:color w:val="000000"/>
        </w:rPr>
        <w:t xml:space="preserve">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929" w:type="dxa"/>
        <w:jc w:val="left"/>
        <w:tblInd w:w="0" w:type="dxa"/>
        <w:tblLayout w:type="fixed"/>
        <w:tblCellMar>
          <w:top w:w="28" w:type="dxa"/>
          <w:left w:w="28" w:type="dxa"/>
          <w:bottom w:w="28" w:type="dxa"/>
          <w:right w:w="28" w:type="dxa"/>
        </w:tblCellMar>
      </w:tblPr>
      <w:tblGrid>
        <w:gridCol w:w="369"/>
        <w:gridCol w:w="324"/>
        <w:gridCol w:w="326"/>
        <w:gridCol w:w="1727"/>
        <w:gridCol w:w="1727"/>
        <w:gridCol w:w="245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Regulation FD Disclosure.</w:t>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information is furnished pursuant to Item 7.01.</w:t>
              <w:b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INDEX TO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7064" w:type="dxa"/>
        <w:jc w:val="left"/>
        <w:tblInd w:w="0" w:type="dxa"/>
        <w:tblLayout w:type="fixed"/>
        <w:tblCellMar>
          <w:top w:w="28" w:type="dxa"/>
          <w:left w:w="28" w:type="dxa"/>
          <w:bottom w:w="28" w:type="dxa"/>
          <w:right w:w="28" w:type="dxa"/>
        </w:tblCellMar>
      </w:tblPr>
      <w:tblGrid>
        <w:gridCol w:w="434"/>
        <w:gridCol w:w="381"/>
        <w:gridCol w:w="384"/>
        <w:gridCol w:w="1713"/>
        <w:gridCol w:w="1713"/>
        <w:gridCol w:w="2439"/>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No.</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Description</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8k1q991040325.htm">
              <w:r>
                <w:rPr>
                  <w:rStyle w:val="InternetLink"/>
                  <w:rFonts w:ascii="Times New Roman;sans-serif" w:hAnsi="Times New Roman;sans-serif"/>
                  <w:b w:val="false"/>
                  <w:color w:val="0000FF"/>
                  <w:sz w:val="22"/>
                  <w:u w:val="single"/>
                </w:rPr>
                <w:t>99.1</w:t>
              </w:r>
            </w:hyperlink>
          </w:p>
        </w:tc>
        <w:tc>
          <w:tcPr>
            <w:tcW w:w="5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Exxon Mobil Corporation 1Q25 Earnings Considerations.</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905" w:type="dxa"/>
        <w:jc w:val="left"/>
        <w:tblInd w:w="0" w:type="dxa"/>
        <w:tblLayout w:type="fixed"/>
        <w:tblCellMar>
          <w:top w:w="28" w:type="dxa"/>
          <w:left w:w="28" w:type="dxa"/>
          <w:bottom w:w="28" w:type="dxa"/>
          <w:right w:w="28" w:type="dxa"/>
        </w:tblCellMar>
      </w:tblPr>
      <w:tblGrid>
        <w:gridCol w:w="700"/>
        <w:gridCol w:w="616"/>
        <w:gridCol w:w="619"/>
        <w:gridCol w:w="527"/>
        <w:gridCol w:w="527"/>
        <w:gridCol w:w="527"/>
        <w:gridCol w:w="987"/>
        <w:gridCol w:w="987"/>
        <w:gridCol w:w="1415"/>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EXXON MOBIL CORPORATION</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April 3, 2025</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LEN M. FOX</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Len M. Fox</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Vice President, Controller and Tax</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99.1</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8"/>
        </w:rPr>
      </w:pPr>
      <w:r>
        <w:rPr>
          <w:rFonts w:ascii="Arial;sans-serif" w:hAnsi="Arial;sans-serif"/>
          <w:b/>
          <w:color w:val="000000"/>
          <w:sz w:val="28"/>
        </w:rPr>
        <w:t>1Q 2025 Earnings Considerations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To give perspective regarding market and planned factors affecting 1Q 2025 results, we are providing the following summary of items management believes will impact 1Q 2025 results relative to 4Q 2024 results. These factors are generally limited to significant planned activities, market dynamics, and seasonal demand patterns. This is only intended to provide information regarding current estimates of these factors. It is not comprehensive of all changes between 4Q 2024 and 1Q 2025 results and is not an estimate of 1Q 2025 earnings for the Corporation. For example, the table below does not reflect operating performance; ongoing improvement initiatives; impacts from the seasonality of base operating expenses; unscheduled downtime; or foreign exchange fluctuation, among other factors. Further, this list may not account for all adjustments and charges required to fully reflect the changes in industry conditions and are subject to finalization of the Corporation’s financial reporting process for 1Q 2025.</w:t>
      </w:r>
    </w:p>
    <w:tbl>
      <w:tblPr>
        <w:tblW w:w="10205" w:type="dxa"/>
        <w:jc w:val="left"/>
        <w:tblInd w:w="0" w:type="dxa"/>
        <w:tblLayout w:type="fixed"/>
        <w:tblCellMar>
          <w:top w:w="28" w:type="dxa"/>
          <w:left w:w="28" w:type="dxa"/>
          <w:bottom w:w="28" w:type="dxa"/>
          <w:right w:w="28" w:type="dxa"/>
        </w:tblCellMar>
      </w:tblPr>
      <w:tblGrid>
        <w:gridCol w:w="1175"/>
        <w:gridCol w:w="787"/>
        <w:gridCol w:w="794"/>
        <w:gridCol w:w="119"/>
        <w:gridCol w:w="119"/>
        <w:gridCol w:w="119"/>
        <w:gridCol w:w="416"/>
        <w:gridCol w:w="416"/>
        <w:gridCol w:w="417"/>
        <w:gridCol w:w="456"/>
        <w:gridCol w:w="456"/>
        <w:gridCol w:w="457"/>
        <w:gridCol w:w="479"/>
        <w:gridCol w:w="479"/>
        <w:gridCol w:w="480"/>
        <w:gridCol w:w="473"/>
        <w:gridCol w:w="473"/>
        <w:gridCol w:w="475"/>
        <w:gridCol w:w="289"/>
        <w:gridCol w:w="289"/>
        <w:gridCol w:w="290"/>
        <w:gridCol w:w="216"/>
        <w:gridCol w:w="216"/>
        <w:gridCol w:w="315"/>
      </w:tblGrid>
      <w:tr>
        <w:trPr/>
        <w:tc>
          <w:tcPr>
            <w:tcW w:w="11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4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2"/>
              </w:rPr>
            </w:pPr>
            <w:r>
              <w:rPr>
                <w:rFonts w:ascii="Arial;sans-serif" w:hAnsi="Arial;sans-serif"/>
                <w:b w:val="false"/>
                <w:i/>
                <w:color w:val="000000"/>
                <w:sz w:val="22"/>
              </w:rPr>
              <w:t>$ billions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Upstream</w:t>
            </w:r>
          </w:p>
        </w:tc>
        <w:tc>
          <w:tcPr>
            <w:tcW w:w="13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Energy Products</w:t>
            </w:r>
          </w:p>
        </w:tc>
        <w:tc>
          <w:tcPr>
            <w:tcW w:w="143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Chemical Products</w:t>
            </w:r>
          </w:p>
        </w:tc>
        <w:tc>
          <w:tcPr>
            <w:tcW w:w="1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Specialty Products</w:t>
            </w:r>
          </w:p>
        </w:tc>
        <w:tc>
          <w:tcPr>
            <w:tcW w:w="8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Corp &amp; Fin</w:t>
            </w:r>
          </w:p>
        </w:tc>
        <w:tc>
          <w:tcPr>
            <w:tcW w:w="74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Total</w:t>
            </w:r>
          </w:p>
        </w:tc>
      </w:tr>
      <w:tr>
        <w:trPr/>
        <w:tc>
          <w:tcPr>
            <w:tcW w:w="2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rPr>
            </w:pPr>
            <w:r>
              <w:rPr>
                <w:rFonts w:ascii="Arial;sans-serif" w:hAnsi="Arial;sans-serif"/>
                <w:b/>
                <w:color w:val="000000"/>
                <w:sz w:val="22"/>
              </w:rPr>
              <w:t>4Q24 earnings (loss), U.S. GAAP</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6.5</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0.4</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0.1</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0.7</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(0.2)</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7.6</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rPr>
            </w:pPr>
            <w:r>
              <w:rPr>
                <w:rFonts w:ascii="Arial;sans-serif" w:hAnsi="Arial;sans-serif"/>
                <w:b/>
                <w:color w:val="000000"/>
                <w:sz w:val="22"/>
              </w:rPr>
              <w:t>4Q24 Identified Items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Impairments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(0.4)</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(0.1)</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(0.1)</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(0.6)</w:t>
            </w:r>
          </w:p>
        </w:tc>
      </w:tr>
      <w:tr>
        <w:trPr/>
        <w:tc>
          <w:tcPr>
            <w:tcW w:w="2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Gain/(Loss) on sale of assets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0.4</w:t>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0.4</w:t>
            </w:r>
          </w:p>
        </w:tc>
      </w:tr>
      <w:tr>
        <w:trPr/>
        <w:tc>
          <w:tcPr>
            <w:tcW w:w="2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Tax-related items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0.2</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0.2</w:t>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0.4</w:t>
            </w:r>
          </w:p>
        </w:tc>
      </w:tr>
      <w:tr>
        <w:trPr/>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2"/>
              </w:rPr>
            </w:pPr>
            <w:r>
              <w:rPr>
                <w:rFonts w:ascii="Arial;sans-serif" w:hAnsi="Arial;sans-serif"/>
                <w:b/>
                <w:color w:val="000000"/>
                <w:sz w:val="22"/>
              </w:rPr>
              <w:t>4Q24 earnings (loss) excluding Identified Items (non-GAAP)</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6.3</w:t>
            </w:r>
          </w:p>
        </w:tc>
        <w:tc>
          <w:tcPr>
            <w:tcW w:w="13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0.3</w:t>
            </w:r>
          </w:p>
        </w:tc>
        <w:tc>
          <w:tcPr>
            <w:tcW w:w="143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0.2</w:t>
            </w:r>
          </w:p>
        </w:tc>
        <w:tc>
          <w:tcPr>
            <w:tcW w:w="1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0.8</w:t>
            </w:r>
          </w:p>
        </w:tc>
        <w:tc>
          <w:tcPr>
            <w:tcW w:w="8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(0.2)</w:t>
            </w:r>
          </w:p>
        </w:tc>
        <w:tc>
          <w:tcPr>
            <w:tcW w:w="74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2"/>
              </w:rPr>
            </w:pPr>
            <w:r>
              <w:rPr>
                <w:rFonts w:ascii="Arial;sans-serif" w:hAnsi="Arial;sans-serif"/>
                <w:b/>
                <w:color w:val="000000"/>
                <w:sz w:val="22"/>
              </w:rPr>
              <w:t>7.4</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Due to rounding, numbers presented above may not add up precisely to the totals indicated.</w:t>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8" w:type="dxa"/>
            <w:gridSpan w:val="21"/>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Estimated effects of market factors impacting 1Q 2025 results</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Change in liquids prices</w:t>
            </w:r>
            <w:r>
              <w:rPr>
                <w:rFonts w:ascii="Arial;sans-serif" w:hAnsi="Arial;sans-serif"/>
                <w:b w:val="false"/>
                <w:color w:val="000000"/>
                <w:sz w:val="14"/>
              </w:rPr>
              <w:t>1</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0.0 - 0.4</w:t>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Change in gas prices</w:t>
            </w:r>
            <w:r>
              <w:rPr>
                <w:rFonts w:ascii="Arial;sans-serif" w:hAnsi="Arial;sans-serif"/>
                <w:b w:val="false"/>
                <w:color w:val="000000"/>
                <w:sz w:val="14"/>
              </w:rPr>
              <w:t>2</w:t>
            </w:r>
          </w:p>
          <w:p>
            <w:pPr>
              <w:pStyle w:val="TableContents"/>
              <w:bidi w:val="0"/>
              <w:spacing w:before="0" w:after="0"/>
              <w:jc w:val="left"/>
              <w:rPr/>
            </w:pPr>
            <w:r>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 xml:space="preserve">0.0 - 0.4 </w:t>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Change in industry margins</w:t>
            </w:r>
            <w:r>
              <w:rPr>
                <w:rFonts w:ascii="Arial;sans-serif" w:hAnsi="Arial;sans-serif"/>
                <w:b w:val="false"/>
                <w:color w:val="000000"/>
                <w:sz w:val="14"/>
              </w:rPr>
              <w:t>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0.3 - 0.7</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(0.1) - 0.1</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(0.3) - (0.1) </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22"/>
              </w:rPr>
              <w:t>Change in timing effects</w:t>
            </w:r>
            <w:r>
              <w:rPr>
                <w:rFonts w:ascii="Arial;sans-serif" w:hAnsi="Arial;sans-serif"/>
                <w:b w:val="false"/>
                <w:color w:val="000000"/>
                <w:sz w:val="14"/>
              </w:rPr>
              <w:t>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0.1 - 0.5 </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0.1 - 0.5</w:t>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8" w:type="dxa"/>
            <w:gridSpan w:val="21"/>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2"/>
              </w:rPr>
            </w:pPr>
            <w:r>
              <w:rPr>
                <w:rFonts w:ascii="Arial;sans-serif" w:hAnsi="Arial;sans-serif"/>
                <w:b/>
                <w:color w:val="000000"/>
                <w:sz w:val="22"/>
              </w:rPr>
              <w:t>Estimated effects of planned and seasonal factors, and other items impacting 1Q 2025 results</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Change in scheduled maintenance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 xml:space="preserve">0.0 - 0.2 </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 xml:space="preserve">(0.3) - (0.1)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 xml:space="preserve">(0.1) - 0.1 </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(0.1) - 0.1 </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Estimated day effect (fewer days in 1Q25 versus 4Q24)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(0.3) - (0.1)</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(0.2) - 0.0</w:t>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2"/>
              </w:rPr>
            </w:pPr>
            <w:r>
              <w:rPr>
                <w:rFonts w:ascii="Arial;sans-serif" w:hAnsi="Arial;sans-serif"/>
                <w:b w:val="false"/>
                <w:color w:val="000000"/>
                <w:sz w:val="22"/>
              </w:rPr>
              <w:t>Absence of year-end inventory effects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(0.1)</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0"/>
              <w:ind w:left="0" w:right="0" w:hanging="90"/>
              <w:jc w:val="left"/>
              <w:rPr/>
            </w:pPr>
            <w:r>
              <w:rPr>
                <w:rFonts w:ascii="Arial;sans-serif" w:hAnsi="Arial;sans-serif"/>
                <w:b w:val="false"/>
                <w:i/>
                <w:color w:val="000000"/>
                <w:sz w:val="14"/>
                <w:shd w:fill="FFFFFF" w:val="clear"/>
              </w:rPr>
              <w:t xml:space="preserve">1 </w:t>
            </w:r>
            <w:r>
              <w:rPr>
                <w:rFonts w:ascii="Arial;sans-serif" w:hAnsi="Arial;sans-serif"/>
                <w:b w:val="false"/>
                <w:i/>
                <w:color w:val="000000"/>
                <w:sz w:val="22"/>
              </w:rPr>
              <w:t>Change in liquids price includes impacts from the change in crude, condensate, and NGL realizations at prior period sales volumes.</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0"/>
              <w:ind w:left="0" w:right="0" w:hanging="90"/>
              <w:jc w:val="left"/>
              <w:rPr/>
            </w:pPr>
            <w:r>
              <w:rPr>
                <w:rFonts w:ascii="Arial;sans-serif" w:hAnsi="Arial;sans-serif"/>
                <w:b w:val="false"/>
                <w:i/>
                <w:color w:val="000000"/>
                <w:sz w:val="14"/>
              </w:rPr>
              <w:t>2</w:t>
            </w:r>
            <w:r>
              <w:rPr>
                <w:color w:val="000000"/>
              </w:rPr>
              <w:t xml:space="preserve"> </w:t>
            </w:r>
            <w:r>
              <w:rPr>
                <w:rFonts w:ascii="Arial;sans-serif" w:hAnsi="Arial;sans-serif"/>
                <w:b w:val="false"/>
                <w:i/>
                <w:color w:val="000000"/>
                <w:sz w:val="22"/>
              </w:rPr>
              <w:t>Change in gas price includes impacts from the change in natural gas realizations (including LNG) at prior period sales volumes and settled gas trading.</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40" w:after="20"/>
              <w:ind w:left="0" w:right="0" w:hanging="90"/>
              <w:jc w:val="left"/>
              <w:rPr/>
            </w:pPr>
            <w:r>
              <w:rPr>
                <w:rFonts w:ascii="Arial;sans-serif" w:hAnsi="Arial;sans-serif"/>
                <w:b w:val="false"/>
                <w:i/>
                <w:color w:val="000000"/>
                <w:sz w:val="14"/>
              </w:rPr>
              <w:t>3</w:t>
            </w:r>
            <w:r>
              <w:rPr>
                <w:color w:val="000000"/>
              </w:rPr>
              <w:t xml:space="preserve"> </w:t>
            </w:r>
            <w:r>
              <w:rPr>
                <w:rFonts w:ascii="Arial;sans-serif" w:hAnsi="Arial;sans-serif"/>
                <w:b w:val="false"/>
                <w:i/>
                <w:color w:val="000000"/>
                <w:sz w:val="22"/>
              </w:rPr>
              <w:t>Changes in industry margins are estimated market effects on crude and petroleum products, specialty basestocks, and chemicals at prior period volumes which include market impacts on trading in the respective segments.</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90"/>
              <w:jc w:val="left"/>
              <w:rPr/>
            </w:pPr>
            <w:r>
              <w:rPr>
                <w:rFonts w:ascii="Arial;sans-serif" w:hAnsi="Arial;sans-serif"/>
                <w:b w:val="false"/>
                <w:i/>
                <w:color w:val="000000"/>
                <w:sz w:val="14"/>
              </w:rPr>
              <w:t xml:space="preserve">4 </w:t>
            </w:r>
            <w:r>
              <w:rPr>
                <w:rFonts w:ascii="Arial;sans-serif" w:hAnsi="Arial;sans-serif"/>
                <w:b w:val="false"/>
                <w:i/>
                <w:color w:val="000000"/>
                <w:sz w:val="22"/>
              </w:rPr>
              <w:t>Timing effects are primarily related to unsettled derivatives (mark-to-market) and other earnings impacts driven by timing differences between the settlement of derivatives and their offsetting physical commodity realizations (due to LIFO inventory accounting).</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092" w:type="dxa"/>
            <w:gridSpan w:val="18"/>
            <w:tcBorders/>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092" w:type="dxa"/>
            <w:gridSpan w:val="18"/>
            <w:tcBorders/>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r>
        <w:trPr/>
        <w:tc>
          <w:tcPr>
            <w:tcW w:w="27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1Q 2025 may vary from our estimates for a number of reasons, including additional unidentified factors related to: sales volume and sales mix numbers; supply and demand imbalances including as a result of direct or indirect restrictions on production; regional pricing differentials and refining and chemical margins; fluctuations in feedstock prices; forecasts of economic growth; seasonal impacts on product demand and operating expenses; resolution of trading and derivative positions for the quarter; increases in integration benefits or costs of new start-ups or acquisitions; global and regional hostilities, including decoupling of economies, national or regional tariffs, border disputes, nationalizations, war, terrorism, threats to trade routes or freedom of navigation, or civil unrest and its impact on markets and our assets around the world;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or independent administrative bureaucracies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the oil, natural gas, petroleum, and petrochemical industries. Furthermore, additional factors may exist that will be relevant to 1Q 2025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Regulation FD, we are hereby providing notice the Company currently intends to furnish its 1Q 2025 financial results both (1) by posting them on our website at www.exxonmobil.com and (2) in a filing on Form 8-K in the Securities and Exchange Commission EDGAR system, each at approximately 5:30 a.m. CT Friday, May 2, 2025.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May 2,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1583</Words>
  <Characters>8830</Characters>
  <CharactersWithSpaces>10335</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