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2203"/>
        <w:spacing w:after="0"/>
        <w:rPr>
          <w:sz w:val="20"/>
          <w:szCs w:val="20"/>
          <w:color w:val="auto"/>
        </w:rPr>
      </w:pPr>
      <w:r>
        <w:rPr>
          <w:rFonts w:ascii="Courier New" w:cs="Courier New" w:eastAsia="Courier New" w:hAnsi="Courier New"/>
          <w:sz w:val="18"/>
          <w:szCs w:val="18"/>
          <w:color w:val="auto"/>
        </w:rPr>
        <w:t>UNITED STATES</w:t>
      </w:r>
    </w:p>
    <w:p>
      <w:pPr>
        <w:jc w:val="center"/>
        <w:ind w:right="2083"/>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2636"/>
        <w:spacing w:after="0"/>
        <w:tabs>
          <w:tab w:leader="none" w:pos="4516"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256"/>
        <w:spacing w:after="0"/>
        <w:rPr>
          <w:sz w:val="20"/>
          <w:szCs w:val="20"/>
          <w:color w:val="auto"/>
        </w:rPr>
      </w:pPr>
      <w:r>
        <w:rPr>
          <w:rFonts w:ascii="Courier New" w:cs="Courier New" w:eastAsia="Courier New" w:hAnsi="Courier New"/>
          <w:sz w:val="18"/>
          <w:szCs w:val="18"/>
          <w:color w:val="auto"/>
        </w:rPr>
        <w:t>FORM 11-K</w:t>
      </w:r>
    </w:p>
    <w:p>
      <w:pPr>
        <w:spacing w:after="0" w:line="200" w:lineRule="exact"/>
        <w:rPr>
          <w:sz w:val="24"/>
          <w:szCs w:val="24"/>
          <w:color w:val="auto"/>
        </w:rPr>
      </w:pPr>
    </w:p>
    <w:p>
      <w:pPr>
        <w:spacing w:after="0" w:line="209" w:lineRule="exact"/>
        <w:rPr>
          <w:sz w:val="24"/>
          <w:szCs w:val="24"/>
          <w:color w:val="auto"/>
        </w:rPr>
      </w:pPr>
    </w:p>
    <w:p>
      <w:pPr>
        <w:ind w:left="1156" w:right="3899" w:hanging="1156"/>
        <w:spacing w:after="0" w:line="235" w:lineRule="auto"/>
        <w:tabs>
          <w:tab w:leader="none" w:pos="115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w:t>
      </w:r>
    </w:p>
    <w:p>
      <w:pPr>
        <w:spacing w:after="0" w:line="203" w:lineRule="exact"/>
        <w:rPr>
          <w:sz w:val="24"/>
          <w:szCs w:val="24"/>
          <w:color w:val="auto"/>
        </w:rPr>
      </w:pPr>
    </w:p>
    <w:p>
      <w:pPr>
        <w:ind w:left="1256"/>
        <w:spacing w:after="0"/>
        <w:rPr>
          <w:sz w:val="20"/>
          <w:szCs w:val="20"/>
          <w:color w:val="auto"/>
        </w:rPr>
      </w:pPr>
      <w:r>
        <w:rPr>
          <w:rFonts w:ascii="Courier New" w:cs="Courier New" w:eastAsia="Courier New" w:hAnsi="Courier New"/>
          <w:sz w:val="18"/>
          <w:szCs w:val="18"/>
          <w:color w:val="auto"/>
        </w:rPr>
        <w:t>For the fiscal year ended December 31, 2003</w:t>
      </w:r>
    </w:p>
    <w:p>
      <w:pPr>
        <w:spacing w:after="0" w:line="200" w:lineRule="exact"/>
        <w:rPr>
          <w:sz w:val="24"/>
          <w:szCs w:val="24"/>
          <w:color w:val="auto"/>
        </w:rPr>
      </w:pPr>
    </w:p>
    <w:p>
      <w:pPr>
        <w:spacing w:after="0" w:line="204" w:lineRule="exact"/>
        <w:rPr>
          <w:sz w:val="24"/>
          <w:szCs w:val="24"/>
          <w:color w:val="auto"/>
        </w:rPr>
      </w:pPr>
    </w:p>
    <w:p>
      <w:pPr>
        <w:ind w:left="3156"/>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56" w:right="3479" w:hanging="1156"/>
        <w:spacing w:after="0" w:line="235" w:lineRule="auto"/>
        <w:tabs>
          <w:tab w:leader="none" w:pos="20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15(d) OF THE SECURITIES EXCHANGE ACT OF 1934</w:t>
      </w:r>
    </w:p>
    <w:p>
      <w:pPr>
        <w:spacing w:after="0" w:line="200" w:lineRule="exact"/>
        <w:rPr>
          <w:sz w:val="24"/>
          <w:szCs w:val="24"/>
          <w:color w:val="auto"/>
        </w:rPr>
      </w:pPr>
    </w:p>
    <w:p>
      <w:pPr>
        <w:spacing w:after="0" w:line="205" w:lineRule="exact"/>
        <w:rPr>
          <w:sz w:val="24"/>
          <w:szCs w:val="24"/>
          <w:color w:val="auto"/>
        </w:rPr>
      </w:pPr>
    </w:p>
    <w:p>
      <w:pPr>
        <w:ind w:left="836"/>
        <w:spacing w:after="0"/>
        <w:rPr>
          <w:sz w:val="20"/>
          <w:szCs w:val="20"/>
          <w:color w:val="auto"/>
        </w:rPr>
      </w:pPr>
      <w:r>
        <w:rPr>
          <w:rFonts w:ascii="Courier New" w:cs="Courier New" w:eastAsia="Courier New" w:hAnsi="Courier New"/>
          <w:sz w:val="18"/>
          <w:szCs w:val="18"/>
          <w:color w:val="auto"/>
        </w:rPr>
        <w:t>For the transition period from __________ to ___________</w:t>
      </w:r>
    </w:p>
    <w:p>
      <w:pPr>
        <w:spacing w:after="0" w:line="200" w:lineRule="exact"/>
        <w:rPr>
          <w:sz w:val="24"/>
          <w:szCs w:val="24"/>
          <w:color w:val="auto"/>
        </w:rPr>
      </w:pPr>
    </w:p>
    <w:p>
      <w:pPr>
        <w:spacing w:after="0" w:line="204" w:lineRule="exact"/>
        <w:rPr>
          <w:sz w:val="24"/>
          <w:szCs w:val="24"/>
          <w:color w:val="auto"/>
        </w:rPr>
      </w:pPr>
    </w:p>
    <w:p>
      <w:pPr>
        <w:ind w:left="2116"/>
        <w:spacing w:after="0"/>
        <w:rPr>
          <w:sz w:val="20"/>
          <w:szCs w:val="20"/>
          <w:color w:val="auto"/>
        </w:rPr>
      </w:pPr>
      <w:r>
        <w:rPr>
          <w:rFonts w:ascii="Courier New" w:cs="Courier New" w:eastAsia="Courier New" w:hAnsi="Courier New"/>
          <w:sz w:val="18"/>
          <w:szCs w:val="18"/>
          <w:color w:val="auto"/>
        </w:rPr>
        <w:t>Commission file number 1-2256</w:t>
      </w:r>
    </w:p>
    <w:p>
      <w:pPr>
        <w:spacing w:after="0" w:line="200" w:lineRule="exact"/>
        <w:rPr>
          <w:sz w:val="24"/>
          <w:szCs w:val="24"/>
          <w:color w:val="auto"/>
        </w:rPr>
      </w:pPr>
    </w:p>
    <w:p>
      <w:pPr>
        <w:spacing w:after="0" w:line="204" w:lineRule="exact"/>
        <w:rPr>
          <w:sz w:val="24"/>
          <w:szCs w:val="24"/>
          <w:color w:val="auto"/>
        </w:rPr>
      </w:pPr>
    </w:p>
    <w:p>
      <w:pPr>
        <w:ind w:left="836"/>
        <w:spacing w:after="0"/>
        <w:rPr>
          <w:sz w:val="20"/>
          <w:szCs w:val="20"/>
          <w:color w:val="auto"/>
        </w:rPr>
      </w:pPr>
      <w:r>
        <w:rPr>
          <w:rFonts w:ascii="Courier New" w:cs="Courier New" w:eastAsia="Courier New" w:hAnsi="Courier New"/>
          <w:sz w:val="18"/>
          <w:szCs w:val="18"/>
          <w:color w:val="auto"/>
        </w:rPr>
        <w:t>A. Full title of the plan:</w:t>
      </w:r>
    </w:p>
    <w:p>
      <w:pPr>
        <w:spacing w:after="0" w:line="201" w:lineRule="exact"/>
        <w:rPr>
          <w:sz w:val="24"/>
          <w:szCs w:val="24"/>
          <w:color w:val="auto"/>
        </w:rPr>
      </w:pPr>
    </w:p>
    <w:p>
      <w:pPr>
        <w:ind w:left="1796"/>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0" w:lineRule="exact"/>
        <w:rPr>
          <w:sz w:val="24"/>
          <w:szCs w:val="24"/>
          <w:color w:val="auto"/>
        </w:rPr>
      </w:pPr>
    </w:p>
    <w:p>
      <w:pPr>
        <w:spacing w:after="0" w:line="209" w:lineRule="exact"/>
        <w:rPr>
          <w:sz w:val="24"/>
          <w:szCs w:val="24"/>
          <w:color w:val="auto"/>
        </w:rPr>
      </w:pPr>
    </w:p>
    <w:p>
      <w:pPr>
        <w:ind w:left="1156" w:right="2619" w:hanging="319"/>
        <w:spacing w:after="0" w:line="235" w:lineRule="auto"/>
        <w:tabs>
          <w:tab w:leader="none" w:pos="1136" w:val="left"/>
        </w:tabs>
        <w:rPr>
          <w:sz w:val="20"/>
          <w:szCs w:val="20"/>
          <w:color w:val="auto"/>
        </w:rPr>
      </w:pPr>
      <w:r>
        <w:rPr>
          <w:rFonts w:ascii="Courier New" w:cs="Courier New" w:eastAsia="Courier New" w:hAnsi="Courier New"/>
          <w:sz w:val="18"/>
          <w:szCs w:val="18"/>
          <w:color w:val="auto"/>
        </w:rPr>
        <w:t>B.</w:t>
        <w:tab/>
        <w:t>Name of issuer of the securities held pursuant to the plan and the address of its principal executive office:</w:t>
      </w:r>
    </w:p>
    <w:p>
      <w:pPr>
        <w:spacing w:after="0" w:line="203"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EXXON MOBIL CORPORATION</w:t>
      </w:r>
    </w:p>
    <w:p>
      <w:pPr>
        <w:spacing w:after="0" w:line="201" w:lineRule="exact"/>
        <w:rPr>
          <w:sz w:val="24"/>
          <w:szCs w:val="24"/>
          <w:color w:val="auto"/>
        </w:rPr>
      </w:pPr>
    </w:p>
    <w:p>
      <w:pPr>
        <w:jc w:val="center"/>
        <w:ind w:right="2303"/>
        <w:spacing w:after="0"/>
        <w:rPr>
          <w:sz w:val="20"/>
          <w:szCs w:val="20"/>
          <w:color w:val="auto"/>
        </w:rPr>
      </w:pPr>
      <w:r>
        <w:rPr>
          <w:rFonts w:ascii="Courier New" w:cs="Courier New" w:eastAsia="Courier New" w:hAnsi="Courier New"/>
          <w:sz w:val="18"/>
          <w:szCs w:val="18"/>
          <w:color w:val="auto"/>
        </w:rPr>
        <w:t>5959 Las Colinas Boulevard</w:t>
      </w:r>
    </w:p>
    <w:p>
      <w:pPr>
        <w:spacing w:after="0" w:line="201"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Irving, Texas 75039-2298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1796"/>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56"/>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6736"/>
        <w:spacing w:after="0"/>
        <w:rPr>
          <w:sz w:val="20"/>
          <w:szCs w:val="20"/>
          <w:color w:val="auto"/>
        </w:rPr>
      </w:pPr>
      <w:r>
        <w:rPr>
          <w:rFonts w:ascii="Courier New" w:cs="Courier New" w:eastAsia="Courier New" w:hAnsi="Courier New"/>
          <w:sz w:val="18"/>
          <w:szCs w:val="18"/>
          <w:color w:val="auto"/>
        </w:rPr>
        <w:t>Page</w:t>
      </w:r>
    </w:p>
    <w:p>
      <w:pPr>
        <w:ind w:left="6636"/>
        <w:spacing w:after="0" w:line="238" w:lineRule="auto"/>
        <w:rPr>
          <w:sz w:val="20"/>
          <w:szCs w:val="20"/>
          <w:color w:val="auto"/>
        </w:rPr>
      </w:pPr>
      <w:r>
        <w:rPr>
          <w:rFonts w:ascii="Courier New" w:cs="Courier New" w:eastAsia="Courier New" w:hAnsi="Courier New"/>
          <w:sz w:val="18"/>
          <w:szCs w:val="18"/>
          <w:color w:val="auto"/>
        </w:rPr>
        <w:t>-----</w:t>
      </w:r>
    </w:p>
    <w:p>
      <w:pPr>
        <w:ind w:left="316"/>
        <w:spacing w:after="0"/>
        <w:rPr>
          <w:sz w:val="20"/>
          <w:szCs w:val="20"/>
          <w:color w:val="auto"/>
        </w:rPr>
      </w:pPr>
      <w:r>
        <w:rPr>
          <w:rFonts w:ascii="Courier New" w:cs="Courier New" w:eastAsia="Courier New" w:hAnsi="Courier New"/>
          <w:sz w:val="18"/>
          <w:szCs w:val="18"/>
          <w:color w:val="auto"/>
        </w:rPr>
        <w:t>Financial Statements</w:t>
      </w:r>
    </w:p>
    <w:p>
      <w:pPr>
        <w:sectPr>
          <w:pgSz w:w="11900" w:h="16892" w:orient="portrait"/>
          <w:cols w:equalWidth="0" w:num="1">
            <w:col w:w="9895"/>
          </w:cols>
          <w:pgMar w:left="564" w:top="244" w:right="1440" w:bottom="0" w:gutter="0" w:footer="0" w:header="0"/>
        </w:sectPr>
      </w:pPr>
    </w:p>
    <w:p>
      <w:pPr>
        <w:spacing w:after="0" w:line="206" w:lineRule="exact"/>
        <w:rPr>
          <w:sz w:val="24"/>
          <w:szCs w:val="24"/>
          <w:color w:val="auto"/>
        </w:rPr>
      </w:pPr>
    </w:p>
    <w:p>
      <w:pPr>
        <w:ind w:left="636" w:right="540"/>
        <w:spacing w:after="0" w:line="235" w:lineRule="auto"/>
        <w:rPr>
          <w:sz w:val="20"/>
          <w:szCs w:val="20"/>
          <w:color w:val="auto"/>
        </w:rPr>
      </w:pPr>
      <w:r>
        <w:rPr>
          <w:rFonts w:ascii="Courier New" w:cs="Courier New" w:eastAsia="Courier New" w:hAnsi="Courier New"/>
          <w:sz w:val="18"/>
          <w:szCs w:val="18"/>
          <w:color w:val="auto"/>
        </w:rPr>
        <w:t>Statement of Net Assets Available for Benefits at December 31, 2003 and 2002</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215" w:lineRule="exact"/>
        <w:rPr>
          <w:sz w:val="24"/>
          <w:szCs w:val="24"/>
          <w:color w:val="auto"/>
        </w:rPr>
      </w:pPr>
    </w:p>
    <w:p>
      <w:pPr>
        <w:sectPr>
          <w:pgSz w:w="11900" w:h="16892" w:orient="portrait"/>
          <w:cols w:equalWidth="0" w:num="2">
            <w:col w:w="6336" w:space="720"/>
            <w:col w:w="2839"/>
          </w:cols>
          <w:pgMar w:left="564" w:top="244" w:right="1440" w:bottom="0" w:gutter="0" w:footer="0" w:header="0"/>
          <w:type w:val="continuous"/>
        </w:sectPr>
      </w:pPr>
    </w:p>
    <w:p>
      <w:pPr>
        <w:spacing w:after="0" w:line="8" w:lineRule="exact"/>
        <w:rPr>
          <w:sz w:val="24"/>
          <w:szCs w:val="24"/>
          <w:color w:val="auto"/>
        </w:rPr>
      </w:pPr>
    </w:p>
    <w:p>
      <w:pPr>
        <w:ind w:left="636" w:right="640"/>
        <w:spacing w:after="0" w:line="290" w:lineRule="auto"/>
        <w:rPr>
          <w:sz w:val="20"/>
          <w:szCs w:val="20"/>
          <w:color w:val="auto"/>
        </w:rPr>
      </w:pPr>
      <w:r>
        <w:rPr>
          <w:rFonts w:ascii="Courier New" w:cs="Courier New" w:eastAsia="Courier New" w:hAnsi="Courier New"/>
          <w:sz w:val="16"/>
          <w:szCs w:val="16"/>
          <w:color w:val="auto"/>
        </w:rPr>
        <w:t>Statement of Changes in Net Assets Available for Benefits, for the Year ended December 31, 2003</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w:t>
      </w:r>
    </w:p>
    <w:p>
      <w:pPr>
        <w:sectPr>
          <w:pgSz w:w="11900" w:h="16892" w:orient="portrait"/>
          <w:cols w:equalWidth="0" w:num="2">
            <w:col w:w="6336" w:space="720"/>
            <w:col w:w="2839"/>
          </w:cols>
          <w:pgMar w:left="564" w:top="244" w:right="1440" w:bottom="0" w:gutter="0" w:footer="0" w:header="0"/>
          <w:type w:val="continuous"/>
        </w:sectPr>
      </w:pPr>
    </w:p>
    <w:bookmarkStart w:id="1" w:name="page2"/>
    <w:bookmarkEnd w:id="1"/>
    <w:tbl>
      <w:tblPr>
        <w:tblLayout w:type="fixed"/>
        <w:tblInd w:w="640" w:type="dxa"/>
        <w:tblCellMar>
          <w:top w:w="0" w:type="dxa"/>
          <w:left w:w="0" w:type="dxa"/>
          <w:bottom w:w="0" w:type="dxa"/>
          <w:right w:w="0" w:type="dxa"/>
        </w:tblCellMar>
      </w:tblPr>
      <w:tr>
        <w:trPr>
          <w:trHeight w:val="204"/>
        </w:trPr>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Notes to Financial</w:t>
            </w:r>
          </w:p>
        </w:tc>
        <w:tc>
          <w:tcPr>
            <w:tcW w:w="3840" w:type="dxa"/>
            <w:vAlign w:val="bottom"/>
          </w:tcPr>
          <w:p>
            <w:pPr>
              <w:spacing w:after="0"/>
              <w:rPr>
                <w:sz w:val="20"/>
                <w:szCs w:val="20"/>
                <w:color w:val="auto"/>
              </w:rPr>
            </w:pPr>
            <w:r>
              <w:rPr>
                <w:rFonts w:ascii="Courier New" w:cs="Courier New" w:eastAsia="Courier New" w:hAnsi="Courier New"/>
                <w:sz w:val="18"/>
                <w:szCs w:val="18"/>
                <w:color w:val="auto"/>
              </w:rPr>
              <w:t>Statements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Supplemental Schedules</w:t>
            </w:r>
          </w:p>
        </w:tc>
        <w:tc>
          <w:tcPr>
            <w:tcW w:w="3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6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Schedule of Nonexempt Transactions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Schedule of Assets</w:t>
            </w:r>
          </w:p>
        </w:tc>
        <w:tc>
          <w:tcPr>
            <w:tcW w:w="3840" w:type="dxa"/>
            <w:vAlign w:val="bottom"/>
          </w:tcPr>
          <w:p>
            <w:pPr>
              <w:spacing w:after="0"/>
              <w:rPr>
                <w:sz w:val="20"/>
                <w:szCs w:val="20"/>
                <w:color w:val="auto"/>
              </w:rPr>
            </w:pPr>
            <w:r>
              <w:rPr>
                <w:rFonts w:ascii="Courier New" w:cs="Courier New" w:eastAsia="Courier New" w:hAnsi="Courier New"/>
                <w:sz w:val="18"/>
                <w:szCs w:val="18"/>
                <w:color w:val="auto"/>
              </w:rPr>
              <w:t>(Held At End of Year)</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Report of Independent</w:t>
            </w:r>
          </w:p>
        </w:tc>
        <w:tc>
          <w:tcPr>
            <w:tcW w:w="3840" w:type="dxa"/>
            <w:vAlign w:val="bottom"/>
          </w:tcPr>
          <w:p>
            <w:pPr>
              <w:spacing w:after="0"/>
              <w:rPr>
                <w:sz w:val="20"/>
                <w:szCs w:val="20"/>
                <w:color w:val="auto"/>
              </w:rPr>
            </w:pPr>
            <w:r>
              <w:rPr>
                <w:rFonts w:ascii="Courier New" w:cs="Courier New" w:eastAsia="Courier New" w:hAnsi="Courier New"/>
                <w:sz w:val="18"/>
                <w:szCs w:val="18"/>
                <w:color w:val="auto"/>
              </w:rPr>
              <w:t>Registered Public Accounting Firm</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8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38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6160" w:type="dxa"/>
            <w:vAlign w:val="bottom"/>
            <w:gridSpan w:val="2"/>
          </w:tcPr>
          <w:p>
            <w:pPr>
              <w:spacing w:after="0"/>
              <w:rPr>
                <w:sz w:val="20"/>
                <w:szCs w:val="20"/>
                <w:color w:val="auto"/>
              </w:rPr>
            </w:pPr>
            <w:r>
              <w:rPr>
                <w:rFonts w:ascii="Courier New" w:cs="Courier New" w:eastAsia="Courier New" w:hAnsi="Courier New"/>
                <w:sz w:val="18"/>
                <w:szCs w:val="18"/>
                <w:color w:val="auto"/>
              </w:rPr>
              <w:t>Exhibit 23 - Consent of Independent Registered</w:t>
            </w:r>
          </w:p>
        </w:tc>
        <w:tc>
          <w:tcPr>
            <w:tcW w:w="680" w:type="dxa"/>
            <w:vAlign w:val="bottom"/>
          </w:tcPr>
          <w:p>
            <w:pPr>
              <w:spacing w:after="0"/>
              <w:rPr>
                <w:sz w:val="24"/>
                <w:szCs w:val="24"/>
                <w:color w:val="auto"/>
              </w:rPr>
            </w:pPr>
          </w:p>
        </w:tc>
      </w:tr>
      <w:tr>
        <w:trPr>
          <w:trHeight w:val="203"/>
        </w:trPr>
        <w:tc>
          <w:tcPr>
            <w:tcW w:w="23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Public</w:t>
            </w:r>
          </w:p>
        </w:tc>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Firm</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5380" w:type="dxa"/>
            <w:vAlign w:val="bottom"/>
            <w:gridSpan w:val="2"/>
          </w:tcPr>
          <w:p>
            <w:pPr>
              <w:jc w:val="right"/>
              <w:ind w:right="756"/>
              <w:spacing w:after="0"/>
              <w:rPr>
                <w:sz w:val="20"/>
                <w:szCs w:val="20"/>
                <w:color w:val="auto"/>
              </w:rPr>
            </w:pPr>
            <w:r>
              <w:rPr>
                <w:rFonts w:ascii="Courier New" w:cs="Courier New" w:eastAsia="Courier New" w:hAnsi="Courier New"/>
                <w:sz w:val="18"/>
                <w:szCs w:val="18"/>
                <w:color w:val="auto"/>
              </w:rPr>
              <w:t>STATEMENT OF NET ASSETS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380" w:type="dxa"/>
            <w:vAlign w:val="bottom"/>
            <w:gridSpan w:val="2"/>
          </w:tcPr>
          <w:p>
            <w:pPr>
              <w:jc w:val="right"/>
              <w:ind w:right="756"/>
              <w:spacing w:after="0" w:line="203" w:lineRule="exact"/>
              <w:rPr>
                <w:sz w:val="20"/>
                <w:szCs w:val="20"/>
                <w:color w:val="auto"/>
              </w:rPr>
            </w:pPr>
            <w:r>
              <w:rPr>
                <w:rFonts w:ascii="Courier New" w:cs="Courier New" w:eastAsia="Courier New" w:hAnsi="Courier New"/>
                <w:sz w:val="18"/>
                <w:szCs w:val="18"/>
                <w:color w:val="auto"/>
              </w:rPr>
              <w:t>AVAILABLE FOR BENEFITS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3"/>
          </w:tcPr>
          <w:p>
            <w:pPr>
              <w:jc w:val="right"/>
              <w:ind w:right="756"/>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3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0" w:type="dxa"/>
            <w:vAlign w:val="bottom"/>
          </w:tcPr>
          <w:p>
            <w:pPr>
              <w:jc w:val="right"/>
              <w:ind w:right="756"/>
              <w:spacing w:after="0"/>
              <w:rPr>
                <w:sz w:val="20"/>
                <w:szCs w:val="20"/>
                <w:color w:val="auto"/>
              </w:rPr>
            </w:pPr>
            <w:r>
              <w:rPr>
                <w:rFonts w:ascii="Courier New" w:cs="Courier New" w:eastAsia="Courier New" w:hAnsi="Courier New"/>
                <w:sz w:val="18"/>
                <w:szCs w:val="18"/>
                <w:color w:val="auto"/>
              </w:rPr>
              <w:t>2003</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2002</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0" w:type="dxa"/>
            <w:vAlign w:val="bottom"/>
          </w:tcPr>
          <w:p>
            <w:pPr>
              <w:jc w:val="right"/>
              <w:ind w:right="436"/>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97"/>
        </w:trPr>
        <w:tc>
          <w:tcPr>
            <w:tcW w:w="74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40" w:type="dxa"/>
            <w:vAlign w:val="bottom"/>
          </w:tcPr>
          <w:p>
            <w:pPr>
              <w:spacing w:after="0"/>
              <w:rPr>
                <w:sz w:val="20"/>
                <w:szCs w:val="20"/>
                <w:color w:val="auto"/>
              </w:rPr>
            </w:pPr>
            <w:r>
              <w:rPr>
                <w:rFonts w:ascii="Courier New" w:cs="Courier New" w:eastAsia="Courier New" w:hAnsi="Courier New"/>
                <w:sz w:val="18"/>
                <w:szCs w:val="18"/>
                <w:color w:val="auto"/>
                <w:strike w:val="1"/>
                <w:w w:val="95"/>
              </w:rPr>
              <w:t>Assets:</w:t>
            </w:r>
          </w:p>
        </w:tc>
        <w:tc>
          <w:tcPr>
            <w:tcW w:w="3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Investments, at fair value (see note 3)$ 22,309,560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$ 17,909,214</w:t>
            </w:r>
          </w:p>
        </w:tc>
        <w:tc>
          <w:tcPr>
            <w:tcW w:w="0" w:type="dxa"/>
            <w:vAlign w:val="bottom"/>
          </w:tcPr>
          <w:p>
            <w:pPr>
              <w:spacing w:after="0"/>
              <w:rPr>
                <w:sz w:val="1"/>
                <w:szCs w:val="1"/>
                <w:color w:val="auto"/>
              </w:rPr>
            </w:pPr>
          </w:p>
        </w:tc>
      </w:tr>
      <w:tr>
        <w:trPr>
          <w:trHeight w:val="405"/>
        </w:trPr>
        <w:tc>
          <w:tcPr>
            <w:tcW w:w="4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Participant contribution receivable</w:t>
            </w:r>
          </w:p>
        </w:tc>
        <w:tc>
          <w:tcPr>
            <w:tcW w:w="2000" w:type="dxa"/>
            <w:vAlign w:val="bottom"/>
          </w:tcPr>
          <w:p>
            <w:pPr>
              <w:jc w:val="right"/>
              <w:ind w:right="436"/>
              <w:spacing w:after="0"/>
              <w:rPr>
                <w:sz w:val="20"/>
                <w:szCs w:val="20"/>
                <w:color w:val="auto"/>
              </w:rPr>
            </w:pPr>
            <w:r>
              <w:rPr>
                <w:rFonts w:ascii="Courier New" w:cs="Courier New" w:eastAsia="Courier New" w:hAnsi="Courier New"/>
                <w:sz w:val="18"/>
                <w:szCs w:val="18"/>
                <w:color w:val="auto"/>
              </w:rPr>
              <w:t>153,333</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185,539</w:t>
            </w:r>
          </w:p>
        </w:tc>
        <w:tc>
          <w:tcPr>
            <w:tcW w:w="0" w:type="dxa"/>
            <w:vAlign w:val="bottom"/>
          </w:tcPr>
          <w:p>
            <w:pPr>
              <w:spacing w:after="0"/>
              <w:rPr>
                <w:sz w:val="1"/>
                <w:szCs w:val="1"/>
                <w:color w:val="auto"/>
              </w:rPr>
            </w:pPr>
          </w:p>
        </w:tc>
      </w:tr>
      <w:tr>
        <w:trPr>
          <w:trHeight w:val="405"/>
        </w:trPr>
        <w:tc>
          <w:tcPr>
            <w:tcW w:w="4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Employer contribution receivable</w:t>
            </w:r>
          </w:p>
        </w:tc>
        <w:tc>
          <w:tcPr>
            <w:tcW w:w="2000" w:type="dxa"/>
            <w:vAlign w:val="bottom"/>
          </w:tcPr>
          <w:p>
            <w:pPr>
              <w:jc w:val="right"/>
              <w:ind w:right="436"/>
              <w:spacing w:after="0"/>
              <w:rPr>
                <w:sz w:val="20"/>
                <w:szCs w:val="20"/>
                <w:color w:val="auto"/>
              </w:rPr>
            </w:pPr>
            <w:r>
              <w:rPr>
                <w:rFonts w:ascii="Courier New" w:cs="Courier New" w:eastAsia="Courier New" w:hAnsi="Courier New"/>
                <w:sz w:val="18"/>
                <w:szCs w:val="18"/>
                <w:color w:val="auto"/>
              </w:rPr>
              <w:t>343,514</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327,817</w:t>
            </w:r>
          </w:p>
        </w:tc>
        <w:tc>
          <w:tcPr>
            <w:tcW w:w="0" w:type="dxa"/>
            <w:vAlign w:val="bottom"/>
          </w:tcPr>
          <w:p>
            <w:pPr>
              <w:spacing w:after="0"/>
              <w:rPr>
                <w:sz w:val="1"/>
                <w:szCs w:val="1"/>
                <w:color w:val="auto"/>
              </w:rPr>
            </w:pPr>
          </w:p>
        </w:tc>
      </w:tr>
      <w:tr>
        <w:trPr>
          <w:trHeight w:val="405"/>
        </w:trPr>
        <w:tc>
          <w:tcPr>
            <w:tcW w:w="4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Accounts receivable</w:t>
            </w:r>
          </w:p>
        </w:tc>
        <w:tc>
          <w:tcPr>
            <w:tcW w:w="2000" w:type="dxa"/>
            <w:vAlign w:val="bottom"/>
          </w:tcPr>
          <w:p>
            <w:pPr>
              <w:jc w:val="right"/>
              <w:ind w:right="436"/>
              <w:spacing w:after="0"/>
              <w:rPr>
                <w:sz w:val="20"/>
                <w:szCs w:val="20"/>
                <w:color w:val="auto"/>
              </w:rPr>
            </w:pPr>
            <w:r>
              <w:rPr>
                <w:rFonts w:ascii="Courier New" w:cs="Courier New" w:eastAsia="Courier New" w:hAnsi="Courier New"/>
                <w:sz w:val="18"/>
                <w:szCs w:val="18"/>
                <w:color w:val="auto"/>
              </w:rPr>
              <w:t>19,321</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22,218</w:t>
            </w:r>
          </w:p>
        </w:tc>
        <w:tc>
          <w:tcPr>
            <w:tcW w:w="0" w:type="dxa"/>
            <w:vAlign w:val="bottom"/>
          </w:tcPr>
          <w:p>
            <w:pPr>
              <w:spacing w:after="0"/>
              <w:rPr>
                <w:sz w:val="1"/>
                <w:szCs w:val="1"/>
                <w:color w:val="auto"/>
              </w:rPr>
            </w:pPr>
          </w:p>
        </w:tc>
      </w:tr>
      <w:tr>
        <w:trPr>
          <w:trHeight w:val="405"/>
        </w:trPr>
        <w:tc>
          <w:tcPr>
            <w:tcW w:w="4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Accrued income</w:t>
            </w:r>
          </w:p>
        </w:tc>
        <w:tc>
          <w:tcPr>
            <w:tcW w:w="2000" w:type="dxa"/>
            <w:vAlign w:val="bottom"/>
          </w:tcPr>
          <w:p>
            <w:pPr>
              <w:jc w:val="right"/>
              <w:ind w:right="436"/>
              <w:spacing w:after="0"/>
              <w:rPr>
                <w:sz w:val="20"/>
                <w:szCs w:val="20"/>
                <w:color w:val="auto"/>
              </w:rPr>
            </w:pPr>
            <w:r>
              <w:rPr>
                <w:rFonts w:ascii="Courier New" w:cs="Courier New" w:eastAsia="Courier New" w:hAnsi="Courier New"/>
                <w:sz w:val="18"/>
                <w:szCs w:val="18"/>
                <w:color w:val="auto"/>
              </w:rPr>
              <w:t>5,055</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4,926</w:t>
            </w:r>
          </w:p>
        </w:tc>
        <w:tc>
          <w:tcPr>
            <w:tcW w:w="0" w:type="dxa"/>
            <w:vAlign w:val="bottom"/>
          </w:tcPr>
          <w:p>
            <w:pPr>
              <w:spacing w:after="0"/>
              <w:rPr>
                <w:sz w:val="1"/>
                <w:szCs w:val="1"/>
                <w:color w:val="auto"/>
              </w:rPr>
            </w:pPr>
          </w:p>
        </w:tc>
      </w:tr>
      <w:tr>
        <w:trPr>
          <w:trHeight w:val="405"/>
        </w:trPr>
        <w:tc>
          <w:tcPr>
            <w:tcW w:w="4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Cash</w:t>
            </w:r>
          </w:p>
        </w:tc>
        <w:tc>
          <w:tcPr>
            <w:tcW w:w="2000" w:type="dxa"/>
            <w:vAlign w:val="bottom"/>
          </w:tcPr>
          <w:p>
            <w:pPr>
              <w:jc w:val="right"/>
              <w:ind w:right="436"/>
              <w:spacing w:after="0"/>
              <w:rPr>
                <w:sz w:val="20"/>
                <w:szCs w:val="20"/>
                <w:color w:val="auto"/>
              </w:rPr>
            </w:pPr>
            <w:r>
              <w:rPr>
                <w:rFonts w:ascii="Courier New" w:cs="Courier New" w:eastAsia="Courier New" w:hAnsi="Courier New"/>
                <w:sz w:val="18"/>
                <w:szCs w:val="18"/>
                <w:color w:val="auto"/>
              </w:rPr>
              <w:t>91,757</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23,416</w:t>
            </w:r>
          </w:p>
        </w:tc>
        <w:tc>
          <w:tcPr>
            <w:tcW w:w="0" w:type="dxa"/>
            <w:vAlign w:val="bottom"/>
          </w:tcPr>
          <w:p>
            <w:pPr>
              <w:spacing w:after="0"/>
              <w:rPr>
                <w:sz w:val="1"/>
                <w:szCs w:val="1"/>
                <w:color w:val="auto"/>
              </w:rPr>
            </w:pPr>
          </w:p>
        </w:tc>
      </w:tr>
      <w:tr>
        <w:trPr>
          <w:trHeight w:val="110"/>
        </w:trPr>
        <w:tc>
          <w:tcPr>
            <w:tcW w:w="7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0" w:type="dxa"/>
            <w:vAlign w:val="bottom"/>
          </w:tcPr>
          <w:p>
            <w:pPr>
              <w:jc w:val="right"/>
              <w:ind w:right="436"/>
              <w:spacing w:after="0" w:line="110" w:lineRule="exact"/>
              <w:rPr>
                <w:sz w:val="20"/>
                <w:szCs w:val="20"/>
                <w:color w:val="auto"/>
              </w:rPr>
            </w:pPr>
            <w:r>
              <w:rPr>
                <w:rFonts w:ascii="Courier New" w:cs="Courier New" w:eastAsia="Courier New" w:hAnsi="Courier New"/>
                <w:sz w:val="12"/>
                <w:szCs w:val="12"/>
                <w:color w:val="auto"/>
              </w:rPr>
              <w:t>------------</w:t>
            </w:r>
          </w:p>
        </w:tc>
        <w:tc>
          <w:tcPr>
            <w:tcW w:w="1360" w:type="dxa"/>
            <w:vAlign w:val="bottom"/>
            <w:vMerge w:val="restart"/>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93"/>
        </w:trPr>
        <w:tc>
          <w:tcPr>
            <w:tcW w:w="7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41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Total assets</w:t>
            </w:r>
          </w:p>
        </w:tc>
        <w:tc>
          <w:tcPr>
            <w:tcW w:w="2000" w:type="dxa"/>
            <w:vAlign w:val="bottom"/>
          </w:tcPr>
          <w:p>
            <w:pPr>
              <w:jc w:val="right"/>
              <w:ind w:right="436"/>
              <w:spacing w:after="0"/>
              <w:rPr>
                <w:sz w:val="20"/>
                <w:szCs w:val="20"/>
                <w:color w:val="auto"/>
              </w:rPr>
            </w:pPr>
            <w:r>
              <w:rPr>
                <w:rFonts w:ascii="Courier New" w:cs="Courier New" w:eastAsia="Courier New" w:hAnsi="Courier New"/>
                <w:sz w:val="18"/>
                <w:szCs w:val="18"/>
                <w:color w:val="auto"/>
              </w:rPr>
              <w:t>$ 22,922,540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$ 18,473,130</w:t>
            </w:r>
          </w:p>
        </w:tc>
        <w:tc>
          <w:tcPr>
            <w:tcW w:w="0" w:type="dxa"/>
            <w:vAlign w:val="bottom"/>
          </w:tcPr>
          <w:p>
            <w:pPr>
              <w:spacing w:after="0"/>
              <w:rPr>
                <w:sz w:val="1"/>
                <w:szCs w:val="1"/>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Trustee fee payable</w:t>
            </w:r>
          </w:p>
        </w:tc>
        <w:tc>
          <w:tcPr>
            <w:tcW w:w="2000" w:type="dxa"/>
            <w:vAlign w:val="bottom"/>
          </w:tcPr>
          <w:p>
            <w:pPr>
              <w:jc w:val="right"/>
              <w:ind w:right="436"/>
              <w:spacing w:after="0"/>
              <w:rPr>
                <w:sz w:val="20"/>
                <w:szCs w:val="20"/>
                <w:color w:val="auto"/>
              </w:rPr>
            </w:pPr>
            <w:r>
              <w:rPr>
                <w:rFonts w:ascii="Courier New" w:cs="Courier New" w:eastAsia="Courier New" w:hAnsi="Courier New"/>
                <w:sz w:val="18"/>
                <w:szCs w:val="18"/>
                <w:color w:val="auto"/>
              </w:rPr>
              <w:t>55,611</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49,054</w:t>
            </w:r>
          </w:p>
        </w:tc>
        <w:tc>
          <w:tcPr>
            <w:tcW w:w="0" w:type="dxa"/>
            <w:vAlign w:val="bottom"/>
          </w:tcPr>
          <w:p>
            <w:pPr>
              <w:spacing w:after="0"/>
              <w:rPr>
                <w:sz w:val="1"/>
                <w:szCs w:val="1"/>
                <w:color w:val="auto"/>
              </w:rPr>
            </w:pPr>
          </w:p>
        </w:tc>
      </w:tr>
      <w:tr>
        <w:trPr>
          <w:trHeight w:val="110"/>
        </w:trPr>
        <w:tc>
          <w:tcPr>
            <w:tcW w:w="7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000" w:type="dxa"/>
            <w:vAlign w:val="bottom"/>
          </w:tcPr>
          <w:p>
            <w:pPr>
              <w:jc w:val="right"/>
              <w:ind w:right="436"/>
              <w:spacing w:after="0" w:line="110" w:lineRule="exact"/>
              <w:rPr>
                <w:sz w:val="20"/>
                <w:szCs w:val="20"/>
                <w:color w:val="auto"/>
              </w:rPr>
            </w:pPr>
            <w:r>
              <w:rPr>
                <w:rFonts w:ascii="Courier New" w:cs="Courier New" w:eastAsia="Courier New" w:hAnsi="Courier New"/>
                <w:sz w:val="12"/>
                <w:szCs w:val="12"/>
                <w:color w:val="auto"/>
              </w:rPr>
              <w:t>------------</w:t>
            </w:r>
          </w:p>
        </w:tc>
        <w:tc>
          <w:tcPr>
            <w:tcW w:w="1360" w:type="dxa"/>
            <w:vAlign w:val="bottom"/>
            <w:vMerge w:val="restart"/>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93"/>
        </w:trPr>
        <w:tc>
          <w:tcPr>
            <w:tcW w:w="7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4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Net assets available for benefits</w:t>
            </w:r>
          </w:p>
        </w:tc>
        <w:tc>
          <w:tcPr>
            <w:tcW w:w="2000" w:type="dxa"/>
            <w:vAlign w:val="bottom"/>
          </w:tcPr>
          <w:p>
            <w:pPr>
              <w:jc w:val="right"/>
              <w:ind w:right="436"/>
              <w:spacing w:after="0"/>
              <w:rPr>
                <w:sz w:val="20"/>
                <w:szCs w:val="20"/>
                <w:color w:val="auto"/>
              </w:rPr>
            </w:pPr>
            <w:r>
              <w:rPr>
                <w:rFonts w:ascii="Courier New" w:cs="Courier New" w:eastAsia="Courier New" w:hAnsi="Courier New"/>
                <w:sz w:val="18"/>
                <w:szCs w:val="18"/>
                <w:color w:val="auto"/>
              </w:rPr>
              <w:t>$ 22,866,929</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$ 18,424,076</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0" w:type="dxa"/>
            <w:vAlign w:val="bottom"/>
          </w:tcPr>
          <w:p>
            <w:pPr>
              <w:jc w:val="right"/>
              <w:ind w:right="436"/>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-2510790</wp:posOffset>
            </wp:positionV>
            <wp:extent cx="4749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749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749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749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749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749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7498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749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7498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749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749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ectPr>
          <w:pgSz w:w="11900" w:h="16838" w:orient="portrait"/>
          <w:cols w:equalWidth="0" w:num="1">
            <w:col w:w="10219"/>
          </w:cols>
          <w:pgMar w:left="240" w:top="339" w:right="1440" w:bottom="943"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strike w:val="1"/>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STATEMENT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79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ind w:left="2740"/>
        <w:spacing w:after="0" w:line="238" w:lineRule="auto"/>
        <w:rPr>
          <w:sz w:val="20"/>
          <w:szCs w:val="20"/>
          <w:color w:val="auto"/>
        </w:rPr>
      </w:pPr>
      <w:r>
        <w:rPr>
          <w:rFonts w:ascii="Courier New" w:cs="Courier New" w:eastAsia="Courier New" w:hAnsi="Courier New"/>
          <w:sz w:val="18"/>
          <w:szCs w:val="18"/>
          <w:color w:val="auto"/>
        </w:rPr>
        <w:t>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ind w:left="22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746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18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FOR THE YEAR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746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746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strike w:val="1"/>
              </w:rPr>
              <w:t>Contributions:</w:t>
            </w:r>
          </w:p>
        </w:tc>
        <w:tc>
          <w:tcPr>
            <w:tcW w:w="190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Participant contributions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1,785,842</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3,732,054</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contributions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5,517,896</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strike w:val="1"/>
              </w:rPr>
              <w:t>Investment income:</w:t>
            </w:r>
          </w:p>
        </w:tc>
        <w:tc>
          <w:tcPr>
            <w:tcW w:w="1900" w:type="dxa"/>
            <w:vAlign w:val="bottom"/>
          </w:tcPr>
          <w:p>
            <w:pPr>
              <w:spacing w:after="0"/>
              <w:rPr>
                <w:sz w:val="24"/>
                <w:szCs w:val="24"/>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dividends</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141,196</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strike w:val="1"/>
              </w:rPr>
              <w:t>Net appreciation</w:t>
            </w:r>
          </w:p>
        </w:tc>
        <w:tc>
          <w:tcPr>
            <w:tcW w:w="190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fair value of investments (see note 3)</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2,217,798</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2,358,994</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Benefit payments</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(3,187,737)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(237,185)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transfer (see note 1)</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(9,115)</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deductions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(3,434,037)</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ind w:left="420"/>
              <w:spacing w:after="0"/>
              <w:rPr>
                <w:sz w:val="20"/>
                <w:szCs w:val="20"/>
                <w:color w:val="auto"/>
              </w:rPr>
            </w:pPr>
            <w:r>
              <w:rPr>
                <w:rFonts w:ascii="Courier New" w:cs="Courier New" w:eastAsia="Courier New" w:hAnsi="Courier New"/>
                <w:sz w:val="18"/>
                <w:szCs w:val="18"/>
                <w:color w:val="auto"/>
              </w:rPr>
              <w:t>Net increase</w:t>
            </w: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4,442,853</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strike w:val="1"/>
              </w:rPr>
              <w:t>Net assets available for benefits:</w:t>
            </w:r>
          </w:p>
        </w:tc>
        <w:tc>
          <w:tcPr>
            <w:tcW w:w="1900" w:type="dxa"/>
            <w:vAlign w:val="bottom"/>
          </w:tcPr>
          <w:p>
            <w:pPr>
              <w:spacing w:after="0"/>
              <w:rPr>
                <w:sz w:val="24"/>
                <w:szCs w:val="24"/>
                <w:color w:val="auto"/>
              </w:rPr>
            </w:pPr>
          </w:p>
        </w:tc>
      </w:tr>
      <w:tr>
        <w:trPr>
          <w:trHeight w:val="405"/>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Beginning of year</w:t>
            </w: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18,424,076</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End of year</w:t>
            </w:r>
          </w:p>
        </w:tc>
        <w:tc>
          <w:tcPr>
            <w:tcW w:w="1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$ 22,866,929</w:t>
            </w: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-3797300</wp:posOffset>
            </wp:positionV>
            <wp:extent cx="4482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4824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482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482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482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482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4824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4824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482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4824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549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549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549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4824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549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482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4824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4824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4824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4824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4824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strike w:val="1"/>
        </w:rPr>
        <w:t>The accompanying notes are an integral part of these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ectPr>
          <w:pgSz w:w="11900" w:h="16838" w:orient="portrait"/>
          <w:cols w:equalWidth="0" w:num="1">
            <w:col w:w="10219"/>
          </w:cols>
          <w:pgMar w:left="240" w:top="750" w:right="1440" w:bottom="0" w:gutter="0" w:footer="0" w:header="0"/>
        </w:sectPr>
      </w:pPr>
    </w:p>
    <w:bookmarkStart w:id="3" w:name="page4"/>
    <w:bookmarkEnd w:id="3"/>
    <w:p>
      <w:pPr>
        <w:ind w:left="26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NOTE 1 - DESCRIPTION OF THE PLAN: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General</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strike w:val="1"/>
        </w:rPr>
        <w:t>The following description provides general information for the ExxonMobil Fuels Marketing Savings Plan (the Plan). Participants should refer to the Plan document for a more complete description of the Plan's provisions. The Plan is a defined contribution plan established to provide savings and retirement benefits for certain qualified employees of ExxonMobil Fuels Marketing Company, a division of Exxon Mobil Corporation (the Company), employed in its company operated retail store operations and for certain qualified employees at the Olathe, KS grease plant.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Contributions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strike w:val="1"/>
        </w:rPr>
        <w:t>Contributions to the Plan are made by both the participant and the Company. Participants may contribute any whole percentage, up to 20% of their eligible pay. Participants may also make a rollover contribution from other qualified plans or rollover IRA. Generally, for eligible participants, the Company matches contributions at 50 cents for each pretax dollar contributed up to the first 3% of eligible pay and/or makes contributions equal to 3% of eligible pay. For eligible participants covered by a collective bargaining agreement, the Company provides a 100% match, up to 4% of eligible pay. Effective September 1, 2002, employees who are at least age 50 at the end of the Plan year may elect to make additional pretax contributions up to limits defined in the Plan.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Vesting</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Participants are immediately vested in their contributions and earnings. Company contributions vest at 100% after 3 years of qualifying service or, if the participant is employed by the Company, on or after age 65 or upon death while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Plan transfer</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strike w:val="1"/>
        </w:rPr>
        <w:t>During 2003, certain employees became eligible to enroll in the ExxonMobil Savings Plan. Some of these employees transferred their accounts from the ExxonMobil Fuels Marketing Savings Plan. The aggregate amount transferred totaled $9,115.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Forfeitures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strike w:val="1"/>
        </w:rPr>
        <w:t>During 2003 and 2002, $252,280 and $72,958, respectively, of unvested employer matching contributions were forfeited by terminating employees and used to offset employer contributions. During 2003, $223,019 of additional forfeited balances from 2001 and 2002 were used to offset employer contributions. During 2002, $699,286 of additional forfeited balances from 1997 to 2001 were used to offset employer contributions.</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strike w:val="1"/>
        </w:rPr>
        <w:t>Plan Termination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strike w:val="1"/>
        </w:rPr>
        <w:t>The Company may terminate or amend the Plan at any time. In the event of termination, the net assets of the Plan will be distributed in accordance with the Employee Retirement Income Security Act of 1974.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Other Plan Provisions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strike w:val="1"/>
        </w:rPr>
        <w:t>Other Plan provisions including eligibility, enrollment, participation, forfeiture, loans, withdrawals, distributions, and investment options are described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NOTE 2 - SIGNIFICANT ACCOUNTING POLICIES: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Basis of Accounting</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strike w:val="1"/>
        </w:rPr>
        <w:t>The accompanying financial statements are presented on the accrual basis of accounting except benefit payments which are reported on a cash basis to conform with generally accepted accounting principles.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Investment Valuation and Income Recognition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strike w:val="1"/>
        </w:rPr>
        <w:t>Investment income is recorded when earned. Investments are stated at fair value based upon market quotations as determined by the trustee. Interest earned on the money market deposits and the change in the value of the investments are allocated daily to the individual employee accounts on the basis of the participant's account balance. Investments are subject to normal risks associated with international and domestic debt and equity markets.</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strike w:val="1"/>
        </w:rPr>
        <w:t>Net appreciation and net depreciation in the current value of investments includes realized gains and losses on investments sold or disposed of during the year and unrealized gains and losses on investments held at year end. Purchases and sales of securities are recorded on the trade date. Dividends are recorded on the ex-dividend date.</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strike w:val="1"/>
        </w:rPr>
        <w:t>Participant loans represent the outstanding principal balances of the loans and are valued at cost, which approximates current value.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Use of Estimates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strike w:val="1"/>
        </w:rPr>
        <w:t>The preparation of financial statements in conformity with generally accepted accounting principles requires management to make estimates and assumptions that affect the reported amounts of assets available for benefits and liabilities and disclosure of contingent liabilities at the date of the financial statements and the reported amounts of changes in net assets available for benefits during the reporting period. Actual results could</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strike w:val="1"/>
        </w:rPr>
        <w:t>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Expenses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strike w:val="1"/>
        </w:rPr>
        <w:t>Administrative expenses incurred in the administration of the Plan, to the extent not paid by the Company, are charged to and paid from the Plan's assets. Administrative expenses are recorded when incurred.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NOTE 3 - INVESTMENTS: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strike w:val="1"/>
        </w:rPr>
        <w:t>The following presents investments that represent 5 percent or more of the Plan's net assets available for benefits.</w:t>
      </w:r>
    </w:p>
    <w:p>
      <w:pPr>
        <w:spacing w:after="0" w:line="200" w:lineRule="exact"/>
        <w:rPr>
          <w:sz w:val="20"/>
          <w:szCs w:val="20"/>
          <w:color w:val="auto"/>
        </w:rPr>
      </w:pPr>
    </w:p>
    <w:p>
      <w:pPr>
        <w:spacing w:after="0" w:line="205"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3484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3484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2003</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1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Merrill Lynch Money Market Fund</w:t>
            </w:r>
          </w:p>
        </w:tc>
        <w:tc>
          <w:tcPr>
            <w:tcW w:w="2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$ 9,314,594</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$ 7,730,287</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BGI Bond Index Fund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1,267,349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1,180,816</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BGI Extended Market Fund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1,401,260</w:t>
            </w:r>
          </w:p>
        </w:tc>
        <w:tc>
          <w:tcPr>
            <w:tcW w:w="1520" w:type="dxa"/>
            <w:vAlign w:val="bottom"/>
          </w:tcPr>
          <w:p>
            <w:pPr>
              <w:spacing w:after="0"/>
              <w:rPr>
                <w:sz w:val="17"/>
                <w:szCs w:val="17"/>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BGI S&amp;P 500 Stock Fund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3,727,040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2,661,959</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BGI Lifepath 2020</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1,573,915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1,139,909</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BGI Lifepath 2030</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2,117,836</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1,815,480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 loans</w:t>
            </w:r>
          </w:p>
        </w:tc>
        <w:tc>
          <w:tcPr>
            <w:tcW w:w="2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1,073,514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-1224280</wp:posOffset>
            </wp:positionV>
            <wp:extent cx="4683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081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81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6798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7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strike w:val="1"/>
        </w:rPr>
        <w:t>During 2003, the Plan's investments (including gains and losses on investments bought and sold, as well as held during the year) appreciated in value by $2,217,798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S&amp;P 500 stock</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fund</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$786,211</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Bond index fund</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52,101</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equity fund</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136,870</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Extended market fund</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391,663</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Lifepath bond</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equity balanced funds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850,953</w:t>
            </w:r>
          </w:p>
        </w:tc>
      </w:tr>
      <w:tr>
        <w:trPr>
          <w:trHeight w:val="203"/>
        </w:trPr>
        <w:tc>
          <w:tcPr>
            <w:tcW w:w="1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$2,217,798</w:t>
            </w:r>
          </w:p>
        </w:tc>
      </w:tr>
      <w:tr>
        <w:trPr>
          <w:trHeight w:val="203"/>
        </w:trPr>
        <w:tc>
          <w:tcPr>
            <w:tcW w:w="14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3746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3746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746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746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746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746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746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746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8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strike w:val="1"/>
        </w:rPr>
        <w:t>NOTE 4 - INCOME TAX STATUS: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The legal counsel believes the Plan is qualified under the applicable sections of the Internal Revenue Code (IRC) and therefore the trust is exempt from federal tax under Section 501(a) of the IRC. A favorable determination letter with respect to the tax-exempt status of the trust was issued by the Internal Revenue Service in October 2002. The Plan has been amended since receiving the determination letter. However, legal counsel believes that the Plan is currently designed and is being operated in compliance with the applicable requirements of the IRC.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NOTE 5 - NONEXEMPT TRANSACTIONS:</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strike w:val="1"/>
        </w:rPr>
        <w:t>During October 2002, an employee's contribution was not remitted to Merrill Lynch, the trustee, on a timely basis due to a systems interface problem.</w:t>
      </w:r>
    </w:p>
    <w:p>
      <w:pPr>
        <w:ind w:right="1879"/>
        <w:spacing w:after="0" w:line="235" w:lineRule="auto"/>
        <w:rPr>
          <w:sz w:val="20"/>
          <w:szCs w:val="20"/>
          <w:color w:val="auto"/>
        </w:rPr>
      </w:pPr>
      <w:r>
        <w:rPr>
          <w:rFonts w:ascii="Courier New" w:cs="Courier New" w:eastAsia="Courier New" w:hAnsi="Courier New"/>
          <w:sz w:val="18"/>
          <w:szCs w:val="18"/>
          <w:color w:val="auto"/>
          <w:strike w:val="1"/>
        </w:rPr>
        <w:t>The Company remitted the contribution ($15) and earnings ($10) to Merrill Lynch in September 2003.</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strike w:val="1"/>
        </w:rPr>
        <w:t>During December 2002, the Plan discovered that 25 participants had not received credit for loan repayments since July 2002 because of a payroll process problem. The Company remitted the missed loan payments for 20 participants ($11,100) to Merrill Lynch in January 2003. Also in January 2003, the company refunded missed loan payments ($4,928) to the remaining 5 participants. In March 2003, the Company remitted additional funds to Merrill Lynch for earnings related to the affected loans ($1,293). The Plan also discovered another 6 similarly affected loans. In April 2003, the Company remitted funds to Merrill Lynch for one of the affected loans ($235). Related earnings ($23) were remitted in June 2003. Also in June 2003, the Company remitted funds to Merrill Lynch for a second participant's missed loan repayments ($255). Additional earnings ($38) were remitted to Merrill Lynch</w:t>
      </w:r>
    </w:p>
    <w:p>
      <w:pPr>
        <w:spacing w:after="0" w:line="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strike w:val="1"/>
        </w:rPr>
        <w:t>in July 2003. The remaining 4 loans had been otherwise repaid and the participants were refunded for the amount of the payments ($494) and earnings ($149) in July 2003. These transactions were reported on the 2002 Schedule G.</w:t>
      </w:r>
    </w:p>
    <w:p>
      <w:pPr>
        <w:spacing w:after="0" w:line="17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strike w:val="1"/>
        </w:rPr>
        <w:t>During February 2003 through August 2003, five employees' contributions were not remitted to Merrill Lynch on a timely basis due to a systems interface problem. The Company corrected the situation for one employee in September 2003, and Merrill Lynch, the trustee, received on behalf of the participant contributions ($23) and earnings ($9). The Company remitted contributions ($3,010) and earnings ($1,181) to Merrill Lynch on behalf of the other four participants in December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13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p>
      <w:pPr>
        <w:ind w:left="1580" w:right="3039" w:hanging="104"/>
        <w:spacing w:after="0" w:line="290" w:lineRule="auto"/>
        <w:rPr>
          <w:sz w:val="20"/>
          <w:szCs w:val="20"/>
          <w:color w:val="auto"/>
        </w:rPr>
      </w:pPr>
      <w:r>
        <w:rPr>
          <w:rFonts w:ascii="Courier New" w:cs="Courier New" w:eastAsia="Courier New" w:hAnsi="Courier New"/>
          <w:sz w:val="16"/>
          <w:szCs w:val="16"/>
          <w:color w:val="auto"/>
        </w:rPr>
        <w:t>Schedule G Part III Schedule of Nonexempt Transactions for the twelve-month period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45491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44157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15790" cy="889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348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(b) relationship to plan,</w:t>
            </w:r>
          </w:p>
        </w:tc>
      </w:tr>
      <w:tr>
        <w:trPr>
          <w:trHeight w:val="203"/>
        </w:trPr>
        <w:tc>
          <w:tcPr>
            <w:tcW w:w="4320" w:type="dxa"/>
            <w:vAlign w:val="bottom"/>
          </w:tcPr>
          <w:p>
            <w:pPr>
              <w:spacing w:after="0"/>
              <w:rPr>
                <w:sz w:val="17"/>
                <w:szCs w:val="17"/>
                <w:color w:val="auto"/>
              </w:rPr>
            </w:pPr>
          </w:p>
        </w:tc>
        <w:tc>
          <w:tcPr>
            <w:tcW w:w="348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employer or other</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(a) identity of party involved</w:t>
            </w:r>
          </w:p>
        </w:tc>
        <w:tc>
          <w:tcPr>
            <w:tcW w:w="348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party-in-interest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ExxonMobil Fuels Marketing Company</w:t>
            </w:r>
          </w:p>
        </w:tc>
        <w:tc>
          <w:tcPr>
            <w:tcW w:w="348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5"/>
              </w:rPr>
              <w:t>sponsor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616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6164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9504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2818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spacing w:after="0" w:line="389" w:lineRule="exact"/>
        <w:rPr>
          <w:sz w:val="20"/>
          <w:szCs w:val="20"/>
          <w:color w:val="auto"/>
        </w:rPr>
      </w:pPr>
    </w:p>
    <w:p>
      <w:pPr>
        <w:jc w:val="both"/>
        <w:ind w:left="420" w:right="4419" w:hanging="412"/>
        <w:spacing w:after="0" w:line="268" w:lineRule="auto"/>
        <w:tabs>
          <w:tab w:leader="none" w:pos="420" w:val="left"/>
        </w:tabs>
        <w:numPr>
          <w:ilvl w:val="0"/>
          <w:numId w:val="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description of transaction including maturity date, rate of interest, collateral, par or maturity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36798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ind w:left="220" w:hanging="212"/>
        <w:spacing w:after="0" w:line="233" w:lineRule="auto"/>
        <w:tabs>
          <w:tab w:leader="none" w:pos="220" w:val="left"/>
        </w:tabs>
        <w:numPr>
          <w:ilvl w:val="0"/>
          <w:numId w:val="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untimely remittance of contributions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7"/>
              </w:rPr>
              <w:t>(d) cost</w:t>
            </w:r>
          </w:p>
        </w:tc>
        <w:tc>
          <w:tcPr>
            <w:tcW w:w="2700" w:type="dxa"/>
            <w:vAlign w:val="bottom"/>
          </w:tcPr>
          <w:p>
            <w:pPr>
              <w:ind w:left="800"/>
              <w:spacing w:after="0"/>
              <w:rPr>
                <w:sz w:val="20"/>
                <w:szCs w:val="20"/>
                <w:color w:val="auto"/>
              </w:rPr>
            </w:pPr>
            <w:r>
              <w:rPr>
                <w:rFonts w:ascii="Courier New" w:cs="Courier New" w:eastAsia="Courier New" w:hAnsi="Courier New"/>
                <w:sz w:val="18"/>
                <w:szCs w:val="18"/>
                <w:color w:val="auto"/>
              </w:rPr>
              <w:t>(e) current</w:t>
            </w:r>
          </w:p>
        </w:tc>
        <w:tc>
          <w:tcPr>
            <w:tcW w:w="2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(f) net gain</w:t>
            </w:r>
          </w:p>
        </w:tc>
      </w:tr>
      <w:tr>
        <w:trPr>
          <w:trHeight w:val="203"/>
        </w:trPr>
        <w:tc>
          <w:tcPr>
            <w:tcW w:w="21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(historical)</w:t>
            </w:r>
          </w:p>
        </w:tc>
        <w:tc>
          <w:tcPr>
            <w:tcW w:w="2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value</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(loss) on each</w:t>
            </w:r>
          </w:p>
        </w:tc>
      </w:tr>
      <w:tr>
        <w:trPr>
          <w:trHeight w:val="203"/>
        </w:trPr>
        <w:tc>
          <w:tcPr>
            <w:tcW w:w="21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of asset</w:t>
            </w:r>
          </w:p>
        </w:tc>
        <w:tc>
          <w:tcPr>
            <w:tcW w:w="2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of asset</w:t>
            </w:r>
          </w:p>
        </w:tc>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transaction</w:t>
            </w:r>
          </w:p>
        </w:tc>
      </w:tr>
      <w:tr>
        <w:trPr>
          <w:trHeight w:val="203"/>
        </w:trPr>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6"/>
              </w:rPr>
              <w:t>- -----------</w:t>
            </w:r>
          </w:p>
        </w:tc>
        <w:tc>
          <w:tcPr>
            <w:tcW w:w="2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$3,048</w:t>
            </w:r>
          </w:p>
        </w:tc>
        <w:tc>
          <w:tcPr>
            <w:tcW w:w="2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$4,248</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42818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3484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2818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4824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sectPr>
          <w:pgSz w:w="11900" w:h="16838" w:orient="portrait"/>
          <w:cols w:equalWidth="0" w:num="1">
            <w:col w:w="10219"/>
          </w:cols>
          <w:pgMar w:left="240" w:top="339" w:right="1440" w:bottom="7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jc w:val="center"/>
        <w:ind w:right="1879"/>
        <w:spacing w:after="0" w:line="238" w:lineRule="auto"/>
        <w:rPr>
          <w:sz w:val="20"/>
          <w:szCs w:val="20"/>
          <w:color w:val="auto"/>
        </w:rPr>
      </w:pPr>
      <w:r>
        <w:rPr>
          <w:rFonts w:ascii="Courier New" w:cs="Courier New" w:eastAsia="Courier New" w:hAnsi="Courier New"/>
          <w:sz w:val="18"/>
          <w:szCs w:val="18"/>
          <w:color w:val="auto"/>
        </w:rPr>
        <w:t>Schedule H Item 4i - SCHEDULE OF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83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(a) (b) Identity of issue</w:t>
            </w:r>
          </w:p>
        </w:tc>
        <w:tc>
          <w:tcPr>
            <w:tcW w:w="5000" w:type="dxa"/>
            <w:vAlign w:val="bottom"/>
            <w:gridSpan w:val="5"/>
          </w:tcPr>
          <w:p>
            <w:pPr>
              <w:ind w:left="40"/>
              <w:spacing w:after="0"/>
              <w:rPr>
                <w:sz w:val="20"/>
                <w:szCs w:val="20"/>
                <w:color w:val="auto"/>
              </w:rPr>
            </w:pPr>
            <w:r>
              <w:rPr>
                <w:rFonts w:ascii="Courier New" w:cs="Courier New" w:eastAsia="Courier New" w:hAnsi="Courier New"/>
                <w:sz w:val="18"/>
                <w:szCs w:val="18"/>
                <w:color w:val="auto"/>
                <w:w w:val="97"/>
              </w:rPr>
              <w:t>(c) Description of investment (e) Current value</w:t>
            </w:r>
          </w:p>
        </w:tc>
      </w:tr>
      <w:tr>
        <w:trPr>
          <w:trHeight w:val="608"/>
        </w:trPr>
        <w:tc>
          <w:tcPr>
            <w:tcW w:w="3020" w:type="dxa"/>
            <w:vAlign w:val="bottom"/>
          </w:tcPr>
          <w:p>
            <w:pPr>
              <w:spacing w:after="0"/>
              <w:rPr>
                <w:sz w:val="20"/>
                <w:szCs w:val="20"/>
                <w:color w:val="auto"/>
              </w:rPr>
            </w:pPr>
            <w:r>
              <w:rPr>
                <w:rFonts w:ascii="Courier New" w:cs="Courier New" w:eastAsia="Courier New" w:hAnsi="Courier New"/>
                <w:sz w:val="18"/>
                <w:szCs w:val="18"/>
                <w:color w:val="auto"/>
              </w:rPr>
              <w:t>* Merrill Lynch</w:t>
            </w:r>
          </w:p>
        </w:tc>
        <w:tc>
          <w:tcPr>
            <w:tcW w:w="560" w:type="dxa"/>
            <w:vAlign w:val="bottom"/>
          </w:tcPr>
          <w:p>
            <w:pPr>
              <w:spacing w:after="0"/>
              <w:rPr>
                <w:sz w:val="24"/>
                <w:szCs w:val="24"/>
                <w:color w:val="auto"/>
              </w:rPr>
            </w:pPr>
          </w:p>
        </w:tc>
        <w:tc>
          <w:tcPr>
            <w:tcW w:w="30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Money Market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9,314,594</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30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Bond Index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1,267,349</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1020" w:type="dxa"/>
            <w:vAlign w:val="bottom"/>
          </w:tcPr>
          <w:p>
            <w:pPr>
              <w:ind w:left="120"/>
              <w:spacing w:after="0"/>
              <w:rPr>
                <w:sz w:val="20"/>
                <w:szCs w:val="20"/>
                <w:color w:val="auto"/>
              </w:rPr>
            </w:pPr>
            <w:r>
              <w:rPr>
                <w:rFonts w:ascii="Courier New" w:cs="Courier New" w:eastAsia="Courier New" w:hAnsi="Courier New"/>
                <w:sz w:val="18"/>
                <w:szCs w:val="18"/>
                <w:color w:val="auto"/>
              </w:rPr>
              <w:t>Extended</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Market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1,401,260</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30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International Equity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550,520</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30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S&amp;P 500 Stock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3,727,040</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1020" w:type="dxa"/>
            <w:vAlign w:val="bottom"/>
          </w:tcPr>
          <w:p>
            <w:pPr>
              <w:ind w:left="120"/>
              <w:spacing w:after="0"/>
              <w:rPr>
                <w:sz w:val="20"/>
                <w:szCs w:val="20"/>
                <w:color w:val="auto"/>
              </w:rPr>
            </w:pPr>
            <w:r>
              <w:rPr>
                <w:rFonts w:ascii="Courier New" w:cs="Courier New" w:eastAsia="Courier New" w:hAnsi="Courier New"/>
                <w:sz w:val="18"/>
                <w:szCs w:val="18"/>
                <w:color w:val="auto"/>
              </w:rPr>
              <w:t>Lifepath</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Income 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266,002</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1020" w:type="dxa"/>
            <w:vAlign w:val="bottom"/>
          </w:tcPr>
          <w:p>
            <w:pPr>
              <w:ind w:left="120"/>
              <w:spacing w:after="0"/>
              <w:rPr>
                <w:sz w:val="20"/>
                <w:szCs w:val="20"/>
                <w:color w:val="auto"/>
              </w:rPr>
            </w:pPr>
            <w:r>
              <w:rPr>
                <w:rFonts w:ascii="Courier New" w:cs="Courier New" w:eastAsia="Courier New" w:hAnsi="Courier New"/>
                <w:sz w:val="18"/>
                <w:szCs w:val="18"/>
                <w:color w:val="auto"/>
              </w:rPr>
              <w:t>Lifepath</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2010</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533,729</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1020" w:type="dxa"/>
            <w:vAlign w:val="bottom"/>
          </w:tcPr>
          <w:p>
            <w:pPr>
              <w:ind w:left="120"/>
              <w:spacing w:after="0"/>
              <w:rPr>
                <w:sz w:val="20"/>
                <w:szCs w:val="20"/>
                <w:color w:val="auto"/>
              </w:rPr>
            </w:pPr>
            <w:r>
              <w:rPr>
                <w:rFonts w:ascii="Courier New" w:cs="Courier New" w:eastAsia="Courier New" w:hAnsi="Courier New"/>
                <w:sz w:val="18"/>
                <w:szCs w:val="18"/>
                <w:color w:val="auto"/>
              </w:rPr>
              <w:t>Lifepath</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2020</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1,573,915</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1020" w:type="dxa"/>
            <w:vAlign w:val="bottom"/>
          </w:tcPr>
          <w:p>
            <w:pPr>
              <w:ind w:left="120"/>
              <w:spacing w:after="0"/>
              <w:rPr>
                <w:sz w:val="20"/>
                <w:szCs w:val="20"/>
                <w:color w:val="auto"/>
              </w:rPr>
            </w:pPr>
            <w:r>
              <w:rPr>
                <w:rFonts w:ascii="Courier New" w:cs="Courier New" w:eastAsia="Courier New" w:hAnsi="Courier New"/>
                <w:sz w:val="18"/>
                <w:szCs w:val="18"/>
                <w:color w:val="auto"/>
              </w:rPr>
              <w:t>Lifepath</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2030</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2,117,836</w:t>
            </w:r>
          </w:p>
        </w:tc>
      </w:tr>
      <w:tr>
        <w:trPr>
          <w:trHeight w:val="405"/>
        </w:trPr>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Barclays Global Investors,</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c>
          <w:tcPr>
            <w:tcW w:w="1020" w:type="dxa"/>
            <w:vAlign w:val="bottom"/>
          </w:tcPr>
          <w:p>
            <w:pPr>
              <w:ind w:left="120"/>
              <w:spacing w:after="0"/>
              <w:rPr>
                <w:sz w:val="20"/>
                <w:szCs w:val="20"/>
                <w:color w:val="auto"/>
              </w:rPr>
            </w:pPr>
            <w:r>
              <w:rPr>
                <w:rFonts w:ascii="Courier New" w:cs="Courier New" w:eastAsia="Courier New" w:hAnsi="Courier New"/>
                <w:sz w:val="18"/>
                <w:szCs w:val="18"/>
                <w:color w:val="auto"/>
              </w:rPr>
              <w:t>Lifepath</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2040</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Fund</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499,318</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 Participant loans</w:t>
            </w:r>
          </w:p>
        </w:tc>
        <w:tc>
          <w:tcPr>
            <w:tcW w:w="560" w:type="dxa"/>
            <w:vAlign w:val="bottom"/>
          </w:tcPr>
          <w:p>
            <w:pPr>
              <w:spacing w:after="0"/>
              <w:rPr>
                <w:sz w:val="24"/>
                <w:szCs w:val="24"/>
                <w:color w:val="auto"/>
              </w:rPr>
            </w:pPr>
          </w:p>
        </w:tc>
        <w:tc>
          <w:tcPr>
            <w:tcW w:w="30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maturities ranging from</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1,057,997</w:t>
            </w:r>
          </w:p>
        </w:tc>
      </w:tr>
      <w:tr>
        <w:trPr>
          <w:trHeight w:val="203"/>
        </w:trPr>
        <w:tc>
          <w:tcPr>
            <w:tcW w:w="3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 month</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174 months</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rates ranging from</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4.00% to 9.50%</w:t>
            </w:r>
          </w:p>
        </w:tc>
        <w:tc>
          <w:tcPr>
            <w:tcW w:w="13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$ 22,309,560</w:t>
            </w:r>
          </w:p>
        </w:tc>
      </w:tr>
      <w:tr>
        <w:trPr>
          <w:trHeight w:val="203"/>
        </w:trPr>
        <w:tc>
          <w:tcPr>
            <w:tcW w:w="3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-3925570</wp:posOffset>
            </wp:positionV>
            <wp:extent cx="50844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50844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50844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0844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0844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0844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50844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0844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50844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50844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0844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844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38131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1478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3451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0844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0844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 indicates a party-in-interest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5491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49140" cy="8890"/>
                    </a:xfrm>
                    <a:prstGeom prst="rect">
                      <a:avLst/>
                    </a:prstGeom>
                    <a:noFill/>
                  </pic:spPr>
                </pic:pic>
              </a:graphicData>
            </a:graphic>
          </wp:anchor>
        </w:drawing>
      </w:r>
    </w:p>
    <w:p>
      <w:pPr>
        <w:spacing w:after="0" w:line="18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strike w:val="1"/>
        </w:rPr>
        <w:t>To the Participants and Administrator of the ExxonMobil Fuels Marketing Savings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 our opinion, the accompanying statements of net assets available for</w:t>
      </w:r>
    </w:p>
    <w:p>
      <w:pPr>
        <w:spacing w:after="0" w:line="238" w:lineRule="auto"/>
        <w:rPr>
          <w:sz w:val="20"/>
          <w:szCs w:val="20"/>
          <w:color w:val="auto"/>
        </w:rPr>
      </w:pPr>
      <w:r>
        <w:rPr>
          <w:rFonts w:ascii="Courier New" w:cs="Courier New" w:eastAsia="Courier New" w:hAnsi="Courier New"/>
          <w:sz w:val="18"/>
          <w:szCs w:val="18"/>
          <w:color w:val="auto"/>
          <w:strike w:val="1"/>
        </w:rPr>
        <w:t>benefits and the related statement of changes in net assets available for</w:t>
      </w:r>
    </w:p>
    <w:p>
      <w:pPr>
        <w:spacing w:after="0"/>
        <w:rPr>
          <w:sz w:val="20"/>
          <w:szCs w:val="20"/>
          <w:color w:val="auto"/>
        </w:rPr>
      </w:pPr>
      <w:r>
        <w:rPr>
          <w:rFonts w:ascii="Courier New" w:cs="Courier New" w:eastAsia="Courier New" w:hAnsi="Courier New"/>
          <w:sz w:val="18"/>
          <w:szCs w:val="18"/>
          <w:color w:val="auto"/>
          <w:strike w:val="1"/>
        </w:rPr>
        <w:t>benefits present fairly, in all material respects, the net assets available</w:t>
      </w:r>
    </w:p>
    <w:p>
      <w:pPr>
        <w:spacing w:after="0" w:line="237" w:lineRule="auto"/>
        <w:rPr>
          <w:sz w:val="20"/>
          <w:szCs w:val="20"/>
          <w:color w:val="auto"/>
        </w:rPr>
      </w:pPr>
      <w:r>
        <w:rPr>
          <w:rFonts w:ascii="Courier New" w:cs="Courier New" w:eastAsia="Courier New" w:hAnsi="Courier New"/>
          <w:sz w:val="18"/>
          <w:szCs w:val="18"/>
          <w:color w:val="auto"/>
          <w:strike w:val="1"/>
        </w:rPr>
        <w:t>for benefits of the ExxonMobil Fuels Marketing Savings Plan (the "Plan")</w:t>
      </w:r>
    </w:p>
    <w:p>
      <w:pPr>
        <w:spacing w:after="0" w:line="238" w:lineRule="auto"/>
        <w:rPr>
          <w:sz w:val="20"/>
          <w:szCs w:val="20"/>
          <w:color w:val="auto"/>
        </w:rPr>
      </w:pPr>
      <w:r>
        <w:rPr>
          <w:rFonts w:ascii="Courier New" w:cs="Courier New" w:eastAsia="Courier New" w:hAnsi="Courier New"/>
          <w:sz w:val="18"/>
          <w:szCs w:val="18"/>
          <w:color w:val="auto"/>
          <w:strike w:val="1"/>
        </w:rPr>
        <w:t>at December 31, 2003 and 2002, and the changes in net assets available for</w:t>
      </w:r>
    </w:p>
    <w:p>
      <w:pPr>
        <w:spacing w:after="0"/>
        <w:rPr>
          <w:sz w:val="20"/>
          <w:szCs w:val="20"/>
          <w:color w:val="auto"/>
        </w:rPr>
      </w:pPr>
      <w:r>
        <w:rPr>
          <w:rFonts w:ascii="Courier New" w:cs="Courier New" w:eastAsia="Courier New" w:hAnsi="Courier New"/>
          <w:sz w:val="18"/>
          <w:szCs w:val="18"/>
          <w:color w:val="auto"/>
          <w:strike w:val="1"/>
        </w:rPr>
        <w:t>benefits for the year ended December 31, 2003 in conformity with</w:t>
      </w:r>
    </w:p>
    <w:p>
      <w:pPr>
        <w:spacing w:after="0" w:line="237" w:lineRule="auto"/>
        <w:rPr>
          <w:sz w:val="20"/>
          <w:szCs w:val="20"/>
          <w:color w:val="auto"/>
        </w:rPr>
      </w:pPr>
      <w:r>
        <w:rPr>
          <w:rFonts w:ascii="Courier New" w:cs="Courier New" w:eastAsia="Courier New" w:hAnsi="Courier New"/>
          <w:sz w:val="18"/>
          <w:szCs w:val="18"/>
          <w:color w:val="auto"/>
          <w:strike w:val="1"/>
        </w:rPr>
        <w:t>accounting principles generally accepted in the United States of America.</w:t>
      </w:r>
    </w:p>
    <w:p>
      <w:pPr>
        <w:spacing w:after="0"/>
        <w:rPr>
          <w:sz w:val="20"/>
          <w:szCs w:val="20"/>
          <w:color w:val="auto"/>
        </w:rPr>
      </w:pPr>
      <w:r>
        <w:rPr>
          <w:rFonts w:ascii="Courier New" w:cs="Courier New" w:eastAsia="Courier New" w:hAnsi="Courier New"/>
          <w:sz w:val="18"/>
          <w:szCs w:val="18"/>
          <w:color w:val="auto"/>
          <w:strike w:val="1"/>
        </w:rPr>
        <w:t>These financial statements are the responsibility of the Plan's</w:t>
      </w:r>
    </w:p>
    <w:p>
      <w:pPr>
        <w:spacing w:after="0" w:line="237" w:lineRule="auto"/>
        <w:rPr>
          <w:sz w:val="20"/>
          <w:szCs w:val="20"/>
          <w:color w:val="auto"/>
        </w:rPr>
      </w:pPr>
      <w:r>
        <w:rPr>
          <w:rFonts w:ascii="Courier New" w:cs="Courier New" w:eastAsia="Courier New" w:hAnsi="Courier New"/>
          <w:sz w:val="18"/>
          <w:szCs w:val="18"/>
          <w:color w:val="auto"/>
          <w:strike w:val="1"/>
        </w:rPr>
        <w:t>management. Our responsibility is to express an opinion on these financial</w:t>
      </w:r>
    </w:p>
    <w:p>
      <w:pPr>
        <w:spacing w:after="0"/>
        <w:rPr>
          <w:sz w:val="20"/>
          <w:szCs w:val="20"/>
          <w:color w:val="auto"/>
        </w:rPr>
      </w:pPr>
      <w:r>
        <w:rPr>
          <w:rFonts w:ascii="Courier New" w:cs="Courier New" w:eastAsia="Courier New" w:hAnsi="Courier New"/>
          <w:sz w:val="18"/>
          <w:szCs w:val="18"/>
          <w:color w:val="auto"/>
          <w:strike w:val="1"/>
        </w:rPr>
        <w:t>statements based on our audits. We conducted our audits of these</w:t>
      </w:r>
    </w:p>
    <w:p>
      <w:pPr>
        <w:spacing w:after="0" w:line="237" w:lineRule="auto"/>
        <w:rPr>
          <w:sz w:val="20"/>
          <w:szCs w:val="20"/>
          <w:color w:val="auto"/>
        </w:rPr>
      </w:pPr>
      <w:r>
        <w:rPr>
          <w:rFonts w:ascii="Courier New" w:cs="Courier New" w:eastAsia="Courier New" w:hAnsi="Courier New"/>
          <w:sz w:val="18"/>
          <w:szCs w:val="18"/>
          <w:color w:val="auto"/>
          <w:strike w:val="1"/>
        </w:rPr>
        <w:t>statements in accordance with the standards of the Public Company Accounting</w:t>
      </w:r>
    </w:p>
    <w:p>
      <w:pPr>
        <w:spacing w:after="0" w:line="238" w:lineRule="auto"/>
        <w:rPr>
          <w:sz w:val="20"/>
          <w:szCs w:val="20"/>
          <w:color w:val="auto"/>
        </w:rPr>
      </w:pPr>
      <w:r>
        <w:rPr>
          <w:rFonts w:ascii="Courier New" w:cs="Courier New" w:eastAsia="Courier New" w:hAnsi="Courier New"/>
          <w:sz w:val="18"/>
          <w:szCs w:val="18"/>
          <w:color w:val="auto"/>
          <w:strike w:val="1"/>
        </w:rPr>
        <w:t>Oversight Board (United States). Those standards require that we plan and</w:t>
      </w:r>
    </w:p>
    <w:p>
      <w:pPr>
        <w:spacing w:after="0"/>
        <w:rPr>
          <w:sz w:val="20"/>
          <w:szCs w:val="20"/>
          <w:color w:val="auto"/>
        </w:rPr>
      </w:pPr>
      <w:r>
        <w:rPr>
          <w:rFonts w:ascii="Courier New" w:cs="Courier New" w:eastAsia="Courier New" w:hAnsi="Courier New"/>
          <w:sz w:val="18"/>
          <w:szCs w:val="18"/>
          <w:color w:val="auto"/>
          <w:strike w:val="1"/>
        </w:rPr>
        <w:t>perform the audit to obtain reasonable assurance about whether the financial</w:t>
      </w:r>
    </w:p>
    <w:p>
      <w:pPr>
        <w:spacing w:after="0" w:line="237" w:lineRule="auto"/>
        <w:rPr>
          <w:sz w:val="20"/>
          <w:szCs w:val="20"/>
          <w:color w:val="auto"/>
        </w:rPr>
      </w:pPr>
      <w:r>
        <w:rPr>
          <w:rFonts w:ascii="Courier New" w:cs="Courier New" w:eastAsia="Courier New" w:hAnsi="Courier New"/>
          <w:sz w:val="18"/>
          <w:szCs w:val="18"/>
          <w:color w:val="auto"/>
          <w:strike w:val="1"/>
        </w:rPr>
        <w:t>statements are free of material misstatement. An audit includes examining,</w:t>
      </w:r>
    </w:p>
    <w:p>
      <w:pPr>
        <w:spacing w:after="0"/>
        <w:rPr>
          <w:sz w:val="20"/>
          <w:szCs w:val="20"/>
          <w:color w:val="auto"/>
        </w:rPr>
      </w:pPr>
      <w:r>
        <w:rPr>
          <w:rFonts w:ascii="Courier New" w:cs="Courier New" w:eastAsia="Courier New" w:hAnsi="Courier New"/>
          <w:sz w:val="18"/>
          <w:szCs w:val="18"/>
          <w:color w:val="auto"/>
          <w:strike w:val="1"/>
        </w:rPr>
        <w:t>on a test basis, evidence supporting the amounts and disclosures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financial statements, assessing the accounting principles used and significant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estimates made by management, and evaluating the overall financial</w:t>
      </w:r>
    </w:p>
    <w:p>
      <w:pPr>
        <w:spacing w:after="0" w:line="238" w:lineRule="auto"/>
        <w:rPr>
          <w:sz w:val="20"/>
          <w:szCs w:val="20"/>
          <w:color w:val="auto"/>
        </w:rPr>
      </w:pPr>
      <w:r>
        <w:rPr>
          <w:rFonts w:ascii="Courier New" w:cs="Courier New" w:eastAsia="Courier New" w:hAnsi="Courier New"/>
          <w:sz w:val="18"/>
          <w:szCs w:val="18"/>
          <w:color w:val="auto"/>
          <w:strike w:val="1"/>
        </w:rPr>
        <w:t>statement presentation. We believe that our audits provide a reasonable</w:t>
      </w:r>
    </w:p>
    <w:p>
      <w:pPr>
        <w:spacing w:after="0"/>
        <w:rPr>
          <w:sz w:val="20"/>
          <w:szCs w:val="20"/>
          <w:color w:val="auto"/>
        </w:rPr>
      </w:pPr>
      <w:r>
        <w:rPr>
          <w:rFonts w:ascii="Courier New" w:cs="Courier New" w:eastAsia="Courier New" w:hAnsi="Courier New"/>
          <w:sz w:val="18"/>
          <w:szCs w:val="18"/>
          <w:color w:val="auto"/>
          <w:strike w:val="1"/>
        </w:rPr>
        <w:t>basis for our opinion.</w:t>
      </w:r>
    </w:p>
    <w:p>
      <w:pPr>
        <w:spacing w:after="0" w:line="206"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strike w:val="1"/>
        </w:rPr>
        <w:t>Our audits were conducted for the purpose of forming an opinion on the basic financial statements taken as a whole. The supplemental schedule</w:t>
      </w:r>
    </w:p>
    <w:p>
      <w:pPr>
        <w:ind w:right="1879"/>
        <w:spacing w:after="0" w:line="237" w:lineRule="auto"/>
        <w:rPr>
          <w:sz w:val="20"/>
          <w:szCs w:val="20"/>
          <w:color w:val="auto"/>
        </w:rPr>
      </w:pPr>
      <w:r>
        <w:rPr>
          <w:rFonts w:ascii="Courier New" w:cs="Courier New" w:eastAsia="Courier New" w:hAnsi="Courier New"/>
          <w:sz w:val="18"/>
          <w:szCs w:val="18"/>
          <w:color w:val="auto"/>
          <w:strike w:val="1"/>
        </w:rPr>
        <w:t>of assets (held at end of year) and schedule of nonexempt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PricewaterhouseCoopers LLP</w:t>
      </w:r>
    </w:p>
    <w:p>
      <w:pPr>
        <w:spacing w:after="0" w:line="238" w:lineRule="auto"/>
        <w:rPr>
          <w:sz w:val="20"/>
          <w:szCs w:val="20"/>
          <w:color w:val="auto"/>
        </w:rPr>
      </w:pPr>
      <w:r>
        <w:rPr>
          <w:rFonts w:ascii="Courier New" w:cs="Courier New" w:eastAsia="Courier New" w:hAnsi="Courier New"/>
          <w:sz w:val="18"/>
          <w:szCs w:val="18"/>
          <w:color w:val="auto"/>
          <w:strike w:val="1"/>
        </w:rPr>
        <w:t>Houston, Texas</w:t>
      </w:r>
    </w:p>
    <w:p>
      <w:pPr>
        <w:spacing w:after="0"/>
        <w:rPr>
          <w:sz w:val="20"/>
          <w:szCs w:val="20"/>
          <w:color w:val="auto"/>
        </w:rPr>
      </w:pPr>
      <w:r>
        <w:rPr>
          <w:rFonts w:ascii="Courier New" w:cs="Courier New" w:eastAsia="Courier New" w:hAnsi="Courier New"/>
          <w:sz w:val="18"/>
          <w:szCs w:val="18"/>
          <w:color w:val="auto"/>
          <w:strike w:val="1"/>
        </w:rPr>
        <w:t>June 28,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765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390"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strike w:val="1"/>
        </w:rPr>
        <w:t>Pursuant to the requirements of the Securities Exchange Act of 1934, the trustees (or other persons who administer the Plan) have duly caused this Annual Report to be signed by the undersigned hereunto duly authorized.</w:t>
      </w:r>
    </w:p>
    <w:p>
      <w:pPr>
        <w:sectPr>
          <w:pgSz w:w="11900" w:h="16838" w:orient="portrait"/>
          <w:cols w:equalWidth="0" w:num="1">
            <w:col w:w="10219"/>
          </w:cols>
          <w:pgMar w:left="240" w:top="136" w:right="1440" w:bottom="306" w:gutter="0" w:footer="0" w:header="0"/>
        </w:sectPr>
      </w:pPr>
    </w:p>
    <w:bookmarkStart w:id="9" w:name="page10"/>
    <w:bookmarkEnd w:id="9"/>
    <w:p>
      <w:pPr>
        <w:jc w:val="right"/>
        <w:ind w:right="2519"/>
        <w:spacing w:after="0"/>
        <w:rPr>
          <w:sz w:val="20"/>
          <w:szCs w:val="20"/>
          <w:color w:val="auto"/>
        </w:rPr>
      </w:pPr>
      <w:r>
        <w:rPr>
          <w:rFonts w:ascii="Courier New" w:cs="Courier New" w:eastAsia="Courier New" w:hAnsi="Courier New"/>
          <w:sz w:val="18"/>
          <w:szCs w:val="18"/>
          <w:color w:val="auto"/>
        </w:rPr>
        <w:t>EXXONMOBIL FUELS MARKETING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(Name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S. B. L. Penrose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125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B. L. Penrose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345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ind w:left="3580"/>
        <w:spacing w:after="0" w:line="238" w:lineRule="auto"/>
        <w:rPr>
          <w:sz w:val="20"/>
          <w:szCs w:val="20"/>
          <w:color w:val="auto"/>
        </w:rPr>
      </w:pPr>
      <w:r>
        <w:rPr>
          <w:rFonts w:ascii="Courier New" w:cs="Courier New" w:eastAsia="Courier New" w:hAnsi="Courier New"/>
          <w:sz w:val="18"/>
          <w:szCs w:val="18"/>
          <w:color w:val="auto"/>
        </w:rPr>
        <w:t>Administrator-Finance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6798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spacing w:after="0" w:line="1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strike w:val="1"/>
        </w:rPr>
        <w:t>Dated:</w:t>
        <w:tab/>
        <w:t>June 28,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EXHIBIT</w:t>
      </w:r>
    </w:p>
    <w:p>
      <w:pPr>
        <w:spacing w:after="0" w:line="207" w:lineRule="exact"/>
        <w:rPr>
          <w:sz w:val="20"/>
          <w:szCs w:val="20"/>
          <w:color w:val="auto"/>
        </w:rPr>
      </w:pPr>
    </w:p>
    <w:p>
      <w:pPr>
        <w:ind w:left="540" w:right="4939" w:hanging="532"/>
        <w:spacing w:after="0" w:line="236" w:lineRule="auto"/>
        <w:tabs>
          <w:tab w:leader="none" w:pos="540" w:val="left"/>
        </w:tabs>
        <w:numPr>
          <w:ilvl w:val="0"/>
          <w:numId w:val="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Consent of PricewaterhouseCoopers LLP, Independent Registered Public Accounting Firm Dated June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3345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6052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05280" cy="8890"/>
                    </a:xfrm>
                    <a:prstGeom prst="rect">
                      <a:avLst/>
                    </a:prstGeom>
                    <a:noFill/>
                  </pic:spPr>
                </pic:pic>
              </a:graphicData>
            </a:graphic>
          </wp:anchor>
        </w:drawing>
      </w:r>
    </w:p>
    <w:p>
      <w:pPr>
        <w:sectPr>
          <w:pgSz w:w="11900" w:h="16838" w:orient="portrait"/>
          <w:cols w:equalWidth="0" w:num="1">
            <w:col w:w="10219"/>
          </w:cols>
          <w:pgMar w:left="240" w:top="339" w:right="1440"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765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spacing w:after="0" w:line="18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ind w:right="2739"/>
        <w:spacing w:after="0" w:line="237" w:lineRule="auto"/>
        <w:rPr>
          <w:sz w:val="20"/>
          <w:szCs w:val="20"/>
          <w:color w:val="auto"/>
        </w:rPr>
      </w:pPr>
      <w:r>
        <w:rPr>
          <w:rFonts w:ascii="Courier New" w:cs="Courier New" w:eastAsia="Courier New" w:hAnsi="Courier New"/>
          <w:sz w:val="18"/>
          <w:szCs w:val="18"/>
          <w:color w:val="auto"/>
          <w:strike w:val="1"/>
        </w:rPr>
        <w:t>We hereby consent to the incorporation by reference in the Registration Statement on Form S-8 (No. 333-69378) of Exxon Mobil Corporation of our report dated June 28, 2004 relating to the financial statements and supplemental schedules of the ExxonMobil Fuels Marketing Savings Plan, which appear in this Form 11-K.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PricewaterhouseCoopers LLP</w:t>
      </w:r>
    </w:p>
    <w:p>
      <w:pPr>
        <w:spacing w:after="0" w:line="238" w:lineRule="auto"/>
        <w:rPr>
          <w:sz w:val="20"/>
          <w:szCs w:val="20"/>
          <w:color w:val="auto"/>
        </w:rPr>
      </w:pPr>
      <w:r>
        <w:rPr>
          <w:rFonts w:ascii="Courier New" w:cs="Courier New" w:eastAsia="Courier New" w:hAnsi="Courier New"/>
          <w:sz w:val="18"/>
          <w:szCs w:val="18"/>
          <w:color w:val="auto"/>
          <w:strike w:val="1"/>
        </w:rPr>
        <w:t>Houston, Texas</w:t>
      </w:r>
    </w:p>
    <w:p>
      <w:pPr>
        <w:spacing w:after="0"/>
        <w:rPr>
          <w:sz w:val="20"/>
          <w:szCs w:val="20"/>
          <w:color w:val="auto"/>
        </w:rPr>
      </w:pPr>
      <w:r>
        <w:rPr>
          <w:rFonts w:ascii="Courier New" w:cs="Courier New" w:eastAsia="Courier New" w:hAnsi="Courier New"/>
          <w:sz w:val="18"/>
          <w:szCs w:val="18"/>
          <w:color w:val="auto"/>
          <w:strike w:val="1"/>
        </w:rPr>
        <w:t>June 28,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40" w:right="1440" w:bottom="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2019-12-12T09:20:36Z</dcterms:created>
  <dcterms:modified xsi:type="dcterms:W3CDTF">2019-12-12T09:20:36Z</dcterms:modified>
</cp:coreProperties>
</file>